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OUTSOURCING AND MANAGED SERVICES AGREEMENT</w:t>
      </w:r>
    </w:p>
    <w:p>
      <w:pPr>
        <w:spacing w:after="120"/>
      </w:pPr>
      <w:r>
        <w:t xml:space="preserve">This Outsourcing and Managed Services Agreement (the "Agreement") is entered into as of July 6, 2026, between Perimeter IT Outsourcing Solutions Inc., a Texas corporation ("Provider"), and Golden Gate Insurance Group, a California corporation ("Client"), pursuant to which Provider shall assume responsibility for Client's IT helpdesk and infrastructure management functions (the "Services") previously performed in-house.</w:t>
      </w:r>
    </w:p>
    <w:p>
      <w:pPr>
        <w:spacing w:after="120"/>
      </w:pPr>
      <w:r>
        <w:rPr>
          <w:b/>
          <w:bCs/>
        </w:rPr>
        <w:t xml:space="preserve">"Transferred Employees"</w:t>
      </w:r>
      <w:r>
        <w:t xml:space="preserve"> means those Client employees identified in Exhibit B who will transition to Provider's employment in connection with the outsourcing of the Services.</w:t>
      </w:r>
    </w:p>
    <w:p>
      <w:pPr>
        <w:spacing w:after="120"/>
      </w:pPr>
      <w:r>
        <w:rPr>
          <w:b/>
          <w:bCs/>
        </w:rPr>
        <w:t xml:space="preserve">"Transition Period"</w:t>
      </w:r>
      <w:r>
        <w:t xml:space="preserve"> means the ninety (90) day period following the Effective Date during which the Services will transition from Client to Provider.</w:t>
      </w:r>
    </w:p>
    <w:p>
      <w:pPr>
        <w:pStyle w:val="Heading1"/>
        <w:spacing w:after="130" w:before="260"/>
      </w:pPr>
      <w:r>
        <w:t xml:space="preserve">1. TRANSITION SERVICES</w:t>
      </w:r>
    </w:p>
    <w:p>
      <w:pPr>
        <w:spacing w:after="120"/>
      </w:pPr>
      <w:r>
        <w:t xml:space="preserve">1.1 During the Transition Period, Provider shall implement the transition plan set forth in Exhibit C, including knowledge transfer, system access provisioning, and onboarding of Transferred Employees, with minimal disruption to Client's business operations.</w:t>
      </w:r>
    </w:p>
    <w:p>
      <w:pPr>
        <w:pStyle w:val="Heading1"/>
        <w:spacing w:after="130" w:before="260"/>
      </w:pPr>
      <w:r>
        <w:t xml:space="preserve">2. SERVICE LEVELS AND GOVERNANCE</w:t>
      </w:r>
    </w:p>
    <w:p>
      <w:pPr>
        <w:spacing w:after="120"/>
      </w:pPr>
      <w:r>
        <w:t xml:space="preserve">2.1 Provider shall perform the Services in accordance with the service levels set forth in Exhibit A. The Parties shall establish a joint governance committee, meeting monthly, to review performance, escalations, and continuous improvement initiatives.</w:t>
      </w:r>
    </w:p>
    <w:p>
      <w:pPr>
        <w:pStyle w:val="Heading1"/>
        <w:spacing w:after="130" w:before="260"/>
      </w:pPr>
      <w:r>
        <w:t xml:space="preserve">3. TRANSFERRED EMPLOYEES</w:t>
      </w:r>
    </w:p>
    <w:p>
      <w:pPr>
        <w:spacing w:after="120"/>
      </w:pPr>
      <w:r>
        <w:t xml:space="preserve">3.1 Provider shall offer employment to the Transferred Employees on terms substantially comparable to their current terms with Client, and shall recognize their prior service with Client for purposes of benefits eligibility, to the extent permitted by Provider's benefit plans.</w:t>
      </w:r>
    </w:p>
    <w:p>
      <w:pPr>
        <w:pStyle w:val="Heading1"/>
        <w:spacing w:after="130" w:before="260"/>
      </w:pPr>
      <w:r>
        <w:t xml:space="preserve">4. FEES</w:t>
      </w:r>
    </w:p>
    <w:p>
      <w:pPr>
        <w:spacing w:after="120"/>
      </w:pPr>
      <w:r>
        <w:t xml:space="preserve">4.1 Client shall pay Provider a monthly fee as set forth in Exhibit A, subject to adjustment based on volume-based metrics defined therein, invoiced monthly in arrears with payment due within thirty (30) days.</w:t>
      </w:r>
    </w:p>
    <w:p>
      <w:pPr>
        <w:pStyle w:val="Heading1"/>
        <w:spacing w:after="130" w:before="260"/>
      </w:pPr>
      <w:r>
        <w:t xml:space="preserve">5. DATA SECURITY AND COMPLIANCE</w:t>
      </w:r>
    </w:p>
    <w:p>
      <w:pPr>
        <w:spacing w:after="120"/>
      </w:pPr>
      <w:r>
        <w:t xml:space="preserve">5.1 Provider shall maintain administrative, technical, and physical safeguards for Client data consistent with applicable insurance industry regulatory requirements, including state data security laws, and shall notify Client of any security incident within twenty-four (24) hours.</w:t>
      </w:r>
    </w:p>
    <w:p>
      <w:pPr>
        <w:pStyle w:val="Heading1"/>
        <w:spacing w:after="130" w:before="260"/>
      </w:pPr>
      <w:r>
        <w:t xml:space="preserve">6. TERM AND EXIT ASSISTANCE</w:t>
      </w:r>
    </w:p>
    <w:p>
      <w:pPr>
        <w:spacing w:after="120"/>
      </w:pPr>
      <w:r>
        <w:t xml:space="preserve">6.1 This Agreement has an initial term of five (5) years. Upon expiration or termination, Provider shall provide reasonable exit assistance for up to one hundred eighty (180) days to facilitate transition to Client or a successor provider, at Client's request and expense at Provider's then-current rates.</w:t>
      </w:r>
    </w:p>
    <w:p>
      <w:pPr>
        <w:pStyle w:val="Heading1"/>
        <w:spacing w:after="130" w:before="260"/>
      </w:pPr>
      <w:r>
        <w:t xml:space="preserve">7. LIMITATION OF LIABILITY</w:t>
      </w:r>
    </w:p>
    <w:p>
      <w:pPr>
        <w:spacing w:after="120"/>
      </w:pPr>
      <w:r>
        <w:t xml:space="preserve">7.1 Provider's aggregate liability shall not exceed the fees paid by Client in the twelve (12) months preceding the claim, except for breaches of Section 5 (Data Security and Compliance) or Provider's indemnification obligations, which shall be capped at two (2) times such fees.</w:t>
      </w:r>
    </w:p>
    <w:p>
      <w:pPr>
        <w:pStyle w:val="Heading1"/>
        <w:spacing w:after="130" w:before="260"/>
      </w:pPr>
      <w:r>
        <w:t xml:space="preserve">SIGNATURES</w:t>
      </w:r>
    </w:p>
    <w:p>
      <w:pPr>
        <w:spacing w:after="120"/>
      </w:pPr>
      <w:r>
        <w:t xml:space="preserve">IN WITNESS WHEREOF, the parties have executed this Agreement as of the Effective Date.</w:t>
      </w:r>
    </w:p>
    <w:p>
      <w:pPr>
        <w:spacing w:after="300"/>
      </w:pPr>
    </w:p>
    <w:p>
      <w:pPr>
        <w:spacing w:after="120"/>
      </w:pPr>
      <w:r>
        <w:t xml:space="preserve">For Perimeter IT Outsourcing Solutions Inc.:  ____________________________</w:t>
      </w:r>
    </w:p>
    <w:p>
      <w:pPr>
        <w:spacing w:after="120"/>
      </w:pPr>
      <w:r>
        <w:t xml:space="preserve">Name / Title:  ____________________________</w:t>
      </w:r>
    </w:p>
    <w:p>
      <w:pPr>
        <w:spacing w:after="260"/>
      </w:pPr>
    </w:p>
    <w:p>
      <w:pPr>
        <w:spacing w:after="120"/>
      </w:pPr>
      <w:r>
        <w:t xml:space="preserve">For Golden Gate Insurance Group:  ____________________________</w:t>
      </w:r>
    </w:p>
    <w:p>
      <w:pPr>
        <w:spacing w:after="120"/>
      </w:pPr>
      <w:r>
        <w:t xml:space="preserve">Name / Title: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2026-07-08T11:16:19.474Z</dcterms:created>
  <dcterms:modified xsi:type="dcterms:W3CDTF">2026-07-08T11:16:19.474Z</dcterms:modified>
</cp:coreProperties>
</file>

<file path=docProps/custom.xml><?xml version="1.0" encoding="utf-8"?>
<Properties xmlns="http://schemas.openxmlformats.org/officeDocument/2006/custom-properties" xmlns:vt="http://schemas.openxmlformats.org/officeDocument/2006/docPropsVTypes"/>
</file>