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  <w:jc w:val="center"/>
      </w:pPr>
      <w:r>
        <w:t xml:space="preserve">ACCORD D'EXTERNALISATION ET DE SERVICES GÉRÉS</w:t>
      </w:r>
    </w:p>
    <w:p>
      <w:pPr>
        <w:spacing w:after="120"/>
      </w:pPr>
      <w:r>
        <w:t xml:space="preserve">Le présent Accord d'Externalisation et de Services Gérés (l'« Accord ») est conclu à la date du 6 juillet 2026, entre Perimeter IT Outsourcing Solutions Inc., une société de droit du Texas (le « Prestataire »), et Golden Gate Insurance Group, une société de droit californien (le « Client »), aux termes duquel le Prestataire assumera la responsabilité des fonctions d'assistance informatique et de gestion d'infrastructure du Client (les « Services »), auparavant exercées en interne.</w:t>
      </w:r>
    </w:p>
    <w:p>
      <w:pPr>
        <w:spacing w:after="120"/>
      </w:pPr>
      <w:r>
        <w:rPr>
          <w:b/>
          <w:bCs/>
        </w:rPr>
        <w:t xml:space="preserve">« Salariés Transférés »</w:t>
      </w:r>
      <w:r>
        <w:t xml:space="preserve"> désigne les salariés du Client identifiés à l'Annexe B qui rejoindront l'effectif du Prestataire dans le cadre de l'externalisation des Services.</w:t>
      </w:r>
    </w:p>
    <w:p>
      <w:pPr>
        <w:spacing w:after="120"/>
      </w:pPr>
      <w:r>
        <w:rPr>
          <w:b/>
          <w:bCs/>
        </w:rPr>
        <w:t xml:space="preserve">« Période de Transition »</w:t>
      </w:r>
      <w:r>
        <w:t xml:space="preserve"> désigne la période de quatre-vingt-dix (90) jours suivant la Date d'Effet pendant laquelle les Services seront transférés du Client au Prestataire.</w:t>
      </w:r>
    </w:p>
    <w:p>
      <w:pPr>
        <w:pStyle w:val="Heading1"/>
        <w:spacing w:after="130" w:before="260"/>
      </w:pPr>
      <w:r>
        <w:t xml:space="preserve">1. SERVICES DE TRANSITION</w:t>
      </w:r>
    </w:p>
    <w:p>
      <w:pPr>
        <w:spacing w:after="120"/>
      </w:pPr>
      <w:r>
        <w:t xml:space="preserve">1.1 Pendant la Période de Transition, le Prestataire mettra en œuvre le plan de transition prévu à l'Annexe C, incluant le transfert de connaissances, la fourniture d'accès aux systèmes et l'intégration des Salariés Transférés, avec un minimum de perturbation pour les opérations du Client.</w:t>
      </w:r>
    </w:p>
    <w:p>
      <w:pPr>
        <w:pStyle w:val="Heading1"/>
        <w:spacing w:after="130" w:before="260"/>
      </w:pPr>
      <w:r>
        <w:t xml:space="preserve">2. NIVEAUX DE SERVICE ET GOUVERNANCE</w:t>
      </w:r>
    </w:p>
    <w:p>
      <w:pPr>
        <w:spacing w:after="120"/>
      </w:pPr>
      <w:r>
        <w:t xml:space="preserve">2.1 Le Prestataire exécutera les Services conformément aux niveaux de service prévus à l'Annexe A. Les Parties mettront en place un comité de gouvernance conjoint, se réunissant mensuellement, pour examiner la performance, les escalades et les initiatives d'amélioration continue.</w:t>
      </w:r>
    </w:p>
    <w:p>
      <w:pPr>
        <w:pStyle w:val="Heading1"/>
        <w:spacing w:after="130" w:before="260"/>
      </w:pPr>
      <w:r>
        <w:t xml:space="preserve">3. SALARIÉS TRANSFÉRÉS</w:t>
      </w:r>
    </w:p>
    <w:p>
      <w:pPr>
        <w:spacing w:after="120"/>
      </w:pPr>
      <w:r>
        <w:t xml:space="preserve">3.1 Le Prestataire proposera un emploi aux Salariés Transférés à des conditions substantiellement comparables à leurs conditions actuelles auprès du Client, et reconnaîtra leur ancienneté auprès du Client aux fins d'éligibilité aux avantages sociaux, dans la mesure permise par les régimes d'avantages du Prestataire.</w:t>
      </w:r>
    </w:p>
    <w:p>
      <w:pPr>
        <w:pStyle w:val="Heading1"/>
        <w:spacing w:after="130" w:before="260"/>
      </w:pPr>
      <w:r>
        <w:t xml:space="preserve">4. HONORAIRES</w:t>
      </w:r>
    </w:p>
    <w:p>
      <w:pPr>
        <w:spacing w:after="120"/>
      </w:pPr>
      <w:r>
        <w:t xml:space="preserve">4.1 Le Client paiera au Prestataire des honoraires mensuels tels que prévus à l'Annexe A, sous réserve d'ajustement fondé sur les indicateurs de volume définis dans cette annexe, facturés mensuellement à terme échu avec paiement dû dans un délai de trente (30) jours.</w:t>
      </w:r>
    </w:p>
    <w:p>
      <w:pPr>
        <w:pStyle w:val="Heading1"/>
        <w:spacing w:after="130" w:before="260"/>
      </w:pPr>
      <w:r>
        <w:t xml:space="preserve">5. SÉCURITÉ DES DONNÉES ET CONFORMITÉ</w:t>
      </w:r>
    </w:p>
    <w:p>
      <w:pPr>
        <w:spacing w:after="120"/>
      </w:pPr>
      <w:r>
        <w:t xml:space="preserve">5.1 Le Prestataire maintiendra des mesures de sauvegarde administratives, techniques et physiques pour les données du Client conformes aux exigences réglementaires applicables au secteur de l'assurance, y compris les lois étatiques sur la sécurité des données, et notifiera le Client de tout incident de sécurité dans un délai de vingt-quatre (24) heures.</w:t>
      </w:r>
    </w:p>
    <w:p>
      <w:pPr>
        <w:pStyle w:val="Heading1"/>
        <w:spacing w:after="130" w:before="260"/>
      </w:pPr>
      <w:r>
        <w:t xml:space="preserve">6. DURÉE ET ASSISTANCE À LA SORTIE</w:t>
      </w:r>
    </w:p>
    <w:p>
      <w:pPr>
        <w:spacing w:after="120"/>
      </w:pPr>
      <w:r>
        <w:t xml:space="preserve">6.1 Le présent Accord a une durée initiale de cinq (5) ans. À l'expiration ou à la résiliation, le Prestataire fournira une assistance raisonnable à la sortie pendant une période pouvant aller jusqu'à cent quatre-vingts (180) jours pour faciliter la transition vers le Client ou un prestataire successeur, à la demande du Client et à ses frais aux tarifs alors en vigueur du Prestataire.</w:t>
      </w:r>
    </w:p>
    <w:p>
      <w:pPr>
        <w:pStyle w:val="Heading1"/>
        <w:spacing w:after="130" w:before="260"/>
      </w:pPr>
      <w:r>
        <w:t xml:space="preserve">7. LIMITATION DE RESPONSABILITÉ</w:t>
      </w:r>
    </w:p>
    <w:p>
      <w:pPr>
        <w:spacing w:after="120"/>
      </w:pPr>
      <w:r>
        <w:t xml:space="preserve">7.1 La responsabilité globale du Prestataire n'excédera pas les honoraires payés par le Client au cours des douze (12) mois précédant la réclamation, sauf en cas de violation de l'article 5 (Sécurité des Données et Conformité) ou des obligations d'indemnisation du Prestataire, lesquelles seront plafonnées à deux (2) fois ces honoraires.</w:t>
      </w:r>
    </w:p>
    <w:p>
      <w:pPr>
        <w:pStyle w:val="Heading1"/>
        <w:spacing w:after="130" w:before="260"/>
      </w:pPr>
      <w:r>
        <w:t xml:space="preserve">SIGNATURES</w:t>
      </w:r>
    </w:p>
    <w:p>
      <w:pPr>
        <w:spacing w:after="120"/>
      </w:pPr>
      <w:r>
        <w:t xml:space="preserve">EN FOI DE QUOI, les parties ont signé le présent Accord à la Date d'Effet.</w:t>
      </w:r>
    </w:p>
    <w:p>
      <w:pPr>
        <w:spacing w:after="300"/>
      </w:pPr>
    </w:p>
    <w:p>
      <w:pPr>
        <w:spacing w:after="120"/>
      </w:pPr>
      <w:r>
        <w:t xml:space="preserve">Pour Perimeter IT Outsourcing Solutions Inc. :  ____________________________</w:t>
      </w:r>
    </w:p>
    <w:p>
      <w:pPr>
        <w:spacing w:after="120"/>
      </w:pPr>
      <w:r>
        <w:t xml:space="preserve">Nom / Fonction :  ____________________________</w:t>
      </w:r>
    </w:p>
    <w:p>
      <w:pPr>
        <w:spacing w:after="260"/>
      </w:pPr>
    </w:p>
    <w:p>
      <w:pPr>
        <w:spacing w:after="120"/>
      </w:pPr>
      <w:r>
        <w:t xml:space="preserve">Pour Golden Gate Insurance Group :  ____________________________</w:t>
      </w:r>
    </w:p>
    <w:p>
      <w:pPr>
        <w:spacing w:after="120"/>
      </w:pPr>
      <w:r>
        <w:t xml:space="preserve">Nom / Fonction :  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2026-07-08T11:40:09.653Z</dcterms:created>
  <dcterms:modified xsi:type="dcterms:W3CDTF">2026-07-08T11:40:09.653Z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