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عقد إيجار تجاري</w:t>
      </w:r>
    </w:p>
    <w:p>
      <w:pPr>
        <w:bidi/>
        <w:spacing w:after="160"/>
        <w:jc w:val="right"/>
      </w:pPr>
      <w:r>
        <w:rPr>
          <w:rtl/>
        </w:rPr>
        <w:t xml:space="preserve">أُبرم عقد الإيجار التجاري هذا ("العقد") بتاريخ 6 يوليو 2026، بين شركة Beacon Hill Properties LLC، وهي شركة ذات مسؤولية محدودة بموجب قوانين ولاية ماساتشوستس ("المؤجر")، وشركة Fernwood Design Studio Inc.، وهي شركة تأسست بموجب قوانين ولاية ماساتشوستس ("المستأجر")، لإيجار مساحة مكتبية تجارية تقع في 240 شارع كونغرس، جناح 400، بوسطن، ماساتشوستس ("المباني").</w:t>
      </w:r>
    </w:p>
    <w:p>
      <w:pPr>
        <w:bidi/>
        <w:spacing w:after="160"/>
        <w:jc w:val="right"/>
      </w:pPr>
      <w:r>
        <w:rPr>
          <w:b/>
          <w:bCs/>
          <w:rtl/>
        </w:rPr>
        <w:t xml:space="preserve">"الإيجار الأساسي"</w:t>
      </w:r>
      <w:r>
        <w:rPr>
          <w:rtl/>
        </w:rPr>
        <w:t xml:space="preserve"> يعني الإيجار الشهري المستحق على المستأجر وفقاً للبند 2، باستثناء نفقات التشغيل.</w:t>
      </w:r>
    </w:p>
    <w:p>
      <w:pPr>
        <w:bidi/>
        <w:spacing w:after="160"/>
        <w:jc w:val="right"/>
      </w:pPr>
      <w:r>
        <w:rPr>
          <w:b/>
          <w:bCs/>
          <w:rtl/>
        </w:rPr>
        <w:t xml:space="preserve">"نفقات التشغيل"</w:t>
      </w:r>
      <w:r>
        <w:rPr>
          <w:rtl/>
        </w:rPr>
        <w:t xml:space="preserve"> تعني التكاليف المعقولة التي يتحملها المؤجر لتشغيل وصيانة وإصلاح المبنى الذي توجد فيه المباني، بما في ذلك صيانة المناطق المشتركة والتأمين وضرائب الملكية، موزعة تناسبياً وفقاً لحصة المستأجر.</w:t>
      </w:r>
    </w:p>
    <w:p>
      <w:pPr>
        <w:pStyle w:val="Heading1"/>
        <w:bidi/>
        <w:spacing w:after="150" w:before="300"/>
        <w:jc w:val="right"/>
      </w:pPr>
      <w:r>
        <w:t xml:space="preserve">1. المدة</w:t>
      </w:r>
    </w:p>
    <w:p>
      <w:pPr>
        <w:bidi/>
        <w:spacing w:after="160"/>
        <w:jc w:val="right"/>
      </w:pPr>
      <w:r>
        <w:rPr>
          <w:rtl/>
        </w:rPr>
        <w:t xml:space="preserve">1.1 مدة هذا العقد خمس (5) سنوات، تبدأ في 1 أغسطس 2026 وتنتهي في 31 يوليو 2031، ما لم يُنهَ العقد مبكراً وفقاً لأحكامه.</w:t>
      </w:r>
    </w:p>
    <w:p>
      <w:pPr>
        <w:pStyle w:val="Heading1"/>
        <w:bidi/>
        <w:spacing w:after="150" w:before="300"/>
        <w:jc w:val="right"/>
      </w:pPr>
      <w:r>
        <w:t xml:space="preserve">2. الإيجار ونفقات التشغيل</w:t>
      </w:r>
    </w:p>
    <w:p>
      <w:pPr>
        <w:bidi/>
        <w:spacing w:after="160"/>
        <w:jc w:val="right"/>
      </w:pPr>
      <w:r>
        <w:rPr>
          <w:rtl/>
        </w:rPr>
        <w:t xml:space="preserve">2.1 يسدد المستأجر إيجاراً أساسياً قدره 18,500 دولار شهرياً، يُدفع مقدماً في اليوم الأول من كل شهر، رهناً بزيادة سنوية قدرها ثلاثة بالمائة (3%) في كل ذكرى سنوية لتاريخ بدء العقد.</w:t>
      </w:r>
    </w:p>
    <w:p>
      <w:pPr>
        <w:bidi/>
        <w:spacing w:after="160"/>
        <w:jc w:val="right"/>
      </w:pPr>
      <w:r>
        <w:rPr>
          <w:rtl/>
        </w:rPr>
        <w:t xml:space="preserve">2.2 يسدد المستأجر حصته التناسبية من نفقات التشغيل، المقدرة شهرياً والمُسوَّاة سنوياً، مع استحقاق أي رصيد مستحق خلال ثلاثين (30) يوماً من بيان تسوية المؤجر.</w:t>
      </w:r>
    </w:p>
    <w:p>
      <w:pPr>
        <w:pStyle w:val="Heading1"/>
        <w:bidi/>
        <w:spacing w:after="150" w:before="300"/>
        <w:jc w:val="right"/>
      </w:pPr>
      <w:r>
        <w:t xml:space="preserve">3. وديعة الضمان</w:t>
      </w:r>
    </w:p>
    <w:p>
      <w:pPr>
        <w:bidi/>
        <w:spacing w:after="160"/>
        <w:jc w:val="right"/>
      </w:pPr>
      <w:r>
        <w:rPr>
          <w:rtl/>
        </w:rPr>
        <w:t xml:space="preserve">3.1 يدفع المستأجر وديعة ضمان تعادل شهرين (2) من الإيجار الأساسي عند توقيع هذا العقد، يحتفظ بها المؤجر كضمان لأداء التزامات المستأجر وتُرد خلال ثلاثين (30) يوماً بعد انتهاء المدة، بعد خصم أي استقطاعات مشروعة.</w:t>
      </w:r>
    </w:p>
    <w:p>
      <w:pPr>
        <w:pStyle w:val="Heading1"/>
        <w:bidi/>
        <w:spacing w:after="150" w:before="300"/>
        <w:jc w:val="right"/>
      </w:pPr>
      <w:r>
        <w:t xml:space="preserve">4. الاستخدام والصيانة</w:t>
      </w:r>
    </w:p>
    <w:p>
      <w:pPr>
        <w:bidi/>
        <w:spacing w:after="160"/>
        <w:jc w:val="right"/>
      </w:pPr>
      <w:r>
        <w:rPr>
          <w:rtl/>
        </w:rPr>
        <w:t xml:space="preserve">4.1 يستخدم المستأجر المباني حصراً لأغراض المكاتب العامة واستوديو التصميم، ويحافظ على داخل المباني في حالة جيدة، باستثناء التآكل الناتج عن الاستخدام العادي.</w:t>
      </w:r>
    </w:p>
    <w:p>
      <w:pPr>
        <w:bidi/>
        <w:spacing w:after="160"/>
        <w:jc w:val="right"/>
      </w:pPr>
      <w:r>
        <w:rPr>
          <w:rtl/>
        </w:rPr>
        <w:t xml:space="preserve">4.2 يكون المؤجر مسؤولاً عن صيانة وإصلاح هيكل المبنى والسطح والأنظمة المشتركة للمبنى، بما في ذلك نظام التكييف الذي يخدم المباني.</w:t>
      </w:r>
    </w:p>
    <w:p>
      <w:pPr>
        <w:pStyle w:val="Heading1"/>
        <w:bidi/>
        <w:spacing w:after="150" w:before="300"/>
        <w:jc w:val="right"/>
      </w:pPr>
      <w:r>
        <w:t xml:space="preserve">5. التنازل والتأجير من الباطن</w:t>
      </w:r>
    </w:p>
    <w:p>
      <w:pPr>
        <w:bidi/>
        <w:spacing w:after="160"/>
        <w:jc w:val="right"/>
      </w:pPr>
      <w:r>
        <w:rPr>
          <w:rtl/>
        </w:rPr>
        <w:t xml:space="preserve">5.1 لا يجوز للمستأجر التنازل عن هذا العقد أو تأجير المباني من الباطن، كلياً أو جزئياً، دون موافقة خطية مسبقة من المؤجر، والتي لا يجوز حجبها أو تقييدها أو تأخيرها دون سبب معقول.</w:t>
      </w:r>
    </w:p>
    <w:p>
      <w:pPr>
        <w:pStyle w:val="Heading1"/>
        <w:bidi/>
        <w:spacing w:after="150" w:before="300"/>
        <w:jc w:val="right"/>
      </w:pPr>
      <w:r>
        <w:t xml:space="preserve">6. التقصير وسبل الانتصاف</w:t>
      </w:r>
    </w:p>
    <w:p>
      <w:pPr>
        <w:bidi/>
        <w:spacing w:after="160"/>
        <w:jc w:val="right"/>
      </w:pPr>
      <w:r>
        <w:rPr>
          <w:rtl/>
        </w:rPr>
        <w:t xml:space="preserve">6.1 إذا لم يسدد المستأجر الإيجار الأساسي خلال عشرة (10) أيام من استحقاقه، أو أخل بأي شرط جوهري آخر من هذا العقد ولم يعالج ذلك خلال ثلاثين (30) يوماً من إشعار خطي، يجوز للمؤجر إنهاء هذا العقد ومتابعة جميع سبل الانتصاف المتاحة، بما في ذلك استرداد الإيجار المعجل للمدة المتبقية، رهناً بواجب المؤجر في تخفيف الأضرار.</w:t>
      </w:r>
    </w:p>
    <w:p>
      <w:pPr>
        <w:pStyle w:val="Heading1"/>
        <w:bidi/>
        <w:spacing w:after="150" w:before="300"/>
        <w:jc w:val="right"/>
      </w:pPr>
      <w:r>
        <w:t xml:space="preserve">7. التأمين والتعويض</w:t>
      </w:r>
    </w:p>
    <w:p>
      <w:pPr>
        <w:bidi/>
        <w:spacing w:after="160"/>
        <w:jc w:val="right"/>
      </w:pPr>
      <w:r>
        <w:rPr>
          <w:rtl/>
        </w:rPr>
        <w:t xml:space="preserve">7.1 يحافظ المستأجر على تأمين مسؤولية مدنية تجارية عامة بحدود لا تقل عن 2,000,000 دولار لكل حادثة، مع تسمية المؤجر كمؤمَّن إضافي، ويعوض المؤجر عن المطالبات الناشئة عن استخدام المستأجر للمباني، باستثناء ما ينشأ عن إهمال المؤجر.</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Beacon Hill Properties LLC: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Fernwood Design Studio Inc.: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2026-07-08T12:06:48.422Z</dcterms:created>
  <dcterms:modified xsi:type="dcterms:W3CDTF">2026-07-08T12:06:48.422Z</dcterms:modified>
</cp:coreProperties>
</file>

<file path=docProps/custom.xml><?xml version="1.0" encoding="utf-8"?>
<Properties xmlns="http://schemas.openxmlformats.org/officeDocument/2006/custom-properties" xmlns:vt="http://schemas.openxmlformats.org/officeDocument/2006/docPropsVTypes"/>
</file>