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CONTRAT D'ACQUISITION D'ACTIFS</w:t>
      </w:r>
    </w:p>
    <w:p>
      <w:pPr>
        <w:spacing w:after="120"/>
      </w:pPr>
      <w:r>
        <w:t xml:space="preserve">Le présent Contrat d'Acquisition d'Actifs (le « Contrat ») est conclu à la date du 6 juillet 2026, entre Larchmont Precision Tools Inc., une société de droit du Michigan (le « Vendeur »), et Driftwood Industrial Holdings LLC, une société à responsabilité limitée du Delaware (l'« Acquéreur »), aux termes duquel le Vendeur accepte de vendre, et l'Acquéreur accepte d'acheter, la quasi-totalité des actifs utilisés dans l'activité d'outillage de précision du Vendeur (l'« Activité »).</w:t>
      </w:r>
    </w:p>
    <w:p>
      <w:pPr>
        <w:spacing w:after="120"/>
      </w:pPr>
      <w:r>
        <w:rPr>
          <w:b/>
          <w:bCs/>
        </w:rPr>
        <w:t xml:space="preserve">« Actifs Acquis »</w:t>
      </w:r>
      <w:r>
        <w:t xml:space="preserve"> désigne l'ensemble des actifs corporels et incorporels de l'Activité, y compris les équipements, stocks, contrats clients et propriété intellectuelle, tels que décrits plus précisément à l'Annexe A, à l'exclusion des Actifs Exclus.</w:t>
      </w:r>
    </w:p>
    <w:p>
      <w:pPr>
        <w:spacing w:after="120"/>
      </w:pPr>
      <w:r>
        <w:rPr>
          <w:b/>
          <w:bCs/>
        </w:rPr>
        <w:t xml:space="preserve">« Actifs Exclus »</w:t>
      </w:r>
      <w:r>
        <w:t xml:space="preserve"> désigne les actifs énumérés à l'Annexe B, y compris la trésorerie disponible et les registres de procès-verbaux du Vendeur, qui seront conservés par ce dernier.</w:t>
      </w:r>
    </w:p>
    <w:p>
      <w:pPr>
        <w:spacing w:after="120"/>
      </w:pPr>
      <w:r>
        <w:rPr>
          <w:b/>
          <w:bCs/>
        </w:rPr>
        <w:t xml:space="preserve">« Date de Clôture »</w:t>
      </w:r>
      <w:r>
        <w:t xml:space="preserve"> désigne la date à laquelle les opérations envisagées par le présent Contrat seront réalisées, actuellement prévue pour le 1er septembre 2026.</w:t>
      </w:r>
    </w:p>
    <w:p>
      <w:pPr>
        <w:pStyle w:val="Heading1"/>
        <w:spacing w:after="130" w:before="260"/>
      </w:pPr>
      <w:r>
        <w:t xml:space="preserve">1. ACHAT ET VENTE</w:t>
      </w:r>
    </w:p>
    <w:p>
      <w:pPr>
        <w:spacing w:after="120"/>
      </w:pPr>
      <w:r>
        <w:t xml:space="preserve">1.1 À la Clôture, le Vendeur vendra, transférera et livrera à l'Acquéreur, et l'Acquéreur achètera au Vendeur, l'intégralité des droits du Vendeur sur les Actifs Acquis, libres de toute sûreté, à l'exception des Sûretés Autorisées énumérées à l'Annexe C.</w:t>
      </w:r>
    </w:p>
    <w:p>
      <w:pPr>
        <w:pStyle w:val="Heading1"/>
        <w:spacing w:after="130" w:before="260"/>
      </w:pPr>
      <w:r>
        <w:t xml:space="preserve">2. PRIX D'ACHAT</w:t>
      </w:r>
    </w:p>
    <w:p>
      <w:pPr>
        <w:spacing w:after="120"/>
      </w:pPr>
      <w:r>
        <w:t xml:space="preserve">2.1 Le prix d'achat global des Actifs Acquis s'élèvera à 12 750 000 $, payable comme suit : (a) 10 750 000 $ en numéraire à la Clôture ; et (b) 2 000 000 $ déposés sous séquestre pendant dix-huit (18) mois pour garantir les obligations d'indemnisation du Vendeur au titre de l'article 6.</w:t>
      </w:r>
    </w:p>
    <w:p>
      <w:pPr>
        <w:pStyle w:val="Heading1"/>
        <w:spacing w:after="130" w:before="260"/>
      </w:pPr>
      <w:r>
        <w:t xml:space="preserve">3. DÉCLARATIONS ET GARANTIES DU VENDEUR</w:t>
      </w:r>
    </w:p>
    <w:p>
      <w:pPr>
        <w:spacing w:after="120"/>
      </w:pPr>
      <w:r>
        <w:t xml:space="preserve">3.1 Le Vendeur déclare et garantit que : (a) il détient un titre valable et cessible sur les Actifs Acquis ; (b) les états financiers fournis à l'Acquéreur présentent fidèlement la situation financière de l'Activité ; et (c) aucun litige en cours ou menaçant n'est susceptible d'affecter matériellement les Actifs Acquis.</w:t>
      </w:r>
    </w:p>
    <w:p>
      <w:pPr>
        <w:pStyle w:val="Heading1"/>
        <w:spacing w:after="130" w:before="260"/>
      </w:pPr>
      <w:r>
        <w:t xml:space="preserve">4. ENGAGEMENTS PRÉALABLES À LA CLÔTURE</w:t>
      </w:r>
    </w:p>
    <w:p>
      <w:pPr>
        <w:spacing w:after="120"/>
      </w:pPr>
      <w:r>
        <w:t xml:space="preserve">4.1 Entre la date du présent Contrat et la Date de Clôture, le Vendeur exploitera l'Activité dans le cours normal des affaires, conformément aux pratiques antérieures, et ne pourra, sans le consentement écrit préalable de l'Acquéreur, conclure de contrat substantiel, céder un actif significatif, ou augmenter la rémunération des salariés clés.</w:t>
      </w:r>
    </w:p>
    <w:p>
      <w:pPr>
        <w:pStyle w:val="Heading1"/>
        <w:spacing w:after="130" w:before="260"/>
      </w:pPr>
      <w:r>
        <w:t xml:space="preserve">5. CONDITIONS SUSPENSIVES</w:t>
      </w:r>
    </w:p>
    <w:p>
      <w:pPr>
        <w:spacing w:after="120"/>
      </w:pPr>
      <w:r>
        <w:t xml:space="preserve">5.1 L'obligation de clôture de l'Acquéreur est subordonnée à la satisfaction de conditions usuelles, y compris l'exactitude des déclarations et garanties du Vendeur à la Date de Clôture, l'obtention de tous les consentements de tiers requis, et l'absence de changement défavorable significatif affectant l'Activité.</w:t>
      </w:r>
    </w:p>
    <w:p>
      <w:pPr>
        <w:pStyle w:val="Heading1"/>
        <w:spacing w:after="130" w:before="260"/>
      </w:pPr>
      <w:r>
        <w:t xml:space="preserve">6. INDEMNISATION</w:t>
      </w:r>
    </w:p>
    <w:p>
      <w:pPr>
        <w:spacing w:after="120"/>
      </w:pPr>
      <w:r>
        <w:t xml:space="preserve">6.1 Le Vendeur indemnisera l'Acquéreur des pertes résultant de violations des déclarations et garanties du Vendeur, sous réserve d'une franchise de 100 000 $ et d'un plafond global de 2 000 000 $, à l'exception des violations des déclarations de titre et de pouvoir, non soumises à cette franchise ni à ce plafond.</w:t>
      </w:r>
    </w:p>
    <w:p>
      <w:pPr>
        <w:pStyle w:val="Heading1"/>
        <w:spacing w:after="130" w:before="260"/>
      </w:pPr>
      <w:r>
        <w:t xml:space="preserve">7. NON-CONCURRENCE</w:t>
      </w:r>
    </w:p>
    <w:p>
      <w:pPr>
        <w:spacing w:after="120"/>
      </w:pPr>
      <w:r>
        <w:t xml:space="preserve">7.1 Pendant une période de cinq (5) ans suivant la Date de Clôture, le Vendeur et ses principaux actionnaires ne pourront, directement ou indirectement, exercer une activité concurrente à l'Activité en Amérique du Nord.</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Larchmont Precision Tools Inc. :  ____________________________</w:t>
      </w:r>
    </w:p>
    <w:p>
      <w:pPr>
        <w:spacing w:after="120"/>
      </w:pPr>
      <w:r>
        <w:t xml:space="preserve">Nom / Fonction :  ____________________________</w:t>
      </w:r>
    </w:p>
    <w:p>
      <w:pPr>
        <w:spacing w:after="260"/>
      </w:pPr>
    </w:p>
    <w:p>
      <w:pPr>
        <w:spacing w:after="120"/>
      </w:pPr>
      <w:r>
        <w:t xml:space="preserve">Pour Driftwood Industrial Holdings LLC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2026-07-08T11:40:09.718Z</dcterms:created>
  <dcterms:modified xsi:type="dcterms:W3CDTF">2026-07-08T11:40:09.718Z</dcterms:modified>
</cp:coreProperties>
</file>

<file path=docProps/custom.xml><?xml version="1.0" encoding="utf-8"?>
<Properties xmlns="http://schemas.openxmlformats.org/officeDocument/2006/custom-properties" xmlns:vt="http://schemas.openxmlformats.org/officeDocument/2006/docPropsVTypes"/>
</file>