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SHAREHOLDERS AGREEMENT</w:t>
      </w:r>
    </w:p>
    <w:p>
      <w:pPr>
        <w:spacing w:after="120"/>
      </w:pPr>
      <w:r>
        <w:t xml:space="preserve">This Shareholders Agreement (the "Agreement") is entered into as of July 6, 2026, by and among Fathom Robotics, Inc., a Delaware corporation (the "Company"), Vireo Growth Capital Fund III, L.P., a Delaware limited partnership (the "Investor"), and the other parties listed on the signature pages hereto, in connection with the Investor's purchase of Series B Preferred Stock of the Company.</w:t>
      </w:r>
    </w:p>
    <w:p>
      <w:pPr>
        <w:spacing w:after="120"/>
      </w:pPr>
      <w:r>
        <w:rPr>
          <w:b/>
          <w:bCs/>
        </w:rPr>
        <w:t xml:space="preserve">"Preferred Stock"</w:t>
      </w:r>
      <w:r>
        <w:t xml:space="preserve"> means the Series B Preferred Stock of the Company purchased by the Investor pursuant to the Series B Preferred Stock Purchase Agreement of even date herewith.</w:t>
      </w:r>
    </w:p>
    <w:p>
      <w:pPr>
        <w:spacing w:after="120"/>
      </w:pPr>
      <w:r>
        <w:rPr>
          <w:b/>
          <w:bCs/>
        </w:rPr>
        <w:t xml:space="preserve">"Qualified IPO"</w:t>
      </w:r>
      <w:r>
        <w:t xml:space="preserve"> means an underwritten public offering of the Company's common stock with aggregate gross proceeds of at least $75,000,000 and a pre-offering valuation of at least $400,000,000.</w:t>
      </w:r>
    </w:p>
    <w:p>
      <w:pPr>
        <w:pStyle w:val="Heading1"/>
        <w:spacing w:after="130" w:before="260"/>
      </w:pPr>
      <w:r>
        <w:t xml:space="preserve">1. BOARD COMPOSITION</w:t>
      </w:r>
    </w:p>
    <w:p>
      <w:pPr>
        <w:spacing w:after="120"/>
      </w:pPr>
      <w:r>
        <w:t xml:space="preserve">1.1 The Company's board of directors shall consist of five (5) members: two (2) designated by the founders, one (1) designated by the Investor for so long as the Investor holds at least 5% of the Company's fully-diluted capitalization, and two (2) independent directors mutually agreed upon by the founders and the Investor.</w:t>
      </w:r>
    </w:p>
    <w:p>
      <w:pPr>
        <w:pStyle w:val="Heading1"/>
        <w:spacing w:after="130" w:before="260"/>
      </w:pPr>
      <w:r>
        <w:t xml:space="preserve">2. PREEMPTIVE RIGHTS</w:t>
      </w:r>
    </w:p>
    <w:p>
      <w:pPr>
        <w:spacing w:after="120"/>
      </w:pPr>
      <w:r>
        <w:t xml:space="preserve">2.1 The Investor shall have the right to purchase its pro rata share of any new securities issued by the Company, subject to customary exceptions for equity incentive plan issuances, acquisitions, and Qualified IPO issuances.</w:t>
      </w:r>
    </w:p>
    <w:p>
      <w:pPr>
        <w:pStyle w:val="Heading1"/>
        <w:spacing w:after="130" w:before="260"/>
      </w:pPr>
      <w:r>
        <w:t xml:space="preserve">3. DRAG-ALONG AND TAG-ALONG RIGHTS</w:t>
      </w:r>
    </w:p>
    <w:p>
      <w:pPr>
        <w:spacing w:after="120"/>
      </w:pPr>
      <w:r>
        <w:t xml:space="preserve">3.1 If holders of a majority of the outstanding Preferred Stock and a majority of the board approve a sale of the Company, all other shareholders shall be required to vote in favor of and consent to such transaction ("Drag-Along Right"), subject to customary protections regarding consideration and representations.</w:t>
      </w:r>
    </w:p>
    <w:p>
      <w:pPr>
        <w:spacing w:after="120"/>
      </w:pPr>
      <w:r>
        <w:t xml:space="preserve">3.2 If a founder proposes to transfer shares representing more than 5% of the Company's outstanding capital stock, the Investor shall have the right to participate in such sale on the same terms ("Tag-Along Right").</w:t>
      </w:r>
    </w:p>
    <w:p>
      <w:pPr>
        <w:pStyle w:val="Heading1"/>
        <w:spacing w:after="130" w:before="260"/>
      </w:pPr>
      <w:r>
        <w:t xml:space="preserve">4. INFORMATION RIGHTS</w:t>
      </w:r>
    </w:p>
    <w:p>
      <w:pPr>
        <w:spacing w:after="120"/>
      </w:pPr>
      <w:r>
        <w:t xml:space="preserve">4.1 For so long as the Investor holds at least 3% of the Company's fully-diluted capitalization, the Company shall deliver to the Investor audited annual financial statements within ninety (90) days of fiscal year end, and unaudited quarterly financial statements within forty-five (45) days of each fiscal quarter end.</w:t>
      </w:r>
    </w:p>
    <w:p>
      <w:pPr>
        <w:pStyle w:val="Heading1"/>
        <w:spacing w:after="130" w:before="260"/>
      </w:pPr>
      <w:r>
        <w:t xml:space="preserve">5. TRANSFER RESTRICTIONS</w:t>
      </w:r>
    </w:p>
    <w:p>
      <w:pPr>
        <w:spacing w:after="120"/>
      </w:pPr>
      <w:r>
        <w:t xml:space="preserve">5.1 No shareholder shall transfer any shares of the Company's capital stock except in compliance with this Agreement, including a right of first refusal in favor of the Company and then the other shareholders, and compliance with applicable securities laws.</w:t>
      </w:r>
    </w:p>
    <w:p>
      <w:pPr>
        <w:pStyle w:val="Heading1"/>
        <w:spacing w:after="130" w:before="260"/>
      </w:pPr>
      <w:r>
        <w:t xml:space="preserve">6. PROTECTIVE PROVISIONS</w:t>
      </w:r>
    </w:p>
    <w:p>
      <w:pPr>
        <w:spacing w:after="120"/>
      </w:pPr>
      <w:r>
        <w:t xml:space="preserve">6.1 For so long as the Investor holds at least 5% of the Company's fully-diluted capitalization, the Company shall not, without the Investor's prior written consent: (a) amend its certificate of incorporation in a manner adverse to the Preferred Stock; (b) authorize a new class of stock senior to the Preferred Stock; or (c) incur indebtedness in excess of $2,000,000, other than in the ordinary course of business.</w:t>
      </w:r>
    </w:p>
    <w:p>
      <w:pPr>
        <w:pStyle w:val="Heading1"/>
        <w:spacing w:after="130" w:before="260"/>
      </w:pPr>
      <w:r>
        <w:t xml:space="preserve">7. TERMINATION</w:t>
      </w:r>
    </w:p>
    <w:p>
      <w:pPr>
        <w:spacing w:after="120"/>
      </w:pPr>
      <w:r>
        <w:t xml:space="preserve">7.1 This Agreement shall terminate automatically upon the earlier of a Qualified IPO or a sale of the Company approved in accordance with Section 3.1.</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Fathom Robotics, Inc.:  ____________________________</w:t>
      </w:r>
    </w:p>
    <w:p>
      <w:pPr>
        <w:spacing w:after="120"/>
      </w:pPr>
      <w:r>
        <w:t xml:space="preserve">Name / Title:  ____________________________</w:t>
      </w:r>
    </w:p>
    <w:p>
      <w:pPr>
        <w:spacing w:after="260"/>
      </w:pPr>
    </w:p>
    <w:p>
      <w:pPr>
        <w:spacing w:after="120"/>
      </w:pPr>
      <w:r>
        <w:t xml:space="preserve">For Vireo Growth Capital Fund III, L.P.: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2026-07-08T11:16:19.567Z</dcterms:created>
  <dcterms:modified xsi:type="dcterms:W3CDTF">2026-07-08T11:16:19.567Z</dcterms:modified>
</cp:coreProperties>
</file>

<file path=docProps/custom.xml><?xml version="1.0" encoding="utf-8"?>
<Properties xmlns="http://schemas.openxmlformats.org/officeDocument/2006/custom-properties" xmlns:vt="http://schemas.openxmlformats.org/officeDocument/2006/docPropsVTypes"/>
</file>