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300"/>
        <w:jc w:val="center"/>
      </w:pPr>
      <w:r>
        <w:t xml:space="preserve">اتفاقية المساهمين</w:t>
      </w:r>
    </w:p>
    <w:p>
      <w:pPr>
        <w:bidi/>
        <w:spacing w:after="160"/>
        <w:jc w:val="right"/>
      </w:pPr>
      <w:r>
        <w:rPr>
          <w:rtl/>
        </w:rPr>
        <w:t xml:space="preserve">أُبرمت اتفاقية المساهمين هذه ("الاتفاقية") بتاريخ 6 يوليو 2026، بين شركة Fathom Robotics, Inc.، وهي شركة تأسست بموجب قوانين ولاية ديلاوير ("الشركة")، وصندوق Vireo Growth Capital Fund III, L.P.، وهو شركة توصية بسيطة بموجب قوانين ولاية ديلاوير ("المستثمر")، والأطراف الأخرى المدرجة في صفحات التوقيع لهذه الاتفاقية، في سياق شراء المستثمر لأسهم ممتازة من الفئة ب في الشركة.</w:t>
      </w:r>
    </w:p>
    <w:p>
      <w:pPr>
        <w:bidi/>
        <w:spacing w:after="160"/>
        <w:jc w:val="right"/>
      </w:pPr>
      <w:r>
        <w:rPr>
          <w:b/>
          <w:bCs/>
          <w:rtl/>
        </w:rPr>
        <w:t xml:space="preserve">"الأسهم الممتازة"</w:t>
      </w:r>
      <w:r>
        <w:rPr>
          <w:rtl/>
        </w:rPr>
        <w:t xml:space="preserve"> تعني الأسهم الممتازة من الفئة ب في الشركة التي اشتراها المستثمر بموجب اتفاقية شراء الأسهم الممتازة من الفئة ب المبرمة بنفس تاريخ هذه الاتفاقية.</w:t>
      </w:r>
    </w:p>
    <w:p>
      <w:pPr>
        <w:bidi/>
        <w:spacing w:after="160"/>
        <w:jc w:val="right"/>
      </w:pPr>
      <w:r>
        <w:rPr>
          <w:b/>
          <w:bCs/>
          <w:rtl/>
        </w:rPr>
        <w:t xml:space="preserve">"الطرح العام الأولي المؤهل"</w:t>
      </w:r>
      <w:r>
        <w:rPr>
          <w:rtl/>
        </w:rPr>
        <w:t xml:space="preserve"> يعني طرحاً عاماً مكتتباً لأسهم الشركة العادية بعائد إجمالي لا يقل عن 75,000,000 دولار وتقييم قبل الطرح لا يقل عن 400,000,000 دولار.</w:t>
      </w:r>
    </w:p>
    <w:p>
      <w:pPr>
        <w:pStyle w:val="Heading1"/>
        <w:bidi/>
        <w:spacing w:after="150" w:before="300"/>
        <w:jc w:val="right"/>
      </w:pPr>
      <w:r>
        <w:t xml:space="preserve">1. تشكيل مجلس الإدارة</w:t>
      </w:r>
    </w:p>
    <w:p>
      <w:pPr>
        <w:bidi/>
        <w:spacing w:after="160"/>
        <w:jc w:val="right"/>
      </w:pPr>
      <w:r>
        <w:rPr>
          <w:rtl/>
        </w:rPr>
        <w:t xml:space="preserve">1.1 يتكون مجلس إدارة الشركة من خمسة (5) أعضاء: اثنان (2) يعينهما المؤسسون، وواحد (1) يعينه المستثمر طالما احتفظ بنسبة لا تقل عن 5% من رأس المال المخفف بالكامل للشركة، وعضوان (2) مستقلان يتفق عليهما المؤسسون والمستثمر.</w:t>
      </w:r>
    </w:p>
    <w:p>
      <w:pPr>
        <w:pStyle w:val="Heading1"/>
        <w:bidi/>
        <w:spacing w:after="150" w:before="300"/>
        <w:jc w:val="right"/>
      </w:pPr>
      <w:r>
        <w:t xml:space="preserve">2. حق الأفضلية</w:t>
      </w:r>
    </w:p>
    <w:p>
      <w:pPr>
        <w:bidi/>
        <w:spacing w:after="160"/>
        <w:jc w:val="right"/>
      </w:pPr>
      <w:r>
        <w:rPr>
          <w:rtl/>
        </w:rPr>
        <w:t xml:space="preserve">2.1 يحق للمستثمر شراء حصته التناسبية من أي أوراق مالية جديدة تصدرها الشركة، رهناً بالاستثناءات المعتادة لإصدارات خطط الحوافز، والاستحواذات، وإصدارات الطرح العام الأولي المؤهل.</w:t>
      </w:r>
    </w:p>
    <w:p>
      <w:pPr>
        <w:pStyle w:val="Heading1"/>
        <w:bidi/>
        <w:spacing w:after="150" w:before="300"/>
        <w:jc w:val="right"/>
      </w:pPr>
      <w:r>
        <w:t xml:space="preserve">3. حقوق التنازل الإلزامي والتنازل المشترك</w:t>
      </w:r>
    </w:p>
    <w:p>
      <w:pPr>
        <w:bidi/>
        <w:spacing w:after="160"/>
        <w:jc w:val="right"/>
      </w:pPr>
      <w:r>
        <w:rPr>
          <w:rtl/>
        </w:rPr>
        <w:t xml:space="preserve">3.1 إذا وافق حاملو أغلبية الأسهم الممتازة القائمة وأغلبية المجلس على بيع الشركة، يلتزم جميع المساهمين الآخرين بالتصويت لصالح هذه المعاملة والموافقة عليها ("حق التنازل الإلزامي")، رهناً بالحمايات المعتادة المتعلقة بالمقابل والإقرارات.</w:t>
      </w:r>
    </w:p>
    <w:p>
      <w:pPr>
        <w:bidi/>
        <w:spacing w:after="160"/>
        <w:jc w:val="right"/>
      </w:pPr>
      <w:r>
        <w:rPr>
          <w:rtl/>
        </w:rPr>
        <w:t xml:space="preserve">3.2 إذا اقترح أحد المؤسسين تحويل أسهم تمثل أكثر من 5% من رأس المال القائم للشركة، يحق للمستثمر المشاركة في هذا البيع بنفس الشروط ("حق التنازل المشترك").</w:t>
      </w:r>
    </w:p>
    <w:p>
      <w:pPr>
        <w:pStyle w:val="Heading1"/>
        <w:bidi/>
        <w:spacing w:after="150" w:before="300"/>
        <w:jc w:val="right"/>
      </w:pPr>
      <w:r>
        <w:t xml:space="preserve">4. حقوق الاطلاع على المعلومات</w:t>
      </w:r>
    </w:p>
    <w:p>
      <w:pPr>
        <w:bidi/>
        <w:spacing w:after="160"/>
        <w:jc w:val="right"/>
      </w:pPr>
      <w:r>
        <w:rPr>
          <w:rtl/>
        </w:rPr>
        <w:t xml:space="preserve">4.1 طالما احتفظ المستثمر بنسبة لا تقل عن 3% من رأس المال المخفف بالكامل للشركة، تقدم الشركة له بيانات مالية سنوية مدققة خلال تسعين (90) يوماً من نهاية السنة المالية، وبيانات مالية ربع سنوية غير مدققة خلال خمسة وأربعين (45) يوماً من نهاية كل ربع سنة مالية.</w:t>
      </w:r>
    </w:p>
    <w:p>
      <w:pPr>
        <w:pStyle w:val="Heading1"/>
        <w:bidi/>
        <w:spacing w:after="150" w:before="300"/>
        <w:jc w:val="right"/>
      </w:pPr>
      <w:r>
        <w:t xml:space="preserve">5. قيود التنازل</w:t>
      </w:r>
    </w:p>
    <w:p>
      <w:pPr>
        <w:bidi/>
        <w:spacing w:after="160"/>
        <w:jc w:val="right"/>
      </w:pPr>
      <w:r>
        <w:rPr>
          <w:rtl/>
        </w:rPr>
        <w:t xml:space="preserve">5.1 لا يجوز لأي مساهم التنازل عن أي أسهم من رأس مال الشركة إلا وفقاً لهذه الاتفاقية، بما في ذلك حق الشفعة لصالح الشركة ثم المساهمين الآخرين، والامتثال لقوانين الأوراق المالية المعمول بها.</w:t>
      </w:r>
    </w:p>
    <w:p>
      <w:pPr>
        <w:pStyle w:val="Heading1"/>
        <w:bidi/>
        <w:spacing w:after="150" w:before="300"/>
        <w:jc w:val="right"/>
      </w:pPr>
      <w:r>
        <w:t xml:space="preserve">6. الأحكام الحمائية</w:t>
      </w:r>
    </w:p>
    <w:p>
      <w:pPr>
        <w:bidi/>
        <w:spacing w:after="160"/>
        <w:jc w:val="right"/>
      </w:pPr>
      <w:r>
        <w:rPr>
          <w:rtl/>
        </w:rPr>
        <w:t xml:space="preserve">6.1 طالما احتفظ المستثمر بنسبة لا تقل عن 5% من رأس المال المخفف بالكامل للشركة، لا يجوز للشركة، دون موافقة خطية مسبقة من المستثمر: (أ) تعديل عقد التأسيس بشكل يضر بالأسهم الممتازة؛ (ب) إصدار فئة أسهم جديدة ذات أولوية على الأسهم الممتازة؛ أو (ج) تحمل مديونية تتجاوز 2,000,000 دولار، خارج السياق الاعتيادي للأعمال.</w:t>
      </w:r>
    </w:p>
    <w:p>
      <w:pPr>
        <w:pStyle w:val="Heading1"/>
        <w:bidi/>
        <w:spacing w:after="150" w:before="300"/>
        <w:jc w:val="right"/>
      </w:pPr>
      <w:r>
        <w:t xml:space="preserve">7. الإنهاء</w:t>
      </w:r>
    </w:p>
    <w:p>
      <w:pPr>
        <w:bidi/>
        <w:spacing w:after="160"/>
        <w:jc w:val="right"/>
      </w:pPr>
      <w:r>
        <w:rPr>
          <w:rtl/>
        </w:rPr>
        <w:t xml:space="preserve">7.1 تنتهي هذه الاتفاقية تلقائياً عند وقوع أيهما أولاً: طرح عام أولي مؤهل أو بيع الشركة الموافق عليه وفقاً للبند 3.1.</w:t>
      </w:r>
    </w:p>
    <w:p>
      <w:pPr>
        <w:pStyle w:val="Heading1"/>
        <w:bidi/>
        <w:spacing w:after="150" w:before="300"/>
        <w:jc w:val="right"/>
      </w:pPr>
      <w:r>
        <w:t xml:space="preserve">التوقيعات</w:t>
      </w:r>
    </w:p>
    <w:p>
      <w:pPr>
        <w:bidi/>
        <w:spacing w:after="160"/>
        <w:jc w:val="right"/>
      </w:pPr>
      <w:r>
        <w:rPr>
          <w:rtl/>
        </w:rPr>
        <w:t xml:space="preserve">وإثباتاً لما تقدم، وقّع الطرفان على هذه الاتفاقية بتاريخ النفاذ.</w:t>
      </w:r>
    </w:p>
    <w:p>
      <w:pPr>
        <w:spacing w:after="400"/>
      </w:pPr>
    </w:p>
    <w:p>
      <w:pPr>
        <w:bidi/>
        <w:spacing w:after="160"/>
        <w:jc w:val="right"/>
      </w:pPr>
      <w:r>
        <w:rPr>
          <w:rtl/>
        </w:rPr>
        <w:t xml:space="preserve">عن Fathom Robotics, Inc.:  ____________________________</w:t>
      </w:r>
    </w:p>
    <w:p>
      <w:pPr>
        <w:bidi/>
        <w:spacing w:after="160"/>
        <w:jc w:val="right"/>
      </w:pPr>
      <w:r>
        <w:rPr>
          <w:rtl/>
        </w:rPr>
        <w:t xml:space="preserve">الاسم / الصفة:  ____________________________</w:t>
      </w:r>
    </w:p>
    <w:p>
      <w:pPr>
        <w:spacing w:after="300"/>
      </w:pPr>
    </w:p>
    <w:p>
      <w:pPr>
        <w:bidi/>
        <w:spacing w:after="160"/>
        <w:jc w:val="right"/>
      </w:pPr>
      <w:r>
        <w:rPr>
          <w:rtl/>
        </w:rPr>
        <w:t xml:space="preserve">عن Vireo Growth Capital Fund III, L.P.:  ____________________________</w:t>
      </w:r>
    </w:p>
    <w:p>
      <w:pPr>
        <w:bidi/>
        <w:spacing w:after="160"/>
        <w:jc w:val="right"/>
      </w:pPr>
      <w:r>
        <w:rPr>
          <w:rtl/>
        </w:rPr>
        <w:t xml:space="preserve">الاسم / الصفة: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2026-07-08T12:06:48.508Z</dcterms:created>
  <dcterms:modified xsi:type="dcterms:W3CDTF">2026-07-08T12:06:48.508Z</dcterms:modified>
</cp:coreProperties>
</file>

<file path=docProps/custom.xml><?xml version="1.0" encoding="utf-8"?>
<Properties xmlns="http://schemas.openxmlformats.org/officeDocument/2006/custom-properties" xmlns:vt="http://schemas.openxmlformats.org/officeDocument/2006/docPropsVTypes"/>
</file>