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PACTE D'ACTIONNAIRES</w:t>
      </w:r>
    </w:p>
    <w:p>
      <w:pPr>
        <w:spacing w:after="120"/>
      </w:pPr>
      <w:r>
        <w:t xml:space="preserve">Le présent Pacte d'Actionnaires (le « Pacte ») est conclu à la date du 6 juillet 2026, entre Fathom Robotics, Inc., une société de droit du Delaware (la « Société »), Vireo Growth Capital Fund III, L.P., une société en commandite du Delaware (l'« Investisseur »), et les autres parties figurant aux pages de signature des présentes, dans le cadre de l'acquisition par l'Investisseur d'actions préférentielles de Série B de la Société.</w:t>
      </w:r>
    </w:p>
    <w:p>
      <w:pPr>
        <w:spacing w:after="120"/>
      </w:pPr>
      <w:r>
        <w:rPr>
          <w:b/>
          <w:bCs/>
        </w:rPr>
        <w:t xml:space="preserve">« Actions Préférentielles »</w:t>
      </w:r>
      <w:r>
        <w:t xml:space="preserve"> désigne les actions préférentielles de Série B de la Société acquises par l'Investisseur en vertu du Contrat d'Achat d'Actions Préférentielles de Série B conclu à la même date que les présentes.</w:t>
      </w:r>
    </w:p>
    <w:p>
      <w:pPr>
        <w:spacing w:after="120"/>
      </w:pPr>
      <w:r>
        <w:rPr>
          <w:b/>
          <w:bCs/>
        </w:rPr>
        <w:t xml:space="preserve">« Introduction en Bourse Qualifiée »</w:t>
      </w:r>
      <w:r>
        <w:t xml:space="preserve"> désigne une offre publique souscrite d'actions ordinaires de la Société avec un produit brut global d'au moins 75 000 000 $ et une valorisation pré-offre d'au moins 400 000 000 $.</w:t>
      </w:r>
    </w:p>
    <w:p>
      <w:pPr>
        <w:pStyle w:val="Heading1"/>
        <w:spacing w:after="130" w:before="260"/>
      </w:pPr>
      <w:r>
        <w:t xml:space="preserve">1. COMPOSITION DU CONSEIL D'ADMINISTRATION</w:t>
      </w:r>
    </w:p>
    <w:p>
      <w:pPr>
        <w:spacing w:after="120"/>
      </w:pPr>
      <w:r>
        <w:t xml:space="preserve">1.1 Le conseil d'administration de la Société sera composé de cinq (5) membres : deux (2) désignés par les fondateurs, un (1) désigné par l'Investisseur tant que celui-ci détiendra au moins 5 % du capital pleinement dilué de la Société, et deux (2) administrateurs indépendants désignés d'un commun accord entre les fondateurs et l'Investisseur.</w:t>
      </w:r>
    </w:p>
    <w:p>
      <w:pPr>
        <w:pStyle w:val="Heading1"/>
        <w:spacing w:after="130" w:before="260"/>
      </w:pPr>
      <w:r>
        <w:t xml:space="preserve">2. DROIT DE PRÉEMPTION</w:t>
      </w:r>
    </w:p>
    <w:p>
      <w:pPr>
        <w:spacing w:after="120"/>
      </w:pPr>
      <w:r>
        <w:t xml:space="preserve">2.1 L'Investisseur aura le droit d'acquérir sa quote-part proportionnelle de tout nouveau titre émis par la Société, sous réserve des exceptions usuelles pour les émissions au titre des plans d'intéressement, les acquisitions et les émissions liées à une Introduction en Bourse Qualifiée.</w:t>
      </w:r>
    </w:p>
    <w:p>
      <w:pPr>
        <w:pStyle w:val="Heading1"/>
        <w:spacing w:after="130" w:before="260"/>
      </w:pPr>
      <w:r>
        <w:t xml:space="preserve">3. DROITS DE CESSION FORCÉE ET DE CESSION CONJOINTE</w:t>
      </w:r>
    </w:p>
    <w:p>
      <w:pPr>
        <w:spacing w:after="120"/>
      </w:pPr>
      <w:r>
        <w:t xml:space="preserve">3.1 Si les détenteurs de la majorité des Actions Préférentielles en circulation et une majorité du conseil approuvent une cession de la Société, tous les autres actionnaires seront tenus de voter en faveur de cette opération et d'y consentir (« Droit de Cession Forcée »), sous réserve de protections usuelles concernant la contrepartie et les déclarations.</w:t>
      </w:r>
    </w:p>
    <w:p>
      <w:pPr>
        <w:spacing w:after="120"/>
      </w:pPr>
      <w:r>
        <w:t xml:space="preserve">3.2 Si un fondateur propose de céder des actions représentant plus de 5 % du capital social en circulation de la Société, l'Investisseur aura le droit de participer à cette cession aux mêmes conditions (« Droit de Cession Conjointe »).</w:t>
      </w:r>
    </w:p>
    <w:p>
      <w:pPr>
        <w:pStyle w:val="Heading1"/>
        <w:spacing w:after="130" w:before="260"/>
      </w:pPr>
      <w:r>
        <w:t xml:space="preserve">4. DROITS À L'INFORMATION</w:t>
      </w:r>
    </w:p>
    <w:p>
      <w:pPr>
        <w:spacing w:after="120"/>
      </w:pPr>
      <w:r>
        <w:t xml:space="preserve">4.1 Tant que l'Investisseur détiendra au moins 3 % du capital pleinement dilué de la Société, la Société lui remettra des états financiers annuels audités dans un délai de quatre-vingt-dix (90) jours suivant la fin de l'exercice fiscal, et des états financiers trimestriels non audités dans un délai de quarante-cinq (45) jours suivant la fin de chaque trimestre fiscal.</w:t>
      </w:r>
    </w:p>
    <w:p>
      <w:pPr>
        <w:pStyle w:val="Heading1"/>
        <w:spacing w:after="130" w:before="260"/>
      </w:pPr>
      <w:r>
        <w:t xml:space="preserve">5. RESTRICTIONS DE CESSION</w:t>
      </w:r>
    </w:p>
    <w:p>
      <w:pPr>
        <w:spacing w:after="120"/>
      </w:pPr>
      <w:r>
        <w:t xml:space="preserve">5.1 Aucun actionnaire ne pourra céder d'actions du capital social de la Société sauf conformément au présent Pacte, y compris un droit de préemption au profit de la Société puis des autres actionnaires, et dans le respect des lois applicables sur les valeurs mobilières.</w:t>
      </w:r>
    </w:p>
    <w:p>
      <w:pPr>
        <w:pStyle w:val="Heading1"/>
        <w:spacing w:after="130" w:before="260"/>
      </w:pPr>
      <w:r>
        <w:t xml:space="preserve">6. CLAUSES PROTECTRICES</w:t>
      </w:r>
    </w:p>
    <w:p>
      <w:pPr>
        <w:spacing w:after="120"/>
      </w:pPr>
      <w:r>
        <w:t xml:space="preserve">6.1 Tant que l'Investisseur détiendra au moins 5 % du capital pleinement dilué de la Société, celle-ci ne pourra, sans le consentement écrit préalable de l'Investisseur : (a) modifier ses statuts d'une manière défavorable aux Actions Préférentielles ; (b) créer une nouvelle catégorie d'actions de rang supérieur aux Actions Préférentielles ; ou (c) contracter un endettement supérieur à 2 000 000 $, hors cours normal des affaires.</w:t>
      </w:r>
    </w:p>
    <w:p>
      <w:pPr>
        <w:pStyle w:val="Heading1"/>
        <w:spacing w:after="130" w:before="260"/>
      </w:pPr>
      <w:r>
        <w:t xml:space="preserve">7. RÉSILIATION</w:t>
      </w:r>
    </w:p>
    <w:p>
      <w:pPr>
        <w:spacing w:after="120"/>
      </w:pPr>
      <w:r>
        <w:t xml:space="preserve">7.1 Le présent Pacte prendra automatiquement fin à la première des dates suivantes : une Introduction en Bourse Qualifiée ou une cession de la Société approuvée conformément à l'article 3.1.</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Fathom Robotics, Inc. :  ____________________________</w:t>
      </w:r>
    </w:p>
    <w:p>
      <w:pPr>
        <w:spacing w:after="120"/>
      </w:pPr>
      <w:r>
        <w:t xml:space="preserve">Nom / Fonction :  ____________________________</w:t>
      </w:r>
    </w:p>
    <w:p>
      <w:pPr>
        <w:spacing w:after="260"/>
      </w:pPr>
    </w:p>
    <w:p>
      <w:pPr>
        <w:spacing w:after="120"/>
      </w:pPr>
      <w:r>
        <w:t xml:space="preserve">Pour Vireo Growth Capital Fund III, L.P.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2026-07-08T11:40:09.734Z</dcterms:created>
  <dcterms:modified xsi:type="dcterms:W3CDTF">2026-07-08T11:40:09.734Z</dcterms:modified>
</cp:coreProperties>
</file>

<file path=docProps/custom.xml><?xml version="1.0" encoding="utf-8"?>
<Properties xmlns="http://schemas.openxmlformats.org/officeDocument/2006/custom-properties" xmlns:vt="http://schemas.openxmlformats.org/officeDocument/2006/docPropsVTypes"/>
</file>