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7A9B" w14:textId="77777777" w:rsidR="00F4240D" w:rsidRDefault="00000000">
      <w:pPr>
        <w:pStyle w:val="Heading1"/>
      </w:pPr>
      <w:bookmarkStart w:id="0" w:name="datacendia--nelson-irrigation-australia"/>
      <w:r>
        <w:t>Datacendia × Nelson Irrigation Australia</w:t>
      </w:r>
    </w:p>
    <w:p w14:paraId="73B96698" w14:textId="77777777" w:rsidR="00F4240D" w:rsidRDefault="00000000">
      <w:pPr>
        <w:pStyle w:val="Heading3"/>
      </w:pPr>
      <w:bookmarkStart w:id="1" w:name="Xc72d68d47f238ec585e99cc1508f3d0ae2abe5d"/>
      <w:r>
        <w:t>Governance-grade evidence for water-management decisions</w:t>
      </w:r>
    </w:p>
    <w:p w14:paraId="2AA1D0B4" w14:textId="77777777" w:rsidR="00F4240D" w:rsidRDefault="00000000">
      <w:r>
        <w:pict w14:anchorId="16C30178">
          <v:rect id="_x0000_i1025" style="width:0;height:1.5pt" o:hralign="center" o:hrstd="t" o:hr="t"/>
        </w:pict>
      </w:r>
    </w:p>
    <w:p w14:paraId="1CD04A0E" w14:textId="77777777" w:rsidR="00F4240D" w:rsidRDefault="00000000">
      <w:pPr>
        <w:pStyle w:val="Heading2"/>
      </w:pPr>
      <w:bookmarkStart w:id="2" w:name="what-datacendia-is"/>
      <w:bookmarkEnd w:id="1"/>
      <w:r>
        <w:t>What Datacendia is</w:t>
      </w:r>
    </w:p>
    <w:p w14:paraId="7DB5CB8E" w14:textId="77777777" w:rsidR="00F4240D" w:rsidRDefault="00000000">
      <w:pPr>
        <w:pStyle w:val="FirstParagraph"/>
      </w:pPr>
      <w:r>
        <w:t xml:space="preserve">Datacendia is </w:t>
      </w:r>
      <w:r>
        <w:rPr>
          <w:b/>
          <w:bCs/>
        </w:rPr>
        <w:t>Decision Crisis Immunization Infrastructure (DCII)</w:t>
      </w:r>
      <w:r>
        <w:t xml:space="preserve"> — the evidentiary layer that proves a high-stakes decision was made </w:t>
      </w:r>
      <w:r>
        <w:rPr>
          <w:i/>
          <w:iCs/>
        </w:rPr>
        <w:t>correctly</w:t>
      </w:r>
      <w:r>
        <w:t xml:space="preserve"> when it's challenged years later by a regulator, a court, a board inquiry, or a client. It is not business intelligence, and it is not another AI API. It is a decision-governance layer that runs on your own infrastructure and produces cryptographically verifiable evidence for every recommendation it helps you reach.</w:t>
      </w:r>
    </w:p>
    <w:p w14:paraId="424F09EF" w14:textId="77777777" w:rsidR="00F4240D" w:rsidRDefault="00000000">
      <w:pPr>
        <w:pStyle w:val="BodyText"/>
      </w:pPr>
      <w:r>
        <w:t>It rests on three pillars:</w:t>
      </w:r>
    </w:p>
    <w:p w14:paraId="6D3CFFB2" w14:textId="77777777" w:rsidR="00F424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The Council™</w:t>
      </w:r>
      <w:r>
        <w:t xml:space="preserve"> — 40+ specialised AI agents deliberate a decision, each from its own domain (for example, a Water Engineer, an Agronomist, and an Environmental Compliance officer). They cross-examine one another to surface blind spots, conflicts and consensus </w:t>
      </w:r>
      <w:r>
        <w:rPr>
          <w:i/>
          <w:iCs/>
        </w:rPr>
        <w:t>before</w:t>
      </w:r>
      <w:r>
        <w:t xml:space="preserve"> you commit — a structured boardroom debate, not a single chatbot answer.</w:t>
      </w:r>
    </w:p>
    <w:p w14:paraId="582A42C1" w14:textId="77777777" w:rsidR="00F424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Decide™</w:t>
      </w:r>
      <w:r>
        <w:t xml:space="preserve"> — decision intelligence around that debate: what-if simulation, pre-mortem failure prediction, cost-of-inaction analysis, and consequence mapping.</w:t>
      </w:r>
    </w:p>
    <w:p w14:paraId="684FBFF3" w14:textId="77777777" w:rsidR="00F4240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DCII™</w:t>
      </w:r>
      <w:r>
        <w:t xml:space="preserve"> — the evidence layer. Every deliberation automatically generates a </w:t>
      </w:r>
      <w:r>
        <w:rPr>
          <w:b/>
          <w:bCs/>
        </w:rPr>
        <w:t>Regulator's Receipt™</w:t>
      </w:r>
      <w:r>
        <w:t>: SHA-256 hashed, Merkle-tree verified, timestamped, and independently verifiable with standard tools — no Datacendia needed — with compliance gates marked PASS or FAIL against frameworks like ISO 27001, GDPR and the EU AI Act.</w:t>
      </w:r>
    </w:p>
    <w:p w14:paraId="5683C550" w14:textId="77777777" w:rsidR="00F4240D" w:rsidRDefault="00000000">
      <w:pPr>
        <w:pStyle w:val="FirstParagraph"/>
      </w:pPr>
      <w:r>
        <w:t xml:space="preserve">Deployment is </w:t>
      </w:r>
      <w:r>
        <w:rPr>
          <w:b/>
          <w:bCs/>
        </w:rPr>
        <w:t>sovereign</w:t>
      </w:r>
      <w:r>
        <w:t xml:space="preserve"> — cloud, private cloud, on-premises, or fully air-gapped — with your encryption keys and your audit ledger. No vendor lock-in, no black box.</w:t>
      </w:r>
    </w:p>
    <w:p w14:paraId="18356774" w14:textId="77777777" w:rsidR="00F4240D" w:rsidRDefault="00000000">
      <w:pPr>
        <w:pStyle w:val="BodyText"/>
      </w:pPr>
      <w:r>
        <w:t xml:space="preserve">The core idea in one line: </w:t>
      </w:r>
      <w:r>
        <w:rPr>
          <w:b/>
          <w:bCs/>
        </w:rPr>
        <w:t>the value isn't logging the decision — it's the cross-examination that produces it, and the proof that it happened.</w:t>
      </w:r>
    </w:p>
    <w:p w14:paraId="53CE9B5D" w14:textId="77777777" w:rsidR="00F4240D" w:rsidRDefault="00000000">
      <w:r>
        <w:pict w14:anchorId="521C094C">
          <v:rect id="_x0000_i1026" style="width:0;height:1.5pt" o:hralign="center" o:hrstd="t" o:hr="t"/>
        </w:pict>
      </w:r>
    </w:p>
    <w:p w14:paraId="382B30E7" w14:textId="77777777" w:rsidR="00F4240D" w:rsidRDefault="00000000">
      <w:pPr>
        <w:pStyle w:val="Heading2"/>
      </w:pPr>
      <w:bookmarkStart w:id="3" w:name="where-it-helps-nelson-irrigation"/>
      <w:bookmarkEnd w:id="2"/>
      <w:r>
        <w:t>Where it helps Nelson Irrigation</w:t>
      </w:r>
    </w:p>
    <w:p w14:paraId="6BFFD9E5" w14:textId="77777777" w:rsidR="00F4240D" w:rsidRDefault="00000000">
      <w:pPr>
        <w:pStyle w:val="FirstParagraph"/>
      </w:pPr>
      <w:r>
        <w:t>Nelson designs and supplies precision irrigation for agricultural and industrial clients across Australia — decisions that span system specification, product recommendation, water-licence compliance, and capital projects worth $500K to $5M+. Today, much of that engineering reasoning is informal and undocumented. That's exactly the gap Datacendia closes.</w:t>
      </w:r>
    </w:p>
    <w:p w14:paraId="51570713" w14:textId="77777777" w:rsidR="00F4240D" w:rsidRDefault="00000000">
      <w:pPr>
        <w:pStyle w:val="BodyText"/>
      </w:pPr>
      <w:r>
        <w:rPr>
          <w:b/>
          <w:bCs/>
        </w:rPr>
        <w:lastRenderedPageBreak/>
        <w:t>1. Defensible system-specification decisions.</w:t>
      </w:r>
      <w:r>
        <w:t xml:space="preserve"> When an engineer recommends emitter spacing, pump sizing or zone configuration for, say, a 2,000-hectare cotton property, a Council deliberation between the Water Engineer, Agronomist and Environmental Compliance agents produces a signed evidence packet proving due diligence — which matters enormously if that design later contributes to crop loss or a licence breach.</w:t>
      </w:r>
    </w:p>
    <w:p w14:paraId="12B73880" w14:textId="77777777" w:rsidR="00F4240D" w:rsidRDefault="00000000">
      <w:pPr>
        <w:pStyle w:val="BodyText"/>
      </w:pPr>
      <w:r>
        <w:rPr>
          <w:b/>
          <w:bCs/>
        </w:rPr>
        <w:t>2. Australian water law, built in.</w:t>
      </w:r>
      <w:r>
        <w:t xml:space="preserve"> A water vertical configured for Nelson would embed the Water Act 2007 (Cth) and Murray–Darling Basin Plan thresholds, state water-sharing plans (NSW, Vic, SA), NGER water-intensity reporting for industrial clients, and WaterMark certification. Compliance agents can then flag when a recommended configuration would push a client toward their allocation limit — </w:t>
      </w:r>
      <w:r>
        <w:rPr>
          <w:i/>
          <w:iCs/>
        </w:rPr>
        <w:t>before</w:t>
      </w:r>
      <w:r>
        <w:t xml:space="preserve"> the design is submitted.</w:t>
      </w:r>
    </w:p>
    <w:p w14:paraId="19FF3CC0" w14:textId="77777777" w:rsidR="00F4240D" w:rsidRDefault="00000000">
      <w:pPr>
        <w:pStyle w:val="BodyText"/>
      </w:pPr>
      <w:r>
        <w:rPr>
          <w:b/>
          <w:bCs/>
        </w:rPr>
        <w:t>3. Industrial water governance.</w:t>
      </w:r>
      <w:r>
        <w:t xml:space="preserve"> Mining, processing and municipal clients face intense scrutiny over extraction and discharge. Datacendia gives them a forensic-grade audit trail of why a recycling system was specified the way it was, what alternatives were weighed, and what dissent was recorded — handed to a regulator or board without reconstruction.</w:t>
      </w:r>
    </w:p>
    <w:p w14:paraId="6FCA58B4" w14:textId="77777777" w:rsidR="00F4240D" w:rsidRDefault="00000000">
      <w:pPr>
        <w:pStyle w:val="BodyText"/>
      </w:pPr>
      <w:r>
        <w:rPr>
          <w:b/>
          <w:bCs/>
        </w:rPr>
        <w:t>4. Capital-project deliberation.</w:t>
      </w:r>
      <w:r>
        <w:t xml:space="preserve"> On large infrastructure decisions, ROI, Environmental and Operational-Risk agents surface second-order effects — aquifer drawdown timelines, downstream licence conflicts — that a single engineer's report wouldn't catch.</w:t>
      </w:r>
    </w:p>
    <w:p w14:paraId="40B9F21E" w14:textId="77777777" w:rsidR="00F4240D" w:rsidRDefault="00000000">
      <w:pPr>
        <w:pStyle w:val="BodyText"/>
      </w:pPr>
      <w:r>
        <w:rPr>
          <w:b/>
          <w:bCs/>
        </w:rPr>
        <w:t>5. Product-liability defensibility.</w:t>
      </w:r>
      <w:r>
        <w:t xml:space="preserve"> A signed record of a sound process (deliberation held, dissent recorded, compliance checks passed) is a legal-defensibility layer no competitor in the irrigation sector currently offers.</w:t>
      </w:r>
    </w:p>
    <w:p w14:paraId="388A4523" w14:textId="77777777" w:rsidR="00F4240D" w:rsidRDefault="00000000">
      <w:pPr>
        <w:pStyle w:val="BodyText"/>
      </w:pPr>
      <w:r>
        <w:rPr>
          <w:b/>
          <w:bCs/>
        </w:rPr>
        <w:t>6. ESG &amp; sustainability reporting.</w:t>
      </w:r>
      <w:r>
        <w:t xml:space="preserve"> Water-use decisions documented for GRI 303 and SASB disclosures — letting Nelson offer </w:t>
      </w:r>
      <w:r>
        <w:rPr>
          <w:i/>
          <w:iCs/>
        </w:rPr>
        <w:t>governance-as-a-service</w:t>
      </w:r>
      <w:r>
        <w:t xml:space="preserve"> on top of equipment sales, a recurring-revenue differentiator.</w:t>
      </w:r>
    </w:p>
    <w:p w14:paraId="2B8B1A32" w14:textId="77777777" w:rsidR="00F4240D" w:rsidRDefault="00000000">
      <w:pPr>
        <w:pStyle w:val="BodyText"/>
      </w:pPr>
      <w:r>
        <w:rPr>
          <w:b/>
          <w:bCs/>
        </w:rPr>
        <w:t>7. Precision-agriculture data integration.</w:t>
      </w:r>
      <w:r>
        <w:t xml:space="preserve"> Connected to the soil-moisture sensors, weather APIs and BoM feeds clients already use, the Council can flag when AI-recommended irrigation scheduling conflicts with a coming water restriction or allocation cap.</w:t>
      </w:r>
    </w:p>
    <w:p w14:paraId="1278B8C6" w14:textId="77777777" w:rsidR="00F4240D" w:rsidRDefault="00000000">
      <w:r>
        <w:pict w14:anchorId="189D8500">
          <v:rect id="_x0000_i1027" style="width:0;height:1.5pt" o:hralign="center" o:hrstd="t" o:hr="t"/>
        </w:pict>
      </w:r>
    </w:p>
    <w:p w14:paraId="3C5537C8" w14:textId="77777777" w:rsidR="00F4240D" w:rsidRDefault="00000000">
      <w:pPr>
        <w:pStyle w:val="Heading2"/>
      </w:pPr>
      <w:bookmarkStart w:id="4" w:name="the-mechanism-that-makes-it-work"/>
      <w:bookmarkEnd w:id="3"/>
      <w:r>
        <w:t>The mechanism that makes it work</w:t>
      </w:r>
    </w:p>
    <w:p w14:paraId="2C49C1CF" w14:textId="77777777" w:rsidR="00F4240D" w:rsidRDefault="00000000">
      <w:pPr>
        <w:pStyle w:val="FirstParagraph"/>
      </w:pPr>
      <w:r>
        <w:t xml:space="preserve">When a Nelson engineer proposes a design, the Environmental Compliance agent might surface that the aquifer drawdown rate exceeds the sustainable yield under the regional water-sharing plan. That finding doesn't come from any single agent — it </w:t>
      </w:r>
      <w:r>
        <w:rPr>
          <w:i/>
          <w:iCs/>
        </w:rPr>
        <w:t>emerges</w:t>
      </w:r>
      <w:r>
        <w:t xml:space="preserve"> because the Compliance agent has a different mandate than the Design agent and is forced to challenge the framing. It's the same adversarial pattern Datacendia has demonstrated in banking, healthcare, defence and sport. Water management has </w:t>
      </w:r>
      <w:r>
        <w:lastRenderedPageBreak/>
        <w:t>the identical tension: optimisation (maximise yield) versus constraint (protect the allocation, comply with the licence, protect downstream users).</w:t>
      </w:r>
    </w:p>
    <w:p w14:paraId="249CE6FC" w14:textId="77777777" w:rsidR="00F4240D" w:rsidRDefault="00000000">
      <w:r>
        <w:pict w14:anchorId="6E04030D">
          <v:rect id="_x0000_i1028" style="width:0;height:1.5pt" o:hralign="center" o:hrstd="t" o:hr="t"/>
        </w:pict>
      </w:r>
    </w:p>
    <w:p w14:paraId="325621A5" w14:textId="77777777" w:rsidR="00F4240D" w:rsidRDefault="00000000">
      <w:pPr>
        <w:pStyle w:val="Heading2"/>
      </w:pPr>
      <w:bookmarkStart w:id="5" w:name="summary"/>
      <w:bookmarkEnd w:id="4"/>
      <w:r>
        <w:t>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18"/>
        <w:gridCol w:w="4736"/>
      </w:tblGrid>
      <w:tr w:rsidR="00F4240D" w14:paraId="5D99B22C" w14:textId="77777777" w:rsidTr="00F424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559773" w14:textId="77777777" w:rsidR="00F4240D" w:rsidRDefault="00000000">
            <w:pPr>
              <w:pStyle w:val="Compact"/>
            </w:pPr>
            <w:r>
              <w:t>Benefit</w:t>
            </w:r>
          </w:p>
        </w:tc>
        <w:tc>
          <w:tcPr>
            <w:tcW w:w="0" w:type="auto"/>
          </w:tcPr>
          <w:p w14:paraId="479FEED1" w14:textId="77777777" w:rsidR="00F4240D" w:rsidRDefault="00000000">
            <w:pPr>
              <w:pStyle w:val="Compact"/>
            </w:pPr>
            <w:r>
              <w:t>Nelson's problem it solves</w:t>
            </w:r>
          </w:p>
        </w:tc>
      </w:tr>
      <w:tr w:rsidR="00F4240D" w14:paraId="076320D6" w14:textId="77777777">
        <w:tc>
          <w:tcPr>
            <w:tcW w:w="0" w:type="auto"/>
          </w:tcPr>
          <w:p w14:paraId="6C55318D" w14:textId="77777777" w:rsidR="00F4240D" w:rsidRDefault="00000000">
            <w:pPr>
              <w:pStyle w:val="Compact"/>
            </w:pPr>
            <w:r>
              <w:t>Defensible specification evidence</w:t>
            </w:r>
          </w:p>
        </w:tc>
        <w:tc>
          <w:tcPr>
            <w:tcW w:w="0" w:type="auto"/>
          </w:tcPr>
          <w:p w14:paraId="1B5AD9D2" w14:textId="77777777" w:rsidR="00F4240D" w:rsidRDefault="00000000">
            <w:pPr>
              <w:pStyle w:val="Compact"/>
            </w:pPr>
            <w:r>
              <w:t>Product liability, client disputes</w:t>
            </w:r>
          </w:p>
        </w:tc>
      </w:tr>
      <w:tr w:rsidR="00F4240D" w14:paraId="28D77637" w14:textId="77777777">
        <w:tc>
          <w:tcPr>
            <w:tcW w:w="0" w:type="auto"/>
          </w:tcPr>
          <w:p w14:paraId="00EF7987" w14:textId="77777777" w:rsidR="00F4240D" w:rsidRDefault="00000000">
            <w:pPr>
              <w:pStyle w:val="Compact"/>
            </w:pPr>
            <w:r>
              <w:t>Australian water-law compliance mapping</w:t>
            </w:r>
          </w:p>
        </w:tc>
        <w:tc>
          <w:tcPr>
            <w:tcW w:w="0" w:type="auto"/>
          </w:tcPr>
          <w:p w14:paraId="7E15E3F7" w14:textId="77777777" w:rsidR="00F4240D" w:rsidRDefault="00000000">
            <w:pPr>
              <w:pStyle w:val="Compact"/>
            </w:pPr>
            <w:r>
              <w:t>Licence-breach risk, regulator exposure</w:t>
            </w:r>
          </w:p>
        </w:tc>
      </w:tr>
      <w:tr w:rsidR="00F4240D" w14:paraId="07FE50A9" w14:textId="77777777">
        <w:tc>
          <w:tcPr>
            <w:tcW w:w="0" w:type="auto"/>
          </w:tcPr>
          <w:p w14:paraId="6CDEE82E" w14:textId="77777777" w:rsidR="00F4240D" w:rsidRDefault="00000000">
            <w:pPr>
              <w:pStyle w:val="Compact"/>
            </w:pPr>
            <w:r>
              <w:t>Industrial water governance trails</w:t>
            </w:r>
          </w:p>
        </w:tc>
        <w:tc>
          <w:tcPr>
            <w:tcW w:w="0" w:type="auto"/>
          </w:tcPr>
          <w:p w14:paraId="3E7E2280" w14:textId="77777777" w:rsidR="00F4240D" w:rsidRDefault="00000000">
            <w:pPr>
              <w:pStyle w:val="Compact"/>
            </w:pPr>
            <w:r>
              <w:t>Mining / municipal client audit requirements</w:t>
            </w:r>
          </w:p>
        </w:tc>
      </w:tr>
      <w:tr w:rsidR="00F4240D" w14:paraId="52542F72" w14:textId="77777777">
        <w:tc>
          <w:tcPr>
            <w:tcW w:w="0" w:type="auto"/>
          </w:tcPr>
          <w:p w14:paraId="426913CC" w14:textId="77777777" w:rsidR="00F4240D" w:rsidRDefault="00000000">
            <w:pPr>
              <w:pStyle w:val="Compact"/>
            </w:pPr>
            <w:r>
              <w:t>Capital-project deliberation</w:t>
            </w:r>
          </w:p>
        </w:tc>
        <w:tc>
          <w:tcPr>
            <w:tcW w:w="0" w:type="auto"/>
          </w:tcPr>
          <w:p w14:paraId="54295FFC" w14:textId="77777777" w:rsidR="00F4240D" w:rsidRDefault="00000000">
            <w:pPr>
              <w:pStyle w:val="Compact"/>
            </w:pPr>
            <w:r>
              <w:t>Large-project risk, missed second-order effects</w:t>
            </w:r>
          </w:p>
        </w:tc>
      </w:tr>
      <w:tr w:rsidR="00F4240D" w14:paraId="17A32E4B" w14:textId="77777777">
        <w:tc>
          <w:tcPr>
            <w:tcW w:w="0" w:type="auto"/>
          </w:tcPr>
          <w:p w14:paraId="02AD0DA5" w14:textId="77777777" w:rsidR="00F4240D" w:rsidRDefault="00000000">
            <w:pPr>
              <w:pStyle w:val="Compact"/>
            </w:pPr>
            <w:r>
              <w:t>ESG documentation</w:t>
            </w:r>
          </w:p>
        </w:tc>
        <w:tc>
          <w:tcPr>
            <w:tcW w:w="0" w:type="auto"/>
          </w:tcPr>
          <w:p w14:paraId="43F135A1" w14:textId="77777777" w:rsidR="00F4240D" w:rsidRDefault="00000000">
            <w:pPr>
              <w:pStyle w:val="Compact"/>
            </w:pPr>
            <w:r>
              <w:t>Client reporting obligations, export compliance</w:t>
            </w:r>
          </w:p>
        </w:tc>
      </w:tr>
      <w:tr w:rsidR="00F4240D" w14:paraId="29857D65" w14:textId="77777777">
        <w:tc>
          <w:tcPr>
            <w:tcW w:w="0" w:type="auto"/>
          </w:tcPr>
          <w:p w14:paraId="6A33C4B1" w14:textId="77777777" w:rsidR="00F4240D" w:rsidRDefault="00000000">
            <w:pPr>
              <w:pStyle w:val="Compact"/>
            </w:pPr>
            <w:r>
              <w:t>Precision-ag data integration</w:t>
            </w:r>
          </w:p>
        </w:tc>
        <w:tc>
          <w:tcPr>
            <w:tcW w:w="0" w:type="auto"/>
          </w:tcPr>
          <w:p w14:paraId="5F0DA526" w14:textId="77777777" w:rsidR="00F4240D" w:rsidRDefault="00000000">
            <w:pPr>
              <w:pStyle w:val="Compact"/>
            </w:pPr>
            <w:r>
              <w:t>Real-time scheduling decisions</w:t>
            </w:r>
          </w:p>
        </w:tc>
      </w:tr>
    </w:tbl>
    <w:p w14:paraId="01285653" w14:textId="77777777" w:rsidR="00F4240D" w:rsidRDefault="00000000">
      <w:pPr>
        <w:pStyle w:val="BodyText"/>
      </w:pPr>
      <w:r>
        <w:t>In short: a platform capability no irrigation equipment company offers — governance-grade decision evidence — turning a one-time equipment sale into an ongoing decision-governance relationship with every client running significant water allocations.</w:t>
      </w:r>
    </w:p>
    <w:p w14:paraId="03845E56" w14:textId="77777777" w:rsidR="00F4240D" w:rsidRDefault="00000000">
      <w:r>
        <w:pict w14:anchorId="2AF5F073">
          <v:rect id="_x0000_i1029" style="width:0;height:1.5pt" o:hralign="center" o:hrstd="t" o:hr="t"/>
        </w:pict>
      </w:r>
    </w:p>
    <w:p w14:paraId="0823B4DB" w14:textId="77777777" w:rsidR="00F4240D" w:rsidRDefault="00000000">
      <w:pPr>
        <w:pStyle w:val="Heading2"/>
      </w:pPr>
      <w:bookmarkStart w:id="6" w:name="an-honest-note"/>
      <w:bookmarkEnd w:id="5"/>
      <w:r>
        <w:t>An honest note</w:t>
      </w:r>
    </w:p>
    <w:p w14:paraId="5CDDE997" w14:textId="77777777" w:rsidR="00F4240D" w:rsidRDefault="00000000">
      <w:pPr>
        <w:pStyle w:val="FirstParagraph"/>
      </w:pPr>
      <w:r>
        <w:t xml:space="preserve">Datacendia governs the </w:t>
      </w:r>
      <w:r>
        <w:rPr>
          <w:i/>
          <w:iCs/>
        </w:rPr>
        <w:t>decision process</w:t>
      </w:r>
      <w:r>
        <w:t xml:space="preserve">; it doesn't replace your engineers' judgement or make the engineering call for them. As one pilot client put it: </w:t>
      </w:r>
      <w:r>
        <w:rPr>
          <w:i/>
          <w:iCs/>
        </w:rPr>
        <w:t>"The system didn't tell us what to do. It forced us to be explicit about why we chose to do it."</w:t>
      </w:r>
      <w:r>
        <w:t xml:space="preserve"> Everything runs on infrastructure you control, and the evidence is verifiable independently of us.</w:t>
      </w:r>
    </w:p>
    <w:p w14:paraId="485730FC" w14:textId="77777777" w:rsidR="00F4240D" w:rsidRDefault="00000000">
      <w:r>
        <w:pict w14:anchorId="381646D1">
          <v:rect id="_x0000_i1030" style="width:0;height:1.5pt" o:hralign="center" o:hrstd="t" o:hr="t"/>
        </w:pict>
      </w:r>
    </w:p>
    <w:p w14:paraId="53FF0B83" w14:textId="77777777" w:rsidR="00F4240D" w:rsidRDefault="00000000">
      <w:pPr>
        <w:pStyle w:val="Heading2"/>
      </w:pPr>
      <w:bookmarkStart w:id="7" w:name="getting-started"/>
      <w:bookmarkEnd w:id="6"/>
      <w:r>
        <w:t>Getting started</w:t>
      </w:r>
    </w:p>
    <w:p w14:paraId="7A6983DE" w14:textId="1C8AB567" w:rsidR="00F4240D" w:rsidRDefault="00A0541E">
      <w:pPr>
        <w:pStyle w:val="FirstParagraph"/>
      </w:pPr>
      <w:r>
        <w:t>A</w:t>
      </w:r>
      <w:r w:rsidR="00000000">
        <w:t xml:space="preserve"> structured 90-day pilot proves value on a single real decision before any wider rollout. Pilots run on your own infrastructure. The natural first step is a short briefing to pick one live, high-stakes decision and run it through the Council together.</w:t>
      </w:r>
    </w:p>
    <w:p w14:paraId="3CF4CF57" w14:textId="0898EF81" w:rsidR="00F4240D" w:rsidRDefault="00000000">
      <w:pPr>
        <w:pStyle w:val="BodyText"/>
      </w:pPr>
      <w:r>
        <w:rPr>
          <w:b/>
          <w:bCs/>
        </w:rPr>
        <w:t xml:space="preserve">Stuart </w:t>
      </w:r>
      <w:r w:rsidR="00EF522E">
        <w:rPr>
          <w:b/>
          <w:bCs/>
        </w:rPr>
        <w:t>Rainey</w:t>
      </w:r>
      <w:r>
        <w:t xml:space="preserve"> · Datacendia</w:t>
      </w:r>
      <w:r>
        <w:br/>
      </w:r>
      <w:hyperlink r:id="rId7">
        <w:r>
          <w:rPr>
            <w:rStyle w:val="Hyperlink"/>
          </w:rPr>
          <w:t>contact@datacendia.com</w:t>
        </w:r>
      </w:hyperlink>
      <w:r>
        <w:t xml:space="preserve"> · datacendia.com</w:t>
      </w:r>
      <w:bookmarkEnd w:id="0"/>
      <w:bookmarkEnd w:id="7"/>
    </w:p>
    <w:sectPr w:rsidR="00F4240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42317" w14:textId="77777777" w:rsidR="00A21D01" w:rsidRDefault="00A21D01">
      <w:pPr>
        <w:spacing w:after="0"/>
      </w:pPr>
      <w:r>
        <w:separator/>
      </w:r>
    </w:p>
  </w:endnote>
  <w:endnote w:type="continuationSeparator" w:id="0">
    <w:p w14:paraId="72CE5A9B" w14:textId="77777777" w:rsidR="00A21D01" w:rsidRDefault="00A21D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FD089" w14:textId="77777777" w:rsidR="00A21D01" w:rsidRDefault="00A21D01">
      <w:r>
        <w:separator/>
      </w:r>
    </w:p>
  </w:footnote>
  <w:footnote w:type="continuationSeparator" w:id="0">
    <w:p w14:paraId="05156116" w14:textId="77777777" w:rsidR="00A21D01" w:rsidRDefault="00A21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9801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2AE1C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479880613">
    <w:abstractNumId w:val="0"/>
  </w:num>
  <w:num w:numId="2" w16cid:durableId="1559979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40D"/>
    <w:rsid w:val="00202252"/>
    <w:rsid w:val="00A0541E"/>
    <w:rsid w:val="00A21D01"/>
    <w:rsid w:val="00EF522E"/>
    <w:rsid w:val="00F4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681F"/>
  <w15:docId w15:val="{6ACD8E34-885E-45FB-B551-1DE13038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datacendi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957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Stuart Rainey</cp:lastModifiedBy>
  <cp:revision>3</cp:revision>
  <dcterms:created xsi:type="dcterms:W3CDTF">2026-05-29T03:08:00Z</dcterms:created>
  <dcterms:modified xsi:type="dcterms:W3CDTF">2026-05-29T03:12:00Z</dcterms:modified>
</cp:coreProperties>
</file>