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2E"/>
        </w:rPr>
        <w:t>FMCG Deal Pulse — Week of 2026-03-18</w:t>
      </w:r>
    </w:p>
    <w:p>
      <w:pPr>
        <w:pStyle w:val="Heading1"/>
      </w:pPr>
      <w:r>
        <w:rPr>
          <w:color w:val="1A1A2E"/>
        </w:rPr>
        <w:t>TL;DR</w:t>
      </w:r>
    </w:p>
    <w:p>
      <w:pPr>
        <w:pStyle w:val="ListBullet"/>
      </w:pPr>
      <w:r>
        <w:t>**TL;DR: Weekly FMCG Deal Newsletter**</w:t>
      </w:r>
    </w:p>
    <w:p>
      <w:pPr>
        <w:pStyle w:val="ListBullet"/>
      </w:pPr>
      <w:r>
        <w:t>🔥 This week’s standout deal is Hindustan Unilever’s acquisition of Minimalist for ₹2,706 Cr, highlighting the growing importance of D2C brands in personal care.</w:t>
      </w:r>
    </w:p>
    <w:p>
      <w:pPr>
        <w:pStyle w:val="ListBullet"/>
      </w:pPr>
      <w:r>
        <w:t>📊 A total of 22 deals were reported this week, with significant activity in the Food &amp; Beverages and Personal Care sectors.</w:t>
      </w:r>
    </w:p>
    <w:p>
      <w:pPr>
        <w:pStyle w:val="ListBullet"/>
      </w:pPr>
      <w:r>
        <w:t>💡 The sector pulse indicates a strong trend towards D2C roll-ups, as major FMCG players seek to enhance their market presence through strategic acquisitions.</w:t>
      </w:r>
    </w:p>
    <w:p>
      <w:pPr>
        <w:pStyle w:val="ListBullet"/>
      </w:pPr>
      <w:r>
        <w:t>👀 Keep an eye on rumored acquisitions in the D2C space, as well as Ampol's ongoing $1.1B acquisition of EG Australia facing regulatory scrutiny.</w:t>
      </w:r>
    </w:p>
    <w:p>
      <w:pPr>
        <w:pStyle w:val="Heading1"/>
      </w:pPr>
      <w:r>
        <w:rPr>
          <w:color w:val="1A1A2E"/>
        </w:rPr>
        <w:t>Deal of the Week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Type</w:t>
            </w:r>
          </w:p>
        </w:tc>
        <w:tc>
          <w:tcPr>
            <w:tcW w:type="dxa" w:w="2160"/>
          </w:tcPr>
          <w:p>
            <w:r>
              <w:t>Value</w:t>
            </w:r>
          </w:p>
        </w:tc>
        <w:tc>
          <w:tcPr>
            <w:tcW w:type="dxa" w:w="2160"/>
          </w:tcPr>
          <w:p>
            <w:r>
              <w:t>Sector</w:t>
            </w:r>
          </w:p>
        </w:tc>
        <w:tc>
          <w:tcPr>
            <w:tcW w:type="dxa" w:w="2160"/>
          </w:tcPr>
          <w:p>
            <w:r>
              <w:t>Status</w:t>
            </w:r>
          </w:p>
        </w:tc>
      </w:tr>
      <w:tr>
        <w:tc>
          <w:tcPr>
            <w:tcW w:type="dxa" w:w="2160"/>
          </w:tcPr>
          <w:p>
            <w:r>
              <w:t>Acquisition</w:t>
            </w:r>
          </w:p>
        </w:tc>
        <w:tc>
          <w:tcPr>
            <w:tcW w:type="dxa" w:w="2160"/>
          </w:tcPr>
          <w:p>
            <w:r>
              <w:t>Undisclosed</w:t>
            </w:r>
          </w:p>
        </w:tc>
        <w:tc>
          <w:tcPr>
            <w:tcW w:type="dxa" w:w="2160"/>
          </w:tcPr>
          <w:p>
            <w:r>
              <w:t>D2C</w:t>
            </w:r>
          </w:p>
        </w:tc>
        <w:tc>
          <w:tcPr>
            <w:tcW w:type="dxa" w:w="2160"/>
          </w:tcPr>
          <w:p>
            <w:r>
              <w:t>Rumored</w:t>
            </w:r>
          </w:p>
        </w:tc>
      </w:tr>
    </w:tbl>
    <w:p/>
    <w:p>
      <w:r>
        <w:t># 📈 Weekly FMCG Deal Newsletter: D2C Acquisition Buzz</w:t>
      </w:r>
    </w:p>
    <w:p>
      <w:r>
        <w:t>🎯 WHAT: The FMCG sector is witnessing a notable shift towards Direct-to-Consumer (D2C) strategies, with rumors swirling around potential acquisitions that could reshape the market landscape. Although no specific acquirer or target has been disclosed, industry insiders suggest that several major players are eyeing D2C brands to bolster their market presence. This trend is particularly significant as consumer preferences evolve, pushing traditional FMCG companies to adapt their strategies. The rumored acquisition, while still under wraps, signals a growing recognition of the importance of direct consumer engagement in the fast-moving consumer goods sector.</w:t>
      </w:r>
    </w:p>
    <w:p>
      <w:r>
        <w:t>💡 WHY IT MATTERS: The strategic rationale behind this trend is clear: as consumers increasingly seek personalized shopping experiences and direct access to brands, FMCG companies must pivot to meet these demands. By acquiring D2C brands, established players can tap into new customer bases, enhance brand loyalty, and leverage innovative marketing strategies. This shift is not just about acquiring market share; it’s about transforming the way FMCG companies interact with consumers. As companies like Unilever and Procter &amp; Gamble explore D2C opportunities, the broader FMCG landscape is poised for a transformation that prioritizes consumer-centric approaches over traditional retail models.</w:t>
      </w:r>
    </w:p>
    <w:p>
      <w:r>
        <w:t>🔮 WHAT TO WATCH: As the D2C acquisition trend gains momentum, industry stakeholders should keep an eye on which companies emerge as frontrunners in this space. The winners will likely be those who can successfully integrate D2C brands into their existing portfolios while maintaining the unique value propositions that attracted consumers in the first place. Conversely, traditional retailers that fail to adapt may find themselves at a disadvantage, losing relevance in a rapidly changing market. Moving forward, expect to see more strategic partnerships and acquisitions in the D2C realm, as FMCG companies aim to stay ahead of the curve and align with evolving consumer preferences.</w:t>
      </w:r>
    </w:p>
    <w:p>
      <w:pPr>
        <w:pStyle w:val="Heading1"/>
      </w:pPr>
      <w:r>
        <w:rPr>
          <w:color w:val="1A1A2E"/>
        </w:rPr>
        <w:t>Deal Briefs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Acquirer</w:t>
            </w:r>
          </w:p>
        </w:tc>
        <w:tc>
          <w:tcPr>
            <w:tcW w:type="dxa" w:w="1728"/>
          </w:tcPr>
          <w:p>
            <w:r>
              <w:t>Target</w:t>
            </w:r>
          </w:p>
        </w:tc>
        <w:tc>
          <w:tcPr>
            <w:tcW w:type="dxa" w:w="1728"/>
          </w:tcPr>
          <w:p>
            <w:r>
              <w:t>Type</w:t>
            </w:r>
          </w:p>
        </w:tc>
        <w:tc>
          <w:tcPr>
            <w:tcW w:type="dxa" w:w="1728"/>
          </w:tcPr>
          <w:p>
            <w:r>
              <w:t>Value</w:t>
            </w:r>
          </w:p>
        </w:tc>
        <w:tc>
          <w:tcPr>
            <w:tcW w:type="dxa" w:w="1728"/>
          </w:tcPr>
          <w:p>
            <w:r>
              <w:t>Sector</w:t>
            </w:r>
          </w:p>
        </w:tc>
      </w:tr>
      <w:tr>
        <w:tc>
          <w:tcPr>
            <w:tcW w:type="dxa" w:w="1728"/>
          </w:tcPr>
          <w:p>
            <w:r>
              <w:t>Mitra</w:t>
            </w:r>
          </w:p>
        </w:tc>
        <w:tc>
          <w:tcPr>
            <w:tcW w:type="dxa" w:w="1728"/>
          </w:tcPr>
          <w:p>
            <w:r>
              <w:t>Tierra Agrotech</w:t>
            </w:r>
          </w:p>
        </w:tc>
        <w:tc>
          <w:tcPr>
            <w:tcW w:type="dxa" w:w="1728"/>
          </w:tcPr>
          <w:p>
            <w:r>
              <w:t>Merger</w:t>
            </w:r>
          </w:p>
        </w:tc>
        <w:tc>
          <w:tcPr>
            <w:tcW w:type="dxa" w:w="1728"/>
          </w:tcPr>
          <w:p>
            <w:r>
              <w:t>₹787 Cr</w:t>
            </w:r>
          </w:p>
        </w:tc>
        <w:tc>
          <w:tcPr>
            <w:tcW w:type="dxa" w:w="1728"/>
          </w:tcPr>
          <w:p>
            <w:r>
              <w:t>Food &amp; Agri-processing</w:t>
            </w:r>
          </w:p>
        </w:tc>
      </w:tr>
      <w:tr>
        <w:tc>
          <w:tcPr>
            <w:tcW w:type="dxa" w:w="1728"/>
          </w:tcPr>
          <w:p>
            <w:r>
              <w:t>GRM Overseas</w:t>
            </w:r>
          </w:p>
        </w:tc>
        <w:tc>
          <w:tcPr>
            <w:tcW w:type="dxa" w:w="1728"/>
          </w:tcPr>
          <w:p>
            <w:r>
              <w:t>GRM Arabia FZCO</w:t>
            </w:r>
          </w:p>
        </w:tc>
        <w:tc>
          <w:tcPr>
            <w:tcW w:type="dxa" w:w="1728"/>
          </w:tcPr>
          <w:p>
            <w:r>
              <w:t>Acquisition</w:t>
            </w:r>
          </w:p>
        </w:tc>
        <w:tc>
          <w:tcPr>
            <w:tcW w:type="dxa" w:w="1728"/>
          </w:tcPr>
          <w:p>
            <w:r>
              <w:t>AED 50,000</w:t>
            </w:r>
          </w:p>
        </w:tc>
        <w:tc>
          <w:tcPr>
            <w:tcW w:type="dxa" w:w="1728"/>
          </w:tcPr>
          <w:p>
            <w:r>
              <w:t>Food &amp; Beverages</w:t>
            </w:r>
          </w:p>
        </w:tc>
      </w:tr>
      <w:tr>
        <w:tc>
          <w:tcPr>
            <w:tcW w:type="dxa" w:w="1728"/>
          </w:tcPr>
          <w:p>
            <w:r>
              <w:t>Hindustan Unilever Ltd</w:t>
            </w:r>
          </w:p>
        </w:tc>
        <w:tc>
          <w:tcPr>
            <w:tcW w:type="dxa" w:w="1728"/>
          </w:tcPr>
          <w:p>
            <w:r>
              <w:t>Uprising Science Pvt Ltd (Minimalist)</w:t>
            </w:r>
          </w:p>
        </w:tc>
        <w:tc>
          <w:tcPr>
            <w:tcW w:type="dxa" w:w="1728"/>
          </w:tcPr>
          <w:p>
            <w:r>
              <w:t>Acquisition</w:t>
            </w:r>
          </w:p>
        </w:tc>
        <w:tc>
          <w:tcPr>
            <w:tcW w:type="dxa" w:w="1728"/>
          </w:tcPr>
          <w:p>
            <w:r>
              <w:t>₹2,706 Cr</w:t>
            </w:r>
          </w:p>
        </w:tc>
        <w:tc>
          <w:tcPr>
            <w:tcW w:type="dxa" w:w="1728"/>
          </w:tcPr>
          <w:p>
            <w:r>
              <w:t>Personal Care</w:t>
            </w:r>
          </w:p>
        </w:tc>
      </w:tr>
      <w:tr>
        <w:tc>
          <w:tcPr>
            <w:tcW w:type="dxa" w:w="1728"/>
          </w:tcPr>
          <w:p>
            <w:r>
              <w:t>Tata Consumer Products</w:t>
            </w:r>
          </w:p>
        </w:tc>
        <w:tc>
          <w:tcPr>
            <w:tcW w:type="dxa" w:w="1728"/>
          </w:tcPr>
          <w:p>
            <w:r>
              <w:t>Tata Coffee and associated entities</w:t>
            </w:r>
          </w:p>
        </w:tc>
        <w:tc>
          <w:tcPr>
            <w:tcW w:type="dxa" w:w="1728"/>
          </w:tcPr>
          <w:p>
            <w:r>
              <w:t>Merger</w:t>
            </w:r>
          </w:p>
        </w:tc>
        <w:tc>
          <w:tcPr>
            <w:tcW w:type="dxa" w:w="1728"/>
          </w:tcPr>
          <w:p>
            <w:r>
              <w:t>Undisclosed</w:t>
            </w:r>
          </w:p>
        </w:tc>
        <w:tc>
          <w:tcPr>
            <w:tcW w:type="dxa" w:w="1728"/>
          </w:tcPr>
          <w:p>
            <w:r>
              <w:t>Beverages</w:t>
            </w:r>
          </w:p>
        </w:tc>
      </w:tr>
      <w:tr>
        <w:tc>
          <w:tcPr>
            <w:tcW w:type="dxa" w:w="1728"/>
          </w:tcPr>
          <w:p>
            <w:r>
              <w:t>Kraft Heinz</w:t>
            </w:r>
          </w:p>
        </w:tc>
        <w:tc>
          <w:tcPr>
            <w:tcW w:type="dxa" w:w="1728"/>
          </w:tcPr>
          <w:p>
            <w:r>
              <w:t>its brand assets</w:t>
            </w:r>
          </w:p>
        </w:tc>
        <w:tc>
          <w:tcPr>
            <w:tcW w:type="dxa" w:w="1728"/>
          </w:tcPr>
          <w:p>
            <w:r>
              <w:t>Divestiture</w:t>
            </w:r>
          </w:p>
        </w:tc>
        <w:tc>
          <w:tcPr>
            <w:tcW w:type="dxa" w:w="1728"/>
          </w:tcPr>
          <w:p>
            <w:r>
              <w:t>Undisclosed</w:t>
            </w:r>
          </w:p>
        </w:tc>
        <w:tc>
          <w:tcPr>
            <w:tcW w:type="dxa" w:w="1728"/>
          </w:tcPr>
          <w:p>
            <w:r>
              <w:t>Food &amp; Beverage</w:t>
            </w:r>
          </w:p>
        </w:tc>
      </w:tr>
    </w:tbl>
    <w:p>
      <w:pPr>
        <w:pStyle w:val="Heading1"/>
      </w:pPr>
      <w:r>
        <w:rPr>
          <w:color w:val="1A1A2E"/>
        </w:rPr>
        <w:t>Sector Pulse</w:t>
      </w:r>
    </w:p>
    <w:p>
      <w:r>
        <w:t>### Sector Pulse</w:t>
      </w:r>
    </w:p>
    <w:p>
      <w:r>
        <w:t>#### 🚀 D2C Roll-Up Acceleration</w:t>
        <w:br/>
        <w:t>The FMCG sector is witnessing a notable shift towards direct-to-consumer (D2C) strategies, as evidenced by Hindustan Unilever Ltd's acquisition of Uprising Science Pvt Ltd (Minimalist) for ₹2,706 Cr, which underscores the growing importance of D2C brands in personal care. Additionally, a rumored acquisition in the D2C space further highlights this trend, indicating that major players are keen to enhance their market presence through strategic investments in emerging D2C brands. This pattern suggests that FMCG companies will increasingly prioritize D2C channels to connect directly with consumers and drive brand loyalty.</w:t>
      </w:r>
    </w:p>
    <w:p>
      <w:r>
        <w:t>#### 🔗 Strategic Consolidation in Food &amp; Agri-processing</w:t>
        <w:br/>
        <w:t>The merger between Mitra and Tierra Agrotech for ₹787 Cr marks a significant consolidation in the food and agri-processing sectors, setting the stage for Mitra's upcoming IPO. This move reflects a broader trend of strategic mergers and acquisitions aimed at enhancing operational efficiencies and market competitiveness within the FMCG landscape. As companies seek to streamline their operations and leverage synergies, we can expect more such consolidations to emerge, ultimately reshaping the competitive dynamics of the sector.</w:t>
      </w:r>
    </w:p>
    <w:p>
      <w:r>
        <w:t>#### 🌍 Global Market Expansion</w:t>
        <w:br/>
        <w:t>The acquisition of GRM Arabia FZCO by GRM Overseas for AED 50,000 signifies a strategic entry into the Middle Eastern FMCG market, highlighting the increasing globalization of the sector. Similarly, Mars' record $36B acquisition of Kellanova not only enhances its market position but also underscores the trend of large FMCG players seeking growth opportunities beyond their traditional markets. This pattern indicates that companies will continue to pursue international expansion strategies to tap into new consumer bases and diversify their portfolios, driving a more interconnected global FMCG landscape.</w:t>
      </w:r>
    </w:p>
    <w:p>
      <w:pPr>
        <w:pStyle w:val="Heading1"/>
      </w:pPr>
      <w:r>
        <w:rPr>
          <w:color w:val="1A1A2E"/>
        </w:rPr>
        <w:t>Watchlist</w:t>
      </w:r>
    </w:p>
    <w:p>
      <w:pPr>
        <w:pStyle w:val="ListBullet"/>
      </w:pPr>
      <w:r>
        <w:t>None + None — Undisclosed Acquisition (Rumored)</w:t>
      </w:r>
    </w:p>
    <w:p>
      <w:pPr>
        <w:pStyle w:val="ListBullet"/>
      </w:pPr>
      <w:r>
        <w:t>Ampol + EG Australia — $1.1B Acquisition (In Progress)</w:t>
      </w:r>
    </w:p>
    <w:p>
      <w:pPr>
        <w:pStyle w:val="ListBullet"/>
      </w:pPr>
      <w:r>
        <w:t>Henkel + Olaplex — Undisclosed Acquisition (Rumored)</w:t>
      </w:r>
    </w:p>
    <w:p>
      <w:pPr>
        <w:pStyle w:val="ListBullet"/>
      </w:pPr>
      <w:r>
        <w:t>None + None — Undisclosed Other (In Progress)</w:t>
      </w:r>
    </w:p>
    <w:p/>
    <w:p>
      <w:pPr>
        <w:jc w:val="center"/>
      </w:pPr>
      <w:r>
        <w:rPr>
          <w:color w:val="888888"/>
          <w:sz w:val="18"/>
        </w:rPr>
        <w:t>Generated by FMCG Deal Intelligence Pipeline — 2026-03-18 17:13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