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AlphaPulse Validation Report</w:t>
      </w:r>
    </w:p>
    <w:p>
      <w:pPr>
        <w:pStyle w:val="Heading2"/>
      </w:pPr>
      <w:r>
        <w:t>VaR Validation</w:t>
      </w:r>
    </w:p>
    <w:p>
      <w:r>
        <w:t>Dashboard VaR matched closely with formula-based VaR using Mean − (1.65 × Std Dev). Result: VALID.</w:t>
      </w:r>
    </w:p>
    <w:p>
      <w:pPr>
        <w:pStyle w:val="Heading2"/>
      </w:pPr>
      <w:r>
        <w:t>Volatility Validation</w:t>
      </w:r>
    </w:p>
    <w:p>
      <w:r>
        <w:t>Dashboard volatility aligned with annualized standard deviation (STDEV × √252). Result: VALID.</w:t>
      </w:r>
    </w:p>
    <w:p>
      <w:pPr>
        <w:pStyle w:val="Heading2"/>
      </w:pPr>
      <w:r>
        <w:t>Max Drawdown Validation</w:t>
      </w:r>
    </w:p>
    <w:p>
      <w:r>
        <w:t>Max Drawdown matched running peak-to-trough formula. Result: VALID.</w:t>
      </w:r>
    </w:p>
    <w:p>
      <w:pPr>
        <w:pStyle w:val="Heading2"/>
      </w:pPr>
      <w:r>
        <w:t>Conclusion</w:t>
      </w:r>
    </w:p>
    <w:p>
      <w:r>
        <w:t>All risk metrics were validated against standard financial formulas and confirmed accurate.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