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922C5F">
              <w:rPr>
                <w:rFonts w:ascii="Arial" w:hAnsi="Arial" w:cs="Arial"/>
                <w:sz w:val="20"/>
                <w:szCs w:val="20"/>
              </w:rPr>
            </w:r>
            <w:r w:rsidR="00922C5F">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922C5F">
              <w:rPr>
                <w:rFonts w:ascii="Arial" w:hAnsi="Arial" w:cs="Arial"/>
                <w:sz w:val="20"/>
                <w:szCs w:val="20"/>
              </w:rPr>
            </w:r>
            <w:r w:rsidR="00922C5F">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922C5F">
              <w:rPr>
                <w:rFonts w:ascii="Arial" w:hAnsi="Arial" w:cs="Arial"/>
                <w:sz w:val="20"/>
                <w:szCs w:val="20"/>
              </w:rPr>
            </w:r>
            <w:r w:rsidR="00922C5F">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922C5F">
              <w:rPr>
                <w:rFonts w:ascii="Arial" w:hAnsi="Arial" w:cs="Arial"/>
                <w:sz w:val="20"/>
                <w:szCs w:val="20"/>
              </w:rPr>
            </w:r>
            <w:r w:rsidR="00922C5F">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316AA6C7" w14:textId="34E69F8E" w:rsidR="00EC26EB" w:rsidRPr="00B0631C" w:rsidRDefault="00E14131" w:rsidP="00E14131">
      <w:pPr>
        <w:ind w:left="1260" w:hanging="720"/>
        <w:rPr>
          <w:rFonts w:ascii="Arial" w:hAnsi="Arial" w:cs="Arial"/>
          <w:sz w:val="20"/>
          <w:szCs w:val="20"/>
        </w:rPr>
      </w:pPr>
      <w:r>
        <w:rPr>
          <w:rFonts w:ascii="Arial" w:hAnsi="Arial" w:cs="Arial"/>
          <w:sz w:val="20"/>
          <w:szCs w:val="20"/>
        </w:rPr>
        <w:t>16.1</w:t>
      </w:r>
      <w:r w:rsidR="00EC26EB" w:rsidRPr="00B0631C">
        <w:rPr>
          <w:rFonts w:ascii="Arial" w:hAnsi="Arial" w:cs="Arial"/>
          <w:sz w:val="20"/>
          <w:szCs w:val="20"/>
        </w:rPr>
        <w:t xml:space="preserve"> Benchmarking</w:t>
      </w:r>
    </w:p>
    <w:p w14:paraId="46B062FB" w14:textId="5458429F" w:rsidR="00EC26EB" w:rsidRPr="00B0631C" w:rsidRDefault="00EC26EB" w:rsidP="00EC26EB">
      <w:pPr>
        <w:ind w:left="720" w:hanging="720"/>
        <w:rPr>
          <w:rFonts w:ascii="Arial" w:hAnsi="Arial" w:cs="Arial"/>
          <w:sz w:val="20"/>
          <w:szCs w:val="20"/>
        </w:rPr>
      </w:pPr>
    </w:p>
    <w:p w14:paraId="718941AD"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Neither Party may commence any Benchmarking until [the first anniversary of] the date when all </w:t>
      </w:r>
    </w:p>
    <w:p w14:paraId="3783CD82"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Services that may be subject to such Benchmarking have commenced and all baselining of </w:t>
      </w:r>
    </w:p>
    <w:p w14:paraId="19A8DAB4"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Service Levels and other Service stabilization has been completed to the satisfaction of both </w:t>
      </w:r>
    </w:p>
    <w:p w14:paraId="548FEF2F"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Parties.  Thereafter, the Parties may initiate subsequent Benchmarking no earlier than 24 </w:t>
      </w:r>
    </w:p>
    <w:p w14:paraId="61973C92"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months after the date of both Parties’ acceptance of the prior Benchmarking Report in </w:t>
      </w:r>
    </w:p>
    <w:p w14:paraId="2C40D715"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accordance with Section 5 or other final resolution of any issues arising from the prior </w:t>
      </w:r>
    </w:p>
    <w:p w14:paraId="51700FB0"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Benchmarking Report.  Within 60 days after any a Party’s receipt of any Benchmarking Request </w:t>
      </w:r>
    </w:p>
    <w:p w14:paraId="2A81625A"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that complies with the requirements of this Schedule, the Parties will mutually agree as to the </w:t>
      </w:r>
    </w:p>
    <w:p w14:paraId="5BE2D1EB" w14:textId="77777777" w:rsidR="00E14131" w:rsidRDefault="00E14131" w:rsidP="00E14131">
      <w:pPr>
        <w:ind w:left="1260" w:hanging="720"/>
        <w:rPr>
          <w:rFonts w:ascii="Arial" w:hAnsi="Arial" w:cs="Arial"/>
          <w:sz w:val="20"/>
          <w:szCs w:val="20"/>
        </w:rPr>
      </w:pPr>
      <w:r w:rsidRPr="00E14131">
        <w:rPr>
          <w:rFonts w:ascii="Arial" w:hAnsi="Arial" w:cs="Arial"/>
          <w:sz w:val="20"/>
          <w:szCs w:val="20"/>
        </w:rPr>
        <w:lastRenderedPageBreak/>
        <w:t>identity of and mutually engage an appropriately skilled and experienced independent third-</w:t>
      </w:r>
    </w:p>
    <w:p w14:paraId="052F4C4B" w14:textId="40A6D915" w:rsidR="00E14131" w:rsidRPr="00E14131" w:rsidRDefault="00E14131" w:rsidP="00E14131">
      <w:pPr>
        <w:ind w:left="1260" w:hanging="720"/>
        <w:rPr>
          <w:rFonts w:ascii="Arial" w:hAnsi="Arial" w:cs="Arial"/>
          <w:sz w:val="20"/>
          <w:szCs w:val="20"/>
        </w:rPr>
      </w:pPr>
      <w:r w:rsidRPr="00E14131">
        <w:rPr>
          <w:rFonts w:ascii="Arial" w:hAnsi="Arial" w:cs="Arial"/>
          <w:sz w:val="20"/>
          <w:szCs w:val="20"/>
        </w:rPr>
        <w:t>party.</w:t>
      </w:r>
    </w:p>
    <w:p w14:paraId="29F7E6D0" w14:textId="77777777" w:rsidR="00E14131" w:rsidRDefault="00E14131" w:rsidP="00E14131">
      <w:pPr>
        <w:ind w:left="1260" w:hanging="720"/>
        <w:rPr>
          <w:rFonts w:ascii="Arial" w:hAnsi="Arial" w:cs="Arial"/>
          <w:sz w:val="20"/>
          <w:szCs w:val="20"/>
        </w:rPr>
      </w:pPr>
      <w:proofErr w:type="gramStart"/>
      <w:r w:rsidRPr="00E14131">
        <w:rPr>
          <w:rFonts w:ascii="Arial" w:hAnsi="Arial" w:cs="Arial"/>
          <w:sz w:val="20"/>
          <w:szCs w:val="20"/>
        </w:rPr>
        <w:t>CLIENT  and</w:t>
      </w:r>
      <w:proofErr w:type="gramEnd"/>
      <w:r w:rsidRPr="00E14131">
        <w:rPr>
          <w:rFonts w:ascii="Arial" w:hAnsi="Arial" w:cs="Arial"/>
          <w:sz w:val="20"/>
          <w:szCs w:val="20"/>
        </w:rPr>
        <w:t xml:space="preserve"> Accenture shall equally share the payment of the </w:t>
      </w:r>
      <w:proofErr w:type="spellStart"/>
      <w:r w:rsidRPr="00E14131">
        <w:rPr>
          <w:rFonts w:ascii="Arial" w:hAnsi="Arial" w:cs="Arial"/>
          <w:sz w:val="20"/>
          <w:szCs w:val="20"/>
        </w:rPr>
        <w:t>Benchmarker’s</w:t>
      </w:r>
      <w:proofErr w:type="spellEnd"/>
      <w:r w:rsidRPr="00E14131">
        <w:rPr>
          <w:rFonts w:ascii="Arial" w:hAnsi="Arial" w:cs="Arial"/>
          <w:sz w:val="20"/>
          <w:szCs w:val="20"/>
        </w:rPr>
        <w:t xml:space="preserve"> fees and </w:t>
      </w:r>
    </w:p>
    <w:p w14:paraId="11A37220"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expenses. If possible, Accenture should reserve the right to approve or reject any proposed </w:t>
      </w:r>
    </w:p>
    <w:p w14:paraId="1B31C2B7" w14:textId="77777777" w:rsidR="00E14131" w:rsidRDefault="00E14131" w:rsidP="00E14131">
      <w:pPr>
        <w:ind w:left="1260" w:hanging="720"/>
        <w:rPr>
          <w:rFonts w:ascii="Arial" w:hAnsi="Arial" w:cs="Arial"/>
          <w:sz w:val="20"/>
          <w:szCs w:val="20"/>
        </w:rPr>
      </w:pPr>
      <w:proofErr w:type="spellStart"/>
      <w:r w:rsidRPr="00E14131">
        <w:rPr>
          <w:rFonts w:ascii="Arial" w:hAnsi="Arial" w:cs="Arial"/>
          <w:sz w:val="20"/>
          <w:szCs w:val="20"/>
        </w:rPr>
        <w:t>Benchmarker</w:t>
      </w:r>
      <w:proofErr w:type="spellEnd"/>
      <w:r w:rsidRPr="00E14131">
        <w:rPr>
          <w:rFonts w:ascii="Arial" w:hAnsi="Arial" w:cs="Arial"/>
          <w:sz w:val="20"/>
          <w:szCs w:val="20"/>
        </w:rPr>
        <w:t xml:space="preserve"> at the time when Benchmarking is proposed, because our relationship with any </w:t>
      </w:r>
    </w:p>
    <w:p w14:paraId="44591EC4" w14:textId="77777777" w:rsidR="00E14131" w:rsidRDefault="00E14131" w:rsidP="00E14131">
      <w:pPr>
        <w:ind w:left="1260" w:hanging="720"/>
        <w:rPr>
          <w:rFonts w:ascii="Arial" w:hAnsi="Arial" w:cs="Arial"/>
          <w:sz w:val="20"/>
          <w:szCs w:val="20"/>
        </w:rPr>
      </w:pPr>
      <w:proofErr w:type="spellStart"/>
      <w:r w:rsidRPr="00E14131">
        <w:rPr>
          <w:rFonts w:ascii="Arial" w:hAnsi="Arial" w:cs="Arial"/>
          <w:sz w:val="20"/>
          <w:szCs w:val="20"/>
        </w:rPr>
        <w:t>Benchmarker</w:t>
      </w:r>
      <w:proofErr w:type="spellEnd"/>
      <w:r w:rsidRPr="00E14131">
        <w:rPr>
          <w:rFonts w:ascii="Arial" w:hAnsi="Arial" w:cs="Arial"/>
          <w:sz w:val="20"/>
          <w:szCs w:val="20"/>
        </w:rPr>
        <w:t xml:space="preserve"> could become strained over time. CLIENT and Accenture shall mutually agree on </w:t>
      </w:r>
    </w:p>
    <w:p w14:paraId="16C885D9"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a group of not less than [8 to 10] contracts for the provision of services that are </w:t>
      </w:r>
      <w:proofErr w:type="gramStart"/>
      <w:r w:rsidRPr="00E14131">
        <w:rPr>
          <w:rFonts w:ascii="Arial" w:hAnsi="Arial" w:cs="Arial"/>
          <w:sz w:val="20"/>
          <w:szCs w:val="20"/>
        </w:rPr>
        <w:t>similar to</w:t>
      </w:r>
      <w:proofErr w:type="gramEnd"/>
      <w:r w:rsidRPr="00E14131">
        <w:rPr>
          <w:rFonts w:ascii="Arial" w:hAnsi="Arial" w:cs="Arial"/>
          <w:sz w:val="20"/>
          <w:szCs w:val="20"/>
        </w:rPr>
        <w:t xml:space="preserve"> the </w:t>
      </w:r>
    </w:p>
    <w:p w14:paraId="5D73DF75"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Services and for which the </w:t>
      </w:r>
      <w:proofErr w:type="spellStart"/>
      <w:r w:rsidRPr="00E14131">
        <w:rPr>
          <w:rFonts w:ascii="Arial" w:hAnsi="Arial" w:cs="Arial"/>
          <w:sz w:val="20"/>
          <w:szCs w:val="20"/>
        </w:rPr>
        <w:t>Benchmarker</w:t>
      </w:r>
      <w:proofErr w:type="spellEnd"/>
      <w:r w:rsidRPr="00E14131">
        <w:rPr>
          <w:rFonts w:ascii="Arial" w:hAnsi="Arial" w:cs="Arial"/>
          <w:sz w:val="20"/>
          <w:szCs w:val="20"/>
        </w:rPr>
        <w:t xml:space="preserve"> </w:t>
      </w:r>
      <w:proofErr w:type="gramStart"/>
      <w:r w:rsidRPr="00E14131">
        <w:rPr>
          <w:rFonts w:ascii="Arial" w:hAnsi="Arial" w:cs="Arial"/>
          <w:sz w:val="20"/>
          <w:szCs w:val="20"/>
        </w:rPr>
        <w:t>is able to</w:t>
      </w:r>
      <w:proofErr w:type="gramEnd"/>
      <w:r w:rsidRPr="00E14131">
        <w:rPr>
          <w:rFonts w:ascii="Arial" w:hAnsi="Arial" w:cs="Arial"/>
          <w:sz w:val="20"/>
          <w:szCs w:val="20"/>
        </w:rPr>
        <w:t xml:space="preserve"> obtain adequate information for the analysis </w:t>
      </w:r>
    </w:p>
    <w:p w14:paraId="028E9591" w14:textId="41508616" w:rsidR="00E14131" w:rsidRDefault="00E14131" w:rsidP="00E14131">
      <w:pPr>
        <w:ind w:left="1260" w:hanging="720"/>
        <w:rPr>
          <w:rFonts w:ascii="Arial" w:hAnsi="Arial" w:cs="Arial"/>
          <w:sz w:val="20"/>
          <w:szCs w:val="20"/>
        </w:rPr>
      </w:pPr>
      <w:r w:rsidRPr="00E14131">
        <w:rPr>
          <w:rFonts w:ascii="Arial" w:hAnsi="Arial" w:cs="Arial"/>
          <w:sz w:val="20"/>
          <w:szCs w:val="20"/>
        </w:rPr>
        <w:t>described in this Schedule (the “Reference Group”).</w:t>
      </w:r>
    </w:p>
    <w:p w14:paraId="4934DA20" w14:textId="77777777" w:rsidR="00E14131" w:rsidRPr="00E14131" w:rsidRDefault="00E14131" w:rsidP="00E14131">
      <w:pPr>
        <w:ind w:left="1260" w:hanging="720"/>
        <w:rPr>
          <w:rFonts w:ascii="Arial" w:hAnsi="Arial" w:cs="Arial"/>
          <w:sz w:val="20"/>
          <w:szCs w:val="20"/>
        </w:rPr>
      </w:pPr>
    </w:p>
    <w:p w14:paraId="2F969D97"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The </w:t>
      </w:r>
      <w:proofErr w:type="spellStart"/>
      <w:r w:rsidRPr="00E14131">
        <w:rPr>
          <w:rFonts w:ascii="Arial" w:hAnsi="Arial" w:cs="Arial"/>
          <w:sz w:val="20"/>
          <w:szCs w:val="20"/>
        </w:rPr>
        <w:t>Benchmarker</w:t>
      </w:r>
      <w:proofErr w:type="spellEnd"/>
      <w:r w:rsidRPr="00E14131">
        <w:rPr>
          <w:rFonts w:ascii="Arial" w:hAnsi="Arial" w:cs="Arial"/>
          <w:sz w:val="20"/>
          <w:szCs w:val="20"/>
        </w:rPr>
        <w:t xml:space="preserve"> will deliver a draft report as soon as practicable but in any event no later than </w:t>
      </w:r>
    </w:p>
    <w:p w14:paraId="7E592D94"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[120 days.  CLIENT and Accenture will then have 30 days to review and</w:t>
      </w:r>
      <w:r>
        <w:rPr>
          <w:rFonts w:ascii="Arial" w:hAnsi="Arial" w:cs="Arial"/>
          <w:sz w:val="20"/>
          <w:szCs w:val="20"/>
        </w:rPr>
        <w:t xml:space="preserve"> provide comments </w:t>
      </w:r>
      <w:proofErr w:type="spellStart"/>
      <w:r>
        <w:rPr>
          <w:rFonts w:ascii="Arial" w:hAnsi="Arial" w:cs="Arial"/>
          <w:sz w:val="20"/>
          <w:szCs w:val="20"/>
        </w:rPr>
        <w:t>to</w:t>
      </w:r>
    </w:p>
    <w:p w14:paraId="4E155C22" w14:textId="77777777" w:rsidR="00E14131" w:rsidRDefault="00E14131" w:rsidP="00E14131">
      <w:pPr>
        <w:ind w:left="1260" w:hanging="720"/>
        <w:rPr>
          <w:rFonts w:ascii="Arial" w:hAnsi="Arial" w:cs="Arial"/>
          <w:sz w:val="20"/>
          <w:szCs w:val="20"/>
        </w:rPr>
      </w:pPr>
      <w:proofErr w:type="spellEnd"/>
      <w:r>
        <w:rPr>
          <w:rFonts w:ascii="Arial" w:hAnsi="Arial" w:cs="Arial"/>
          <w:sz w:val="20"/>
          <w:szCs w:val="20"/>
        </w:rPr>
        <w:t>t</w:t>
      </w:r>
      <w:r w:rsidRPr="00E14131">
        <w:rPr>
          <w:rFonts w:ascii="Arial" w:hAnsi="Arial" w:cs="Arial"/>
          <w:sz w:val="20"/>
          <w:szCs w:val="20"/>
        </w:rPr>
        <w:t xml:space="preserve">he </w:t>
      </w:r>
      <w:proofErr w:type="spellStart"/>
      <w:r w:rsidRPr="00E14131">
        <w:rPr>
          <w:rFonts w:ascii="Arial" w:hAnsi="Arial" w:cs="Arial"/>
          <w:sz w:val="20"/>
          <w:szCs w:val="20"/>
        </w:rPr>
        <w:t>Benchmarker</w:t>
      </w:r>
      <w:proofErr w:type="spellEnd"/>
      <w:r w:rsidRPr="00E14131">
        <w:rPr>
          <w:rFonts w:ascii="Arial" w:hAnsi="Arial" w:cs="Arial"/>
          <w:sz w:val="20"/>
          <w:szCs w:val="20"/>
        </w:rPr>
        <w:t xml:space="preserve">.  The </w:t>
      </w:r>
      <w:proofErr w:type="spellStart"/>
      <w:r w:rsidRPr="00E14131">
        <w:rPr>
          <w:rFonts w:ascii="Arial" w:hAnsi="Arial" w:cs="Arial"/>
          <w:sz w:val="20"/>
          <w:szCs w:val="20"/>
        </w:rPr>
        <w:t>Benchmarker</w:t>
      </w:r>
      <w:proofErr w:type="spellEnd"/>
      <w:r w:rsidRPr="00E14131">
        <w:rPr>
          <w:rFonts w:ascii="Arial" w:hAnsi="Arial" w:cs="Arial"/>
          <w:sz w:val="20"/>
          <w:szCs w:val="20"/>
        </w:rPr>
        <w:t xml:space="preserve"> will make appropriate amendments or otherwise respond </w:t>
      </w:r>
    </w:p>
    <w:p w14:paraId="50F73DD4"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to comments received within 15 days after receipt. If a Benchmark Deviation exists and the </w:t>
      </w:r>
    </w:p>
    <w:p w14:paraId="367D940D"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Parties have not agreed to amend this Agreement within 180 days after the Final Benchmark </w:t>
      </w:r>
    </w:p>
    <w:p w14:paraId="0BA221C2"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Report Date, then the Party against whose interest the Benchmarking Deviation has been found </w:t>
      </w:r>
    </w:p>
    <w:p w14:paraId="1EE90BF7"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may notify the other Party of its intent to terminate this Agreement upon 30 days’ notice.  If the </w:t>
      </w:r>
    </w:p>
    <w:p w14:paraId="6452C1D4"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other Party does not accept an amendment to this Agreement to implement the minimum </w:t>
      </w:r>
    </w:p>
    <w:p w14:paraId="7A91E115" w14:textId="77777777" w:rsidR="00E14131" w:rsidRDefault="00E14131" w:rsidP="00E14131">
      <w:pPr>
        <w:ind w:left="1260" w:hanging="720"/>
        <w:rPr>
          <w:rFonts w:ascii="Arial" w:hAnsi="Arial" w:cs="Arial"/>
          <w:sz w:val="20"/>
          <w:szCs w:val="20"/>
        </w:rPr>
      </w:pPr>
      <w:r w:rsidRPr="00E14131">
        <w:rPr>
          <w:rFonts w:ascii="Arial" w:hAnsi="Arial" w:cs="Arial"/>
          <w:sz w:val="20"/>
          <w:szCs w:val="20"/>
        </w:rPr>
        <w:t xml:space="preserve">Benchmarking Adjustment by the end of such notice period, then the Party providing such </w:t>
      </w:r>
    </w:p>
    <w:p w14:paraId="7546A9EE" w14:textId="4974E946" w:rsidR="00B6247F" w:rsidRDefault="00E14131" w:rsidP="00E14131">
      <w:pPr>
        <w:ind w:left="1260" w:hanging="720"/>
        <w:rPr>
          <w:rFonts w:ascii="Arial" w:hAnsi="Arial" w:cs="Arial"/>
          <w:sz w:val="20"/>
          <w:szCs w:val="20"/>
        </w:rPr>
      </w:pPr>
      <w:r w:rsidRPr="00E14131">
        <w:rPr>
          <w:rFonts w:ascii="Arial" w:hAnsi="Arial" w:cs="Arial"/>
          <w:sz w:val="20"/>
          <w:szCs w:val="20"/>
        </w:rPr>
        <w:t>notice shall pay to the other Party an amount equal to the then-applicable Termination Charge</w:t>
      </w:r>
    </w:p>
    <w:p w14:paraId="25260C01" w14:textId="77777777" w:rsidR="00E14131" w:rsidRDefault="00E14131" w:rsidP="00E14131">
      <w:pPr>
        <w:ind w:left="1260" w:hanging="720"/>
        <w:rPr>
          <w:rFonts w:ascii="Arial" w:hAnsi="Arial" w:cs="Arial"/>
          <w:sz w:val="20"/>
          <w:szCs w:val="20"/>
        </w:rPr>
      </w:pPr>
      <w:bookmarkStart w:id="301" w:name="_GoBack"/>
      <w:bookmarkEnd w:id="301"/>
    </w:p>
    <w:p w14:paraId="0DE421D6" w14:textId="3390E5B3" w:rsidR="00B6247F" w:rsidRPr="00B6247F" w:rsidRDefault="00B6247F" w:rsidP="00B6247F">
      <w:pPr>
        <w:pStyle w:val="Heading1"/>
        <w:numPr>
          <w:ilvl w:val="1"/>
          <w:numId w:val="60"/>
        </w:numPr>
        <w:rPr>
          <w:b w:val="0"/>
          <w:sz w:val="20"/>
          <w:szCs w:val="20"/>
        </w:rPr>
      </w:pPr>
      <w:r>
        <w:rPr>
          <w:sz w:val="20"/>
          <w:szCs w:val="20"/>
        </w:rPr>
        <w:t xml:space="preserve"> </w:t>
      </w:r>
      <w:r w:rsidRPr="00B6247F">
        <w:rPr>
          <w:b w:val="0"/>
          <w:sz w:val="20"/>
          <w:szCs w:val="20"/>
        </w:rPr>
        <w:t>Other Provisions</w:t>
      </w:r>
    </w:p>
    <w:p w14:paraId="03F2C31F" w14:textId="203CEC60" w:rsidR="00B6247F" w:rsidRPr="00B6247F" w:rsidRDefault="00B6247F" w:rsidP="00B6247F">
      <w:pPr>
        <w:ind w:left="1260" w:hanging="720"/>
        <w:rPr>
          <w:rFonts w:ascii="Arial" w:hAnsi="Arial" w:cs="Arial"/>
          <w:b/>
          <w:sz w:val="20"/>
          <w:szCs w:val="20"/>
          <w:u w:val="single"/>
        </w:rPr>
      </w:pPr>
      <w:r w:rsidRPr="00B6247F">
        <w:rPr>
          <w:rFonts w:ascii="Arial" w:hAnsi="Arial" w:cs="Arial"/>
          <w:b/>
          <w:sz w:val="20"/>
          <w:szCs w:val="20"/>
          <w:u w:val="single"/>
        </w:rPr>
        <w:t>Liability</w:t>
      </w:r>
    </w:p>
    <w:p w14:paraId="13343CD6" w14:textId="77777777" w:rsidR="00B6247F" w:rsidRPr="00B0631C" w:rsidRDefault="00B6247F" w:rsidP="00B6247F">
      <w:pPr>
        <w:ind w:left="1260" w:hanging="720"/>
        <w:rPr>
          <w:rFonts w:ascii="Arial" w:hAnsi="Arial" w:cs="Arial"/>
          <w:sz w:val="20"/>
          <w:szCs w:val="20"/>
        </w:rPr>
      </w:pPr>
    </w:p>
    <w:p w14:paraId="238E6433" w14:textId="47C0E6B7" w:rsidR="00B6247F" w:rsidRDefault="00B6247F" w:rsidP="00B6247F">
      <w:pPr>
        <w:rPr>
          <w:rFonts w:ascii="Arial" w:hAnsi="Arial" w:cs="Arial"/>
          <w:sz w:val="20"/>
          <w:szCs w:val="20"/>
        </w:rPr>
      </w:pPr>
    </w:p>
    <w:p w14:paraId="430D742B" w14:textId="60B5A8CB" w:rsidR="00BE2B70" w:rsidRPr="000337F2" w:rsidRDefault="00B6247F" w:rsidP="00EC26EB">
      <w:pPr>
        <w:ind w:left="1260" w:hanging="720"/>
        <w:rPr>
          <w:rFonts w:ascii="Arial" w:hAnsi="Arial" w:cs="Arial"/>
          <w:sz w:val="20"/>
          <w:szCs w:val="20"/>
        </w:rPr>
      </w:pPr>
      <w:r w:rsidRPr="00B6247F">
        <w:rPr>
          <w:rFonts w:ascii="Arial" w:hAnsi="Arial" w:cs="Arial"/>
          <w:sz w:val="20"/>
          <w:szCs w:val="20"/>
        </w:rPr>
        <w:t>Both the Party  will not be liable whether based upon an action or claim in contract, tort (including negligence), warranty, misrepresentation, equity or otherwise (including any action or claim arising from the acts or omissions of the liable Party (or, as the case may be, its Affiliate), including any indemnity,   or in any manner related to arising from or in connection with  this Agreement, for damages which will not in the aggregate exceed an amount equal to the charges for Services paid to Accenture under the SOW giving rise to such liability during the twelve-month (12) period immediately preceding the most recent event giving rise to the claim.</w:t>
      </w:r>
      <w:r w:rsidR="00BE2B70" w:rsidRPr="000337F2">
        <w:rPr>
          <w:rFonts w:ascii="Arial" w:hAnsi="Arial" w:cs="Arial"/>
          <w:sz w:val="20"/>
          <w:szCs w:val="20"/>
        </w:rPr>
        <w:br w:type="page"/>
      </w:r>
    </w:p>
    <w:p w14:paraId="762E7AFF" w14:textId="77777777" w:rsidR="00FB3DC5" w:rsidRPr="0095378E" w:rsidRDefault="00FB3DC5" w:rsidP="0083242F">
      <w:pPr>
        <w:rPr>
          <w:rFonts w:ascii="Arial" w:hAnsi="Arial" w:cs="Arial"/>
          <w:b/>
          <w:sz w:val="20"/>
          <w:szCs w:val="20"/>
        </w:rPr>
      </w:pPr>
      <w:r w:rsidRPr="0095378E">
        <w:rPr>
          <w:rFonts w:ascii="Arial" w:hAnsi="Arial" w:cs="Arial"/>
          <w:b/>
          <w:sz w:val="20"/>
          <w:szCs w:val="20"/>
        </w:rPr>
        <w:lastRenderedPageBreak/>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E1334" w14:textId="77777777" w:rsidR="00922C5F" w:rsidRDefault="00922C5F" w:rsidP="0083242F">
      <w:r>
        <w:separator/>
      </w:r>
    </w:p>
    <w:p w14:paraId="09A37FAB" w14:textId="77777777" w:rsidR="00922C5F" w:rsidRDefault="00922C5F" w:rsidP="0083242F"/>
    <w:p w14:paraId="60658B6D" w14:textId="77777777" w:rsidR="00922C5F" w:rsidRDefault="00922C5F"/>
  </w:endnote>
  <w:endnote w:type="continuationSeparator" w:id="0">
    <w:p w14:paraId="27AB9D9C" w14:textId="77777777" w:rsidR="00922C5F" w:rsidRDefault="00922C5F" w:rsidP="0083242F">
      <w:r>
        <w:continuationSeparator/>
      </w:r>
    </w:p>
    <w:p w14:paraId="7DCA2CF4" w14:textId="77777777" w:rsidR="00922C5F" w:rsidRDefault="00922C5F" w:rsidP="0083242F"/>
    <w:p w14:paraId="502B9130" w14:textId="77777777" w:rsidR="00922C5F" w:rsidRDefault="00922C5F"/>
  </w:endnote>
  <w:endnote w:type="continuationNotice" w:id="1">
    <w:p w14:paraId="382077FF" w14:textId="77777777" w:rsidR="00922C5F" w:rsidRDefault="00922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5405B03D" w:rsidR="006D0974" w:rsidRPr="00E84E37" w:rsidRDefault="006D0974"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B6247F">
      <w:rPr>
        <w:rFonts w:ascii="Arial" w:eastAsia="Times New Roman" w:hAnsi="Arial" w:cs="Arial"/>
        <w:noProof/>
      </w:rPr>
      <w:t>19</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303EA" w14:textId="77777777" w:rsidR="00922C5F" w:rsidRDefault="00922C5F" w:rsidP="0083242F">
      <w:r>
        <w:separator/>
      </w:r>
    </w:p>
    <w:p w14:paraId="62FA255C" w14:textId="77777777" w:rsidR="00922C5F" w:rsidRDefault="00922C5F" w:rsidP="0083242F"/>
    <w:p w14:paraId="31783634" w14:textId="77777777" w:rsidR="00922C5F" w:rsidRDefault="00922C5F"/>
  </w:footnote>
  <w:footnote w:type="continuationSeparator" w:id="0">
    <w:p w14:paraId="63A84CF3" w14:textId="77777777" w:rsidR="00922C5F" w:rsidRDefault="00922C5F" w:rsidP="0083242F">
      <w:r>
        <w:continuationSeparator/>
      </w:r>
    </w:p>
    <w:p w14:paraId="4A9CE4E9" w14:textId="77777777" w:rsidR="00922C5F" w:rsidRDefault="00922C5F" w:rsidP="0083242F"/>
    <w:p w14:paraId="0006A84C" w14:textId="77777777" w:rsidR="00922C5F" w:rsidRDefault="00922C5F"/>
  </w:footnote>
  <w:footnote w:type="continuationNotice" w:id="1">
    <w:p w14:paraId="4E23192A" w14:textId="77777777" w:rsidR="00922C5F" w:rsidRDefault="00922C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5F"/>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4131"/>
    <w:rsid w:val="00E1533E"/>
    <w:rsid w:val="00E160DA"/>
    <w:rsid w:val="00E164FA"/>
    <w:rsid w:val="00E16EF1"/>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5BF0A7-7449-4E06-B181-9DC0F904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4</TotalTime>
  <Pages>18</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4</cp:revision>
  <cp:lastPrinted>2017-08-11T05:34:00Z</cp:lastPrinted>
  <dcterms:created xsi:type="dcterms:W3CDTF">2018-07-25T13:44:00Z</dcterms:created>
  <dcterms:modified xsi:type="dcterms:W3CDTF">2018-07-31T13:52:00Z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