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消费零售研究    2024 年度观察</w:t>
      </w:r>
    </w:p>
    <w:p>
      <w:pPr>
        <w:pStyle w:val="Title"/>
        <w:spacing w:after="140" w:before="80"/>
      </w:pPr>
      <w:r>
        <w:t xml:space="preserve">中国现制咖啡市场调研报告</w:t>
      </w:r>
    </w:p>
    <w:p>
      <w:pPr>
        <w:spacing w:after="200"/>
      </w:pPr>
      <w:r>
        <w:rPr>
          <w:rFonts w:ascii="Noto Sans CJK SC" w:cs="Noto Sans CJK SC" w:eastAsia="Noto Sans CJK SC" w:hAnsi="Noto Sans CJK SC"/>
          <w:color w:val="000000"/>
          <w:sz w:val="26"/>
          <w:szCs w:val="26"/>
        </w:rPr>
        <w:t xml:space="preserve">连锁网络扩张与门店经营质量分化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研究结论：2024 年现制咖啡的供给继续扩张，成熟门店的销售表现承受压力。对于准备进入新商圈的经营者，门店数量只能说明网络规模，选址判断还需要同时观察同店销售、价格实现和门店贡献。本报告围绕瑞幸、星巴克中国与 Tims 中国的公开披露，分析竞争结构，并提出可验证的进入假设。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3250"/>
        <w:gridCol w:w="3260"/>
      </w:tblGrid>
      <w:tr>
        <w:trPr>
          <w:cantSplit/>
          <w:tblHeader/>
        </w:trPr>
        <w:tc>
          <w:tcPr>
            <w:tcW w:type="dxa" w:w="32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瑞幸集团门店</w:t>
            </w:r>
          </w:p>
        </w:tc>
        <w:tc>
          <w:tcPr>
            <w:tcW w:type="dxa" w:w="32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星巴克中国门店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Tims 中国门店</w:t>
            </w:r>
          </w:p>
        </w:tc>
      </w:tr>
      <w:tr>
        <w:trPr>
          <w:cantSplit/>
          <w:tblHeader w:val="false"/>
        </w:trPr>
        <w:tc>
          <w:tcPr>
            <w:tcW w:type="dxa" w:w="32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22,340 家</w:t>
            </w:r>
          </w:p>
        </w:tc>
        <w:tc>
          <w:tcPr>
            <w:tcW w:type="dxa" w:w="32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7,596 家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1,022 家</w:t>
            </w:r>
          </w:p>
        </w:tc>
      </w:tr>
    </w:tbl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数据日期：瑞幸与 Tims 为 2024-12-31；星巴克为 2024-09-29。瑞幸集团含海外门店。[1][2][3]</w:t>
      </w:r>
    </w:p>
    <w:p>
      <w:pPr>
        <w:keepNext/>
        <w:spacing w:after="80" w:before="100"/>
      </w:pPr>
      <w:r>
        <w:rPr>
          <w:rFonts w:ascii="Noto Sans CJK SC" w:cs="Noto Sans CJK SC" w:eastAsia="Noto Sans CJK SC" w:hAnsi="Noto Sans CJK SC"/>
          <w:b/>
          <w:bCs/>
          <w:color w:val="20252B"/>
          <w:sz w:val="20"/>
          <w:szCs w:val="20"/>
        </w:rPr>
        <w:t xml:space="preserve">图 1  两家连锁企业的门店网络扩张速度</w:t>
      </w:r>
    </w:p>
    <w:p>
      <w:pPr>
        <w:spacing w:after="60"/>
      </w:pPr>
      <w:r>
        <w:drawing>
          <wp:inline distT="0" distB="0" distL="0" distR="0">
            <wp:extent cx="6172200" cy="2047875"/>
            <wp:effectExtent t="0" r="0" b="0" l="0"/>
            <wp:docPr id="1" name="图 1" descr="来源：[1][3]，按披露门店数量计算；基期为 2023 年末。指数用于比较增速，品牌样本代表各自披露范围。" title="图 1  两家连锁企业的门店网络扩张速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来源：[1][3]，按披露门店数量计算；基期为 2023 年末。指数用于比较增速，品牌样本代表各自披露范围。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核心判断：扩店能够增加覆盖面，但新店贡献、老店分流与促销折让需要分开核算。对中小品牌而言，先验证高频场景中的复购和履约能力，再决定网点密度，更有利于控制试错成本。</w:t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阅读路径：供给结构 02 · 经营质量 03 · 消费场景 04 · 店效测算 05 · 市场进入 06 · 资料与方法 07</w:t>
      </w:r>
    </w:p>
    <w:p>
      <w:pPr>
        <w:pStyle w:val="Heading1"/>
        <w:keepNext/>
        <w:pageBreakBefore/>
        <w:spacing w:after="125" w:before="170"/>
      </w:pPr>
      <w:r>
        <w:t xml:space="preserve">02 供给结构与品牌覆盖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门店网络是现制咖啡竞争的重要基础：更短的取餐距离和更密的配送覆盖，可以提高用户在通勤、办公等场景中的可达性。网络扩张也会改变同一品牌内部的客流分配。因此，本节把“门店存量”和“门店增速”放在一起观察，后续再检验经营质量。</w:t>
      </w:r>
    </w:p>
    <w:p>
      <w:pPr>
        <w:keepNext/>
        <w:spacing w:after="80" w:before="100"/>
      </w:pPr>
      <w:r>
        <w:rPr>
          <w:rFonts w:ascii="Noto Sans CJK SC" w:cs="Noto Sans CJK SC" w:eastAsia="Noto Sans CJK SC" w:hAnsi="Noto Sans CJK SC"/>
          <w:b/>
          <w:bCs/>
          <w:color w:val="20252B"/>
          <w:sz w:val="20"/>
          <w:szCs w:val="20"/>
        </w:rPr>
        <w:t xml:space="preserve">图 2  三家企业披露的门店规模</w:t>
      </w:r>
    </w:p>
    <w:p>
      <w:pPr>
        <w:spacing w:after="60"/>
      </w:pPr>
      <w:r>
        <w:drawing>
          <wp:inline distT="0" distB="0" distL="0" distR="0">
            <wp:extent cx="6172200" cy="2047875"/>
            <wp:effectExtent t="0" r="0" b="0" l="0"/>
            <wp:docPr id="1" name="图 2" descr="来源：[1][2][3]。地域范围及日期存在差异，图中数量用于认识竞争量级，未据此计算中国市场份额。" title="图 2  三家企业披露的门店规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来源：[1][2][3]。地域范围及日期存在差异，图中数量用于认识竞争量级，未据此计算中国市场份额。</w:t>
      </w:r>
    </w:p>
    <w:p>
      <w:pPr>
        <w:pStyle w:val="Heading2"/>
        <w:keepNext/>
        <w:spacing w:after="125" w:before="150"/>
      </w:pPr>
      <w:r>
        <w:t xml:space="preserve">扩张方式影响总部收入与门店经营的关系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瑞幸 2024 年末包含 14,591 家自营门店和 7,749 家联营门店；Tims 年末的 1,022 家门店中，576 家为直营、446 家为加盟。[1][3] 对直营体系，总部直接承担门店租金、人员和经营波动；对于加盟体系，总部收入还受供货、服务费和开店节奏影响。直接比较两类企业的收入除以门店数，容易混淆业务模式。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360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观察维度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网络扩张提供的信息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仍需补充的证据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门店数量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覆盖范围与供给密度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商圈客流、营业时长、净新增与关闭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经营模式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直营与加盟的责任分配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总部确认收入与终端零售额的关系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单店产出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门店经营的变化方向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开业月份、店龄、面积和渠道结构</w:t>
            </w:r>
          </w:p>
        </w:tc>
      </w:tr>
    </w:tbl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对市场进入的启示：更适合采用商圈层面的竞争清单。将步行范围内的同类品牌、价格实现、营业时段和取餐条件逐一记录，再评估需求是否足以支持新增供给。全国门店排名可以帮助识别重点对手，具体选址仍需落到本地交易条件。</w:t>
      </w:r>
    </w:p>
    <w:p>
      <w:pPr>
        <w:pStyle w:val="Heading1"/>
        <w:keepNext/>
        <w:pageBreakBefore/>
        <w:spacing w:after="125" w:before="170"/>
      </w:pPr>
      <w:r>
        <w:t xml:space="preserve">03 同店销售与经营质量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同店销售为观察既有门店提供了比总收入更接近经营底盘的视角。瑞幸和 Tims 的 2024 年直营同店销售同比均出现负增长，但季度路径存在差异。下图显示，扩张中的品牌仍需持续处理价格、频次与门店间客流分配的问题。[1][3]</w:t>
      </w:r>
    </w:p>
    <w:p>
      <w:pPr>
        <w:keepNext/>
        <w:spacing w:after="80" w:before="100"/>
      </w:pPr>
      <w:r>
        <w:rPr>
          <w:rFonts w:ascii="Noto Sans CJK SC" w:cs="Noto Sans CJK SC" w:eastAsia="Noto Sans CJK SC" w:hAnsi="Noto Sans CJK SC"/>
          <w:b/>
          <w:bCs/>
          <w:color w:val="20252B"/>
          <w:sz w:val="20"/>
          <w:szCs w:val="20"/>
        </w:rPr>
        <w:t xml:space="preserve">图 3  直营同店销售的季度变化</w:t>
      </w:r>
    </w:p>
    <w:p>
      <w:pPr>
        <w:spacing w:after="60"/>
      </w:pPr>
      <w:r>
        <w:drawing>
          <wp:inline distT="0" distB="0" distL="0" distR="0">
            <wp:extent cx="6172200" cy="2047875"/>
            <wp:effectExtent t="0" r="0" b="0" l="0"/>
            <wp:docPr id="1" name="图 3" descr="来源：[1][3]。两家企业各自采用披露定义；图中呈现方向与幅度，跨品牌水平比较需保留统计定义差异。" title="图 3  直营同店销售的季度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来源：[1][3]。两家企业各自采用披露定义；图中呈现方向与幅度，跨品牌水平比较需保留统计定义差异。</w:t>
      </w:r>
    </w:p>
    <w:p>
      <w:pPr>
        <w:pStyle w:val="Heading2"/>
        <w:keepNext/>
        <w:spacing w:after="125" w:before="150"/>
      </w:pPr>
      <w:r>
        <w:t xml:space="preserve">区分价格变化与交易次数变化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星巴克中国截至 2024 年 9 月 29 日的财季，同店销售同比下降 14%，交易次数下降 6%，客单价下降 8%。[2] 这说明只看销售额会遗漏两个不同的问题：用户来得更少，以及每次支付更少。对运营而言，两者对应的调查和改进动作不同。该财季与自然年第四季度并不重合，应单独阅读。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4260"/>
      </w:tblGrid>
      <w:tr>
        <w:trPr>
          <w:cantSplit/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变化来源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优先追踪指标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可验证的问题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价格实现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券后实收、折扣率、渠道佣金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促销新增了交易，还是主要补贴原有购买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交易频次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同一用户的周购买次数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习惯形成后，购买是否仍依赖优惠触达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渠道迁移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堂食、自取、配送的贡献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新渠道增长能否覆盖其增加的履约成本</w:t>
            </w:r>
          </w:p>
        </w:tc>
      </w:tr>
    </w:tbl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瑞幸第一季度披露同时提到季节性、平均售价下降与竞争因素。[4] 因此，季度回升可以作为继续跟踪的信号，解释时还需要对照促销强度、天气和店龄结构。市场进入决策应观察多个交易周期，避免把短期修复外推成长期增速。</w:t>
      </w:r>
    </w:p>
    <w:p>
      <w:pPr>
        <w:pStyle w:val="Heading1"/>
        <w:keepNext/>
        <w:pageBreakBefore/>
        <w:spacing w:after="125" w:before="170"/>
      </w:pPr>
      <w:r>
        <w:t xml:space="preserve">04 消费场景与需求假设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公开财务数据可以说明企业经营表现，却难以直接还原消费者为什么选择某一家门店。下列场景拆分属于本报告提出的调研框架，用于规划后续访谈和商圈观察。每项判断都需要通过具体用户行为验证，样本企业的数据不替代消费者调查。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00"/>
        <w:gridCol w:w="3000"/>
        <w:gridCol w:w="3210"/>
      </w:tblGrid>
      <w:tr>
        <w:trPr>
          <w:cantSplit/>
          <w:tblHeader/>
        </w:trPr>
        <w:tc>
          <w:tcPr>
            <w:tcW w:type="dxa" w:w="1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核心任务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应验证的需求</w:t>
            </w:r>
          </w:p>
        </w:tc>
        <w:tc>
          <w:tcPr>
            <w:tcW w:type="dxa" w:w="32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建议观察方式</w:t>
            </w:r>
          </w:p>
        </w:tc>
      </w:tr>
      <w:tr>
        <w:trPr>
          <w:cantSplit/>
          <w:tblHeader w:val="false"/>
        </w:trPr>
        <w:tc>
          <w:tcPr>
            <w:tcW w:type="dxa" w:w="1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早间通勤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在有限时间内买到饮品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出杯稳定性、取餐距离、早餐搭配</w:t>
            </w:r>
          </w:p>
        </w:tc>
        <w:tc>
          <w:tcPr>
            <w:tcW w:type="dxa" w:w="32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工作日早高峰观察与取餐计时</w:t>
            </w:r>
          </w:p>
        </w:tc>
      </w:tr>
      <w:tr>
        <w:trPr>
          <w:cantSplit/>
          <w:tblHeader w:val="false"/>
        </w:trPr>
        <w:tc>
          <w:tcPr>
            <w:tcW w:type="dxa" w:w="1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办公补给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规律购买且方便送达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实收价格、拼单、配送准确性</w:t>
            </w:r>
          </w:p>
        </w:tc>
        <w:tc>
          <w:tcPr>
            <w:tcW w:type="dxa" w:w="32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同一用户连续两周购买记录</w:t>
            </w:r>
          </w:p>
        </w:tc>
      </w:tr>
      <w:tr>
        <w:trPr>
          <w:cantSplit/>
          <w:tblHeader w:val="false"/>
        </w:trPr>
        <w:tc>
          <w:tcPr>
            <w:tcW w:type="dxa" w:w="1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社交会面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停留与交流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座位、噪声、清洁和停留体验</w:t>
            </w:r>
          </w:p>
        </w:tc>
        <w:tc>
          <w:tcPr>
            <w:tcW w:type="dxa" w:w="32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分时段座位使用与离店访谈</w:t>
            </w:r>
          </w:p>
        </w:tc>
      </w:tr>
      <w:tr>
        <w:trPr>
          <w:cantSplit/>
          <w:tblHeader w:val="false"/>
        </w:trPr>
        <w:tc>
          <w:tcPr>
            <w:tcW w:type="dxa" w:w="1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周末休闲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体验与尝新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产品差异、空间、轻食选择</w:t>
            </w:r>
          </w:p>
        </w:tc>
        <w:tc>
          <w:tcPr>
            <w:tcW w:type="dxa" w:w="32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新品复购与完整订单组成</w:t>
            </w:r>
          </w:p>
        </w:tc>
      </w:tr>
    </w:tbl>
    <w:p>
      <w:pPr>
        <w:pStyle w:val="Heading2"/>
        <w:keepNext/>
        <w:spacing w:after="125" w:before="150"/>
      </w:pPr>
      <w:r>
        <w:t xml:space="preserve">产品组合需要服务具体时段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Tims 在年度披露中强调咖啡与现制食品的组合。[3] 这一思路提示经营者：饮品之外的产品能否增加交易价值，需要与相应时段一起检验。早餐加购可能提高订单金额，也可能延长出餐时间。比较时应同时记录加购率、制作时间和损耗，避免只优化名义客单价。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对于办公场景，可以先拆解工作日频次和配送履约。消费者是否愿意从另一家品牌切换，可能取决于可达性、配送确定性和稳定实收价。调研中应记录实际支付凭证和最近一次购买，而不是仅询问“喜欢什么品牌”。这样更容易区分真实行为与泛泛偏好。</w:t>
      </w:r>
    </w:p>
    <w:p>
      <w:pPr>
        <w:pStyle w:val="Heading2"/>
        <w:keepNext/>
        <w:spacing w:after="125" w:before="150"/>
      </w:pPr>
      <w:r>
        <w:t xml:space="preserve">用户分层采用行为变量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可按周购买频次、主要购买时段、主要渠道与价格敏感程度形成行为分层。每层至少保留一个可以验证的进入条件，例如工作日复购、配送准时率或无券购买比例。年龄、收入等背景变量可以辅助解释，但单独依靠人口特征很难推导店型和产品组合。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访谈建议采用定向探索样本，并同步记录招募渠道。对某一商圈得到的观察，先用于该商圈的经营假设。若要推断城市层面的消费占比，需要另行设计抽样框、样本量与加权方法。</w:t>
      </w:r>
    </w:p>
    <w:p>
      <w:pPr>
        <w:pStyle w:val="Heading1"/>
        <w:keepNext/>
        <w:pageBreakBefore/>
        <w:spacing w:after="125" w:before="170"/>
      </w:pPr>
      <w:r>
        <w:t xml:space="preserve">05 门店贡献与价格敏感性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同一市场机会在不同成本结构下会产生不同结果。本节用一组透明假设展示“实收价格 × 杯量”的关系。测算参数为：每月营业 30 天，月固定成本 5.2 万元，单杯直接材料成本 6 元，渠道变动费率为实收金额的 10%。这些参数用于展示计算方法，实际项目应以租约、排班和采购报价替换。</w:t>
      </w:r>
    </w:p>
    <w:p>
      <w:pPr>
        <w:keepNext/>
        <w:spacing w:after="80" w:before="100"/>
      </w:pPr>
      <w:r>
        <w:rPr>
          <w:rFonts w:ascii="Noto Sans CJK SC" w:cs="Noto Sans CJK SC" w:eastAsia="Noto Sans CJK SC" w:hAnsi="Noto Sans CJK SC"/>
          <w:b/>
          <w:bCs/>
          <w:color w:val="20252B"/>
          <w:sz w:val="20"/>
          <w:szCs w:val="20"/>
        </w:rPr>
        <w:t xml:space="preserve">图 4  日均杯量与实收价格的贡献敏感性</w:t>
      </w:r>
    </w:p>
    <w:p>
      <w:pPr>
        <w:spacing w:after="60"/>
      </w:pPr>
      <w:r>
        <w:drawing>
          <wp:inline distT="0" distB="0" distL="0" distR="0">
            <wp:extent cx="6172200" cy="2047875"/>
            <wp:effectExtent t="0" r="0" b="0" l="0"/>
            <wp:docPr id="1" name="图 4" descr="本报告假设测算。门店月贡献 = 日均杯量 × 30 ×（实收价格 × 90% − 6）− 52,000；单位为万元。包含列示成本，开办费、税费、折旧与总部费用需另行评估。" title="图 4  日均杯量与实收价格的贡献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本报告假设测算。门店月贡献 = 日均杯量 × 30 ×（实收价格 × 90% − 6）− 52,000；单位为万元。包含列示成本，开办费、税费、折旧与总部费用需另行评估。</w:t>
      </w:r>
    </w:p>
    <w:p>
      <w:pPr>
        <w:pStyle w:val="Heading2"/>
        <w:keepNext/>
        <w:spacing w:after="125" w:before="150"/>
      </w:pPr>
      <w:r>
        <w:t xml:space="preserve">价格折让需要相应的增量交易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在该假设下，实收 14 元时单杯贡献为 6.6 元，覆盖月固定成本需要约 263 杯/日；实收 16 元时单杯贡献为 8.4 元，对应约 207 杯/日。杯量相同时，提高两元实收会改变贡献空间；降价若能显著增加高峰之外的交易，也可能改善总贡献。判断依据应是增量贡献和产能约束，而非单独的销量增长。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160"/>
      </w:tblGrid>
      <w:tr>
        <w:trPr>
          <w:cantSplit/>
          <w:tblHeader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实收价格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单杯贡献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覆盖固定成本的日均杯量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12 元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4.8 元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约 362 杯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14 元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6.6 元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约 263 杯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16 元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8.4 元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约 207 杯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18 元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10.2 元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约 170 杯</w:t>
            </w:r>
          </w:p>
        </w:tc>
      </w:tr>
    </w:tbl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日均杯量按向上取整列示；正文中的近似量级用于解释关系。贡献测算服务经营假设比较，并非对样本品牌单店收益的估计。</w:t>
      </w:r>
    </w:p>
    <w:p>
      <w:pPr>
        <w:pStyle w:val="Heading1"/>
        <w:keepNext/>
        <w:pageBreakBefore/>
        <w:spacing w:after="125" w:before="170"/>
      </w:pPr>
      <w:r>
        <w:t xml:space="preserve">06 市场进入与跟踪重点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本报告建议把市场进入拆成三个可回收证据的阶段：先验证需求，再验证门店贡献，最后验证复制能力。扩张到更多商圈前，应明确哪一类用户、在哪一时段、以怎样的实收价格持续购买。试点的价值在于回答这些问题，并为后续店型和资源安排提供依据。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460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核心工作</w:t>
            </w:r>
          </w:p>
        </w:tc>
        <w:tc>
          <w:tcPr>
            <w:tcW w:type="dxa" w:w="4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34C6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继续投入前需要的证据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商圈研究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客流观察、竞品交易条件、目标用户访谈</w:t>
            </w:r>
          </w:p>
        </w:tc>
        <w:tc>
          <w:tcPr>
            <w:tcW w:type="dxa" w:w="4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确认高频场景与现有服务缺口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单店试点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跟踪价格、杯量、成本与履约</w:t>
            </w:r>
          </w:p>
        </w:tc>
        <w:tc>
          <w:tcPr>
            <w:tcW w:type="dxa" w:w="4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6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贡献改善可以由可追踪经营动作解释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复制验证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在相近与不同商圈分别试点</w:t>
            </w:r>
          </w:p>
        </w:tc>
        <w:tc>
          <w:tcPr>
            <w:tcW w:type="dxa" w:w="4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0252B"/>
                <w:sz w:val="18"/>
                <w:szCs w:val="18"/>
              </w:rPr>
              <w:t xml:space="preserve">识别依赖选址条件与可复制运营能力</w:t>
            </w:r>
          </w:p>
        </w:tc>
      </w:tr>
    </w:tbl>
    <w:p>
      <w:pPr>
        <w:pStyle w:val="Heading2"/>
        <w:keepNext/>
        <w:spacing w:after="125" w:before="150"/>
      </w:pPr>
      <w:r>
        <w:t xml:space="preserve">重点跟踪四类变化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供给密度：记录有效营业门店、开业和关闭，区分真实供给增加与门店迁移。同一品牌新增网点后，观察周边老店的交易变化。若新增销售主要来自内部转移，区域整体贡献可能改善有限。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价格实现：以用户实际支付金额和企业实际承担的折扣为基础，拆分品牌补贴与平台补贴。只有持续知道谁承担成本，才能判断某种低价是否具备可持续性。监测中也应保留原价购买和套餐购买的比例。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时段效率：把早高峰、午间、下午与晚间分开观察。高峰增长如果伴随排队和超时，需要核对设备、人力和取餐安排。非高峰增长则更可能利用已有固定资源，二者的边际价值不同。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复购质量：按首次购买月份跟踪后续购买和贡献，区分优惠触达带来的短期交易与稳定习惯。以相同观察窗口比较用户批次，可以减少新客不断进入对总体复购指标的干扰。</w:t>
      </w:r>
    </w:p>
    <w:p>
      <w:pPr>
        <w:pStyle w:val="Heading2"/>
        <w:keepNext/>
        <w:spacing w:after="125" w:before="150"/>
      </w:pPr>
      <w:r>
        <w:t xml:space="preserve">结论适用范围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三家披露样本呈现出供给扩张与同店压力并存的现象。可以据此提出店效和竞争密度的研究问题，但尚不足以估计全部现制咖啡市场的规模、渗透率或未来增速。具体进入策略应结合目标城市、商圈和自身成本条件完成验证，再确定店型、价格与扩张速度。</w:t>
      </w:r>
    </w:p>
    <w:p>
      <w:pPr>
        <w:pStyle w:val="Heading1"/>
        <w:keepNext/>
        <w:pageBreakBefore/>
        <w:spacing w:after="125" w:before="170"/>
      </w:pPr>
      <w:r>
        <w:t xml:space="preserve">07 研究方法与资料索引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研究方法为公开资料的桌面研究。量化部分以 2024 年度和相关季度披露为观察基础；消费者场景、调研问题和进入路径为本报告分析。全文涉及三类信息：企业披露事实、基于披露的计算，以及明确列示的经营假设。</w:t>
      </w:r>
    </w:p>
    <w:p>
      <w:pPr>
        <w:pStyle w:val="Heading2"/>
        <w:keepNext/>
        <w:spacing w:after="125" w:before="150"/>
      </w:pPr>
      <w:r>
        <w:t xml:space="preserve">数据比较原则</w:t>
      </w:r>
    </w:p>
    <w:p>
      <w:pPr>
        <w:spacing w:after="110" w:line="300"/>
      </w:pPr>
      <w:r>
        <w:rPr>
          <w:rFonts w:ascii="Noto Sans CJK SC" w:cs="Noto Sans CJK SC" w:eastAsia="Noto Sans CJK SC" w:hAnsi="Noto Sans CJK SC"/>
          <w:color w:val="20252B"/>
          <w:sz w:val="21"/>
          <w:szCs w:val="21"/>
        </w:rPr>
        <w:t xml:space="preserve">门店数采用各企业披露范围和日期；瑞幸为集团口径并含海外门店，星巴克为中国地区财年口径，Tims 为中国持续经营口径。同店销售沿用企业自身定义，不把不同财季简单对齐。报告以网络、同店和运营方法组织比较，未通过简单相加推算行业总额。</w:t>
      </w:r>
    </w:p>
    <w:p>
      <w:pPr>
        <w:pStyle w:val="Heading2"/>
        <w:keepNext/>
        <w:spacing w:after="125" w:before="150"/>
      </w:pPr>
      <w:r>
        <w:t xml:space="preserve">主要来源</w:t>
      </w:r>
    </w:p>
    <w:p>
      <w:pPr>
        <w:keepNext/>
        <w:spacing w:after="40" w:before="10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[1] Luckin Coffee  Luckin Coffee 2024 财年与第四季度业绩  2025-02-20</w:t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第 1–2、5 页；门店、直营与联营、同店及财年数据。瑞幸门店为集团口径，包含海外。</w:t>
      </w:r>
    </w:p>
    <w:p>
      <w:pPr>
        <w:spacing w:after="120"/>
      </w:pPr>
      <w:hyperlink w:history="1" r:id="rIdirqq2nqipxy4-seqogwen">
        <w:r>
          <w:rPr>
            <w:rStyle w:val="Hyperlink"/>
            <w:rFonts w:ascii="Noto Sans CJK SC" w:cs="Noto Sans CJK SC" w:eastAsia="Noto Sans CJK SC" w:hAnsi="Noto Sans CJK SC"/>
            <w:sz w:val="18"/>
            <w:szCs w:val="18"/>
          </w:rPr>
          <w:t xml:space="preserve">查看原始披露</w:t>
        </w:r>
      </w:hyperlink>
    </w:p>
    <w:p>
      <w:pPr>
        <w:keepNext/>
        <w:spacing w:after="40" w:before="10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[2] Starbucks  Starbucks 2024 财年与第四季度业绩  2024-10-30</w:t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China Supplemental Data；财年末为 2024-09-29，季度亦截至该日。</w:t>
      </w:r>
    </w:p>
    <w:p>
      <w:pPr>
        <w:spacing w:after="120"/>
      </w:pPr>
      <w:hyperlink w:history="1" r:id="rIdkiqjrvbh_zdspwfej351v">
        <w:r>
          <w:rPr>
            <w:rStyle w:val="Hyperlink"/>
            <w:rFonts w:ascii="Noto Sans CJK SC" w:cs="Noto Sans CJK SC" w:eastAsia="Noto Sans CJK SC" w:hAnsi="Noto Sans CJK SC"/>
            <w:sz w:val="18"/>
            <w:szCs w:val="18"/>
          </w:rPr>
          <w:t xml:space="preserve">查看原始披露</w:t>
        </w:r>
      </w:hyperlink>
    </w:p>
    <w:p>
      <w:pPr>
        <w:keepNext/>
        <w:spacing w:after="40" w:before="10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[3] TH International  Tims China 2024 年度与第四季度业绩  2025-04-15</w:t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2024 全年、Key Operating Data；门店及同店数据均采用 Tims 持续经营口径。</w:t>
      </w:r>
    </w:p>
    <w:p>
      <w:pPr>
        <w:spacing w:after="120"/>
      </w:pPr>
      <w:hyperlink w:history="1" r:id="rIdebwpu35rgpimtajgfwmuu">
        <w:r>
          <w:rPr>
            <w:rStyle w:val="Hyperlink"/>
            <w:rFonts w:ascii="Noto Sans CJK SC" w:cs="Noto Sans CJK SC" w:eastAsia="Noto Sans CJK SC" w:hAnsi="Noto Sans CJK SC"/>
            <w:sz w:val="18"/>
            <w:szCs w:val="18"/>
          </w:rPr>
          <w:t xml:space="preserve">查看原始披露</w:t>
        </w:r>
      </w:hyperlink>
    </w:p>
    <w:p>
      <w:pPr>
        <w:keepNext/>
        <w:spacing w:after="40" w:before="10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[4] Luckin Coffee  Luckin Coffee 2024 第一季度业绩  2024-04-30</w:t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用于核对季度季节性、价格因素与同店变化。</w:t>
      </w:r>
    </w:p>
    <w:p>
      <w:pPr>
        <w:spacing w:after="120"/>
      </w:pPr>
      <w:hyperlink w:history="1" r:id="rIdkkg82mznphugaf38hq0cj">
        <w:r>
          <w:rPr>
            <w:rStyle w:val="Hyperlink"/>
            <w:rFonts w:ascii="Noto Sans CJK SC" w:cs="Noto Sans CJK SC" w:eastAsia="Noto Sans CJK SC" w:hAnsi="Noto Sans CJK SC"/>
            <w:sz w:val="18"/>
            <w:szCs w:val="18"/>
          </w:rPr>
          <w:t xml:space="preserve">查看原始披露</w:t>
        </w:r>
      </w:hyperlink>
    </w:p>
    <w:p>
      <w:pPr>
        <w:keepNext/>
        <w:spacing w:after="40" w:before="10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[5] Starbucks  Starbucks 2024 第二财季业绩  2024-04-30</w:t>
      </w:r>
    </w:p>
    <w:p>
      <w:pPr>
        <w:spacing w:after="120" w:line="270"/>
      </w:pPr>
      <w:r>
        <w:rPr>
          <w:rFonts w:ascii="Noto Sans CJK SC" w:cs="Noto Sans CJK SC" w:eastAsia="Noto Sans CJK SC" w:hAnsi="Noto Sans CJK SC"/>
          <w:color w:val="647180"/>
          <w:sz w:val="17"/>
          <w:szCs w:val="17"/>
        </w:rPr>
        <w:t xml:space="preserve">中国可比门店销售变化为 -11%；季度截至 2024-03-31。</w:t>
      </w:r>
    </w:p>
    <w:p>
      <w:pPr>
        <w:spacing w:after="120"/>
      </w:pPr>
      <w:hyperlink w:history="1" r:id="rIdurypyfnbb1e6s3assau-a">
        <w:r>
          <w:rPr>
            <w:rStyle w:val="Hyperlink"/>
            <w:rFonts w:ascii="Noto Sans CJK SC" w:cs="Noto Sans CJK SC" w:eastAsia="Noto Sans CJK SC" w:hAnsi="Noto Sans CJK SC"/>
            <w:sz w:val="18"/>
            <w:szCs w:val="18"/>
          </w:rPr>
          <w:t xml:space="preserve">查看原始披露</w:t>
        </w:r>
      </w:hyperlink>
    </w:p>
    <w:sectPr>
      <w:headerReference w:type="default" r:id="rId7"/>
      <w:footerReference w:type="default" r:id="rId8"/>
      <w:pgSz w:w="11906" w:h="16838" w:orient="portrait"/>
      <w:pgMar w:top="950" w:right="1073" w:bottom="950" w:left="1073" w:header="46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SC" w:cs="Noto Sans CJK SC" w:eastAsia="Noto Sans CJK SC" w:hAnsi="Noto Sans CJK SC"/>
        <w:color w:val="647180"/>
        <w:sz w:val="16"/>
        <w:szCs w:val="16"/>
      </w:rPr>
      <w:t xml:space="preserve">DSH  /  </w:t>
    </w:r>
    <w:r>
      <w:rPr>
        <w:rFonts w:ascii="Noto Sans CJK SC" w:cs="Noto Sans CJK SC" w:eastAsia="Noto Sans CJK SC" w:hAnsi="Noto Sans CJK SC"/>
        <w:color w:val="6471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Noto Sans CJK SC" w:cs="Noto Sans CJK SC" w:eastAsia="Noto Sans CJK SC" w:hAnsi="Noto Sans CJK SC"/>
        <w:color w:val="000000"/>
        <w:sz w:val="16"/>
        <w:szCs w:val="16"/>
      </w:rPr>
      <w:t xml:space="preserve">中国现制咖啡市场调研   2024 年度观察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eastAsia="Noto Sans CJK SC"/>
        <w:color w:val="20252B"/>
        <w:sz w:val="21"/>
        <w:szCs w:val="21"/>
      </w:rPr>
    </w:rPrDefault>
    <w:pPrDefault>
      <w:pPr>
        <w:spacing w:after="11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</w:pPr>
    <w:rPr>
      <w:rFonts w:ascii="Noto Sans CJK SC" w:cs="Noto Sans CJK SC" w:eastAsia="Noto Sans CJK SC" w:hAnsi="Noto Sans CJK SC"/>
      <w:b/>
      <w:bCs/>
      <w:color w:val="000000"/>
      <w:sz w:val="43"/>
      <w:szCs w:val="43"/>
    </w:rPr>
  </w:style>
  <w:style w:type="paragraph" w:styleId="Heading1">
    <w:name w:val="heading 1"/>
    <w:basedOn w:val="Normal"/>
    <w:next w:val="Normal"/>
    <w:qFormat/>
    <w:pPr>
      <w:keepNext/>
    </w:pPr>
    <w:rPr>
      <w:rFonts w:ascii="Noto Sans CJK SC" w:cs="Noto Sans CJK SC" w:eastAsia="Noto Sans CJK SC" w:hAnsi="Noto Sans CJK SC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</w:pPr>
    <w:rPr>
      <w:rFonts w:ascii="Noto Sans CJK SC" w:cs="Noto Sans CJK SC" w:eastAsia="Noto Sans CJK SC" w:hAnsi="Noto Sans CJK S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rqq2nqipxy4-seqogwen" Type="http://schemas.openxmlformats.org/officeDocument/2006/relationships/hyperlink" Target="https://investor.lkcoffee.com/static-files/994b3727-f41f-4206-99a9-75efcc3bee67" TargetMode="External"/><Relationship Id="rIdkiqjrvbh_zdspwfej351v" Type="http://schemas.openxmlformats.org/officeDocument/2006/relationships/hyperlink" Target="https://investor.starbucks.com/news/financial-releases/news-details/2024/Starbucks-Reports-Q4-and-Full-Fiscal-Year-2024-Results/default.aspx" TargetMode="External"/><Relationship Id="rIdebwpu35rgpimtajgfwmuu" Type="http://schemas.openxmlformats.org/officeDocument/2006/relationships/hyperlink" Target="https://ir.timschina.com/news-releases/news-release-details/tims-china-announces-fourth-quarter-and-full-year-2024-financial" TargetMode="External"/><Relationship Id="rIdkkg82mznphugaf38hq0cj" Type="http://schemas.openxmlformats.org/officeDocument/2006/relationships/hyperlink" Target="https://investor.luckincoffee.com/news-releases/news-release-details/luckin-coffee-inc-announces-first-quarter-2024-financial-results/" TargetMode="External"/><Relationship Id="rIdurypyfnbb1e6s3assau-a" Type="http://schemas.openxmlformats.org/officeDocument/2006/relationships/hyperlink" Target="https://investor.starbucks.com/news/financial-releases/news-details/2024/Starbucks-Reports-Q2-Fiscal-2024-Results/" TargetMode="External"/><Relationship Id="rId9" Type="http://schemas.openxmlformats.org/officeDocument/2006/relationships/image" Target="media/3831890c3226134fe49d5dabf63736b072e662c8.png"/><Relationship Id="rId10" Type="http://schemas.openxmlformats.org/officeDocument/2006/relationships/image" Target="media/7ffcf5a89c0143730c546ebee2f4d09b42cc5f10.png"/><Relationship Id="rId11" Type="http://schemas.openxmlformats.org/officeDocument/2006/relationships/image" Target="media/be48f49cdb986f2b6f8c505928348f82f21dafb2.png"/><Relationship Id="rId12" Type="http://schemas.openxmlformats.org/officeDocument/2006/relationships/image" Target="media/d18dbe786a65cb6a6142baa736f73793003a24e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中国现制咖啡市场调研报告</dc:title>
  <dc:creator>DSH</dc:creator>
  <dc:description>中国现制咖啡市场调研案例</dc:description>
  <cp:lastModifiedBy>Un-named</cp:lastModifiedBy>
  <cp:revision>1</cp:revision>
  <dcterms:created xsi:type="dcterms:W3CDTF">2026-09-11T03:04:44.504Z</dcterms:created>
  <dcterms:modified xsi:type="dcterms:W3CDTF">2026-09-11T03:04:44.504Z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