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1840" w:lineRule="exact" w:after="0" w:before="0"/>
      </w:pPr>
      <w:r>
        <w:rPr>
          <w:rFonts w:ascii="FangS-SC" w:hAnsi="FangS-SC" w:eastAsia="FangS-SC" w:cs="FangS-SC"/>
          <w:b w:val="0"/>
          <w:color w:val="000000"/>
          <w:sz w:val="2"/>
        </w:rPr>
      </w:r>
    </w:p>
    <w:p>
      <w:pPr>
        <w:keepNext/>
        <w:spacing w:after="800" w:line="240" w:lineRule="auto"/>
        <w:jc w:val="center"/>
      </w:pPr>
      <w:r>
        <w:drawing>
          <wp:inline xmlns:a="http://schemas.openxmlformats.org/drawingml/2006/main" xmlns:pic="http://schemas.openxmlformats.org/drawingml/2006/picture">
            <wp:extent cx="5334000" cy="713232"/>
            <wp:docPr id="1" name="Picture 1" descr="中国中车股份有限公司文件"/>
            <wp:cNvGraphicFramePr>
              <a:graphicFrameLocks noChangeAspect="1"/>
            </wp:cNvGraphicFramePr>
            <a:graphic>
              <a:graphicData uri="http://schemas.openxmlformats.org/drawingml/2006/picture">
                <pic:pic>
                  <pic:nvPicPr>
                    <pic:cNvPr id="0" name="issuing-organization.png"/>
                    <pic:cNvPicPr/>
                  </pic:nvPicPr>
                  <pic:blipFill>
                    <a:blip r:embed="rId9"/>
                    <a:stretch>
                      <a:fillRect/>
                    </a:stretch>
                  </pic:blipFill>
                  <pic:spPr>
                    <a:xfrm>
                      <a:off x="0" y="0"/>
                      <a:ext cx="5334000" cy="713232"/>
                    </a:xfrm>
                    <a:prstGeom prst="rect"/>
                  </pic:spPr>
                </pic:pic>
              </a:graphicData>
            </a:graphic>
          </wp:inline>
        </w:drawing>
      </w:r>
    </w:p>
    <w:p>
      <w:pPr>
        <w:keepNext/>
        <w:widowControl/>
        <w:spacing w:before="0" w:after="860" w:line="480" w:lineRule="exact"/>
        <w:jc w:val="center"/>
        <w:pBdr>
          <w:bottom w:val="single" w:sz="15" w:space="9" w:color="FF0000"/>
        </w:pBdr>
      </w:pPr>
      <w:r>
        <w:rPr>
          <w:rFonts w:ascii="FangS-SC" w:hAnsi="FangS-SC" w:eastAsia="FangS-SC" w:cs="FangS-SC"/>
          <w:b w:val="0"/>
          <w:color w:val="000000"/>
          <w:sz w:val="32"/>
        </w:rPr>
        <w:t>【机关代字】〔2025〕【序号】号</w:t>
      </w:r>
    </w:p>
    <w:p>
      <w:pPr>
        <w:pStyle w:val="Title"/>
        <w:keepNext/>
        <w:spacing w:line="640" w:lineRule="exact" w:after="500"/>
        <w:jc w:val="center"/>
      </w:pPr>
      <w:r>
        <w:rPr>
          <w:rFonts w:ascii="ShuS-SC" w:hAnsi="ShuS-SC" w:eastAsia="ShuS-SC" w:cs="ShuS-SC"/>
          <w:b/>
          <w:color w:val="000000"/>
          <w:sz w:val="44"/>
        </w:rPr>
        <w:t>中国中车关于开展2025年</w:t>
        <w:br/>
        <w:t>“质量安全月”活动的通知</w:t>
      </w:r>
    </w:p>
    <w:p>
      <w:pPr>
        <w:widowControl/>
        <w:spacing w:before="0" w:after="0" w:line="560" w:lineRule="exact"/>
        <w:jc w:val="both"/>
      </w:pPr>
      <w:r>
        <w:rPr>
          <w:rFonts w:ascii="FangS-SC" w:hAnsi="FangS-SC" w:eastAsia="FangS-SC" w:cs="FangS-SC"/>
          <w:b w:val="0"/>
          <w:color w:val="000000"/>
          <w:sz w:val="32"/>
        </w:rPr>
        <w:t>【待补充：主送单位】：</w:t>
      </w:r>
    </w:p>
    <w:p>
      <w:pPr>
        <w:widowControl/>
        <w:spacing w:before="0" w:after="0" w:line="560" w:lineRule="exact"/>
        <w:ind w:firstLine="640"/>
        <w:jc w:val="both"/>
      </w:pPr>
      <w:r>
        <w:rPr>
          <w:rFonts w:ascii="FangS-SC" w:hAnsi="FangS-SC" w:eastAsia="FangS-SC" w:cs="FangS-SC"/>
          <w:b w:val="0"/>
          <w:color w:val="000000"/>
          <w:sz w:val="32"/>
        </w:rPr>
        <w:t>为做好2025年“质量安全月”活动，参照《吉林省安委会办公室 吉林省应急管理厅关于开展2025年“安全生产月”和“白山松水安全行”活动的通知》（吉安委办联〔2025〕35号）有关要求，结合公司实际，现将有关事项通知如下：</w:t>
      </w:r>
    </w:p>
    <w:p>
      <w:pPr>
        <w:pStyle w:val="Heading1"/>
        <w:widowControl/>
        <w:spacing w:before="0" w:after="0" w:line="560" w:lineRule="exact"/>
        <w:ind w:firstLine="640"/>
        <w:jc w:val="both"/>
      </w:pPr>
      <w:r>
        <w:rPr>
          <w:rFonts w:ascii="HYZhongJianHeiJ" w:hAnsi="HYZhongJianHeiJ" w:eastAsia="HYZhongJianHeiJ" w:cs="HYZhongJianHeiJ"/>
          <w:b w:val="0"/>
          <w:color w:val="000000"/>
          <w:sz w:val="32"/>
        </w:rPr>
        <w:t>一、活动主题和时间</w:t>
      </w:r>
    </w:p>
    <w:p>
      <w:pPr>
        <w:widowControl/>
        <w:spacing w:before="0" w:after="0" w:line="560" w:lineRule="exact"/>
        <w:ind w:firstLine="640"/>
        <w:jc w:val="both"/>
      </w:pPr>
      <w:r>
        <w:rPr>
          <w:rFonts w:ascii="FangS-SC" w:hAnsi="FangS-SC" w:eastAsia="FangS-SC" w:cs="FangS-SC"/>
          <w:b w:val="0"/>
          <w:color w:val="000000"/>
          <w:sz w:val="32"/>
        </w:rPr>
        <w:t>安全生产宣传教育主题为“人人讲安全、个个会应急——查找身边安全隐患”。公司质量安全工作重点为【待补充：工作重点】。</w:t>
      </w:r>
    </w:p>
    <w:p>
      <w:pPr>
        <w:widowControl/>
        <w:spacing w:before="0" w:after="0" w:line="560" w:lineRule="exact"/>
        <w:ind w:firstLine="640"/>
        <w:jc w:val="both"/>
      </w:pPr>
      <w:r>
        <w:rPr>
          <w:rFonts w:ascii="FangS-SC" w:hAnsi="FangS-SC" w:eastAsia="FangS-SC" w:cs="FangS-SC"/>
          <w:b w:val="0"/>
          <w:color w:val="000000"/>
          <w:sz w:val="32"/>
        </w:rPr>
        <w:t>活动与2025年6月“安全生产月”安排相衔接，具体起止时间为【待补充：起止日期】。</w:t>
      </w:r>
    </w:p>
    <w:p>
      <w:pPr>
        <w:pStyle w:val="Heading1"/>
        <w:widowControl/>
        <w:spacing w:before="0" w:after="0" w:line="560" w:lineRule="exact"/>
        <w:ind w:firstLine="640"/>
        <w:jc w:val="both"/>
      </w:pPr>
      <w:r>
        <w:rPr>
          <w:rFonts w:ascii="HYZhongJianHeiJ" w:hAnsi="HYZhongJianHeiJ" w:eastAsia="HYZhongJianHeiJ" w:cs="HYZhongJianHeiJ"/>
          <w:b w:val="0"/>
          <w:color w:val="000000"/>
          <w:sz w:val="32"/>
        </w:rPr>
        <w:t>二、重点工作</w:t>
      </w:r>
    </w:p>
    <w:p>
      <w:pPr>
        <w:widowControl/>
        <w:spacing w:before="0" w:after="0" w:line="560" w:lineRule="exact"/>
        <w:ind w:firstLine="640"/>
        <w:jc w:val="both"/>
      </w:pPr>
      <w:r>
        <w:rPr>
          <w:rFonts w:ascii="FangS-SC" w:hAnsi="FangS-SC" w:eastAsia="FangS-SC" w:cs="FangS-SC"/>
          <w:b w:val="0"/>
          <w:color w:val="000000"/>
          <w:sz w:val="32"/>
        </w:rPr>
      </w:r>
      <w:r>
        <w:rPr>
          <w:rFonts w:ascii="HYKaiTiJ" w:hAnsi="HYKaiTiJ" w:eastAsia="HYKaiTiJ" w:cs="HYKaiTiJ"/>
          <w:b w:val="0"/>
          <w:color w:val="000000"/>
          <w:sz w:val="32"/>
        </w:rPr>
        <w:t>（一）开展学习宣贯和警示教育。</w:t>
      </w:r>
      <w:r>
        <w:rPr>
          <w:rFonts w:ascii="FangS-SC" w:hAnsi="FangS-SC" w:eastAsia="FangS-SC" w:cs="FangS-SC"/>
          <w:b w:val="0"/>
          <w:color w:val="000000"/>
          <w:sz w:val="32"/>
        </w:rPr>
        <w:t>深入学习贯彻习近平总书记关于安全生产的重要论述和重要指示批示精神，落实“三管三必须”要求和企业安全生产主体责任。通过安全生产微课堂、主题读书、观看事故警示教育片等方式，将安全要求落实到具体岗位、具体人员。</w:t>
      </w:r>
    </w:p>
    <w:p>
      <w:pPr>
        <w:widowControl/>
        <w:spacing w:before="0" w:after="0" w:line="560" w:lineRule="exact"/>
        <w:ind w:firstLine="640"/>
        <w:jc w:val="both"/>
      </w:pPr>
      <w:r>
        <w:rPr>
          <w:rFonts w:ascii="FangS-SC" w:hAnsi="FangS-SC" w:eastAsia="FangS-SC" w:cs="FangS-SC"/>
          <w:b w:val="0"/>
          <w:color w:val="000000"/>
          <w:sz w:val="32"/>
        </w:rPr>
      </w:r>
      <w:r>
        <w:rPr>
          <w:rFonts w:ascii="HYKaiTiJ" w:hAnsi="HYKaiTiJ" w:eastAsia="HYKaiTiJ" w:cs="HYKaiTiJ"/>
          <w:b w:val="0"/>
          <w:color w:val="000000"/>
          <w:sz w:val="32"/>
        </w:rPr>
        <w:t>（二）开展安全隐患排查。</w:t>
      </w:r>
      <w:r>
        <w:rPr>
          <w:rFonts w:ascii="FangS-SC" w:hAnsi="FangS-SC" w:eastAsia="FangS-SC" w:cs="FangS-SC"/>
          <w:b w:val="0"/>
          <w:color w:val="000000"/>
          <w:sz w:val="32"/>
        </w:rPr>
        <w:t>组织培训和岗位练兵，学好用好适用的重大事故隐患判定标准，围绕【待补充：重点场所、关键岗位及检查范围】开展排查，形成风险清单、建立隐患地图。健全事故隐患内部报告奖励机制，鼓励职工报告隐患，明确问题整改责任、措施和时限，检查整改落实情况。</w:t>
      </w:r>
    </w:p>
    <w:p>
      <w:pPr>
        <w:widowControl/>
        <w:spacing w:before="0" w:after="0" w:line="560" w:lineRule="exact"/>
        <w:ind w:firstLine="640"/>
        <w:jc w:val="both"/>
      </w:pPr>
      <w:r>
        <w:rPr>
          <w:rFonts w:ascii="FangS-SC" w:hAnsi="FangS-SC" w:eastAsia="FangS-SC" w:cs="FangS-SC"/>
          <w:b w:val="0"/>
          <w:color w:val="000000"/>
          <w:sz w:val="32"/>
        </w:rPr>
      </w:r>
      <w:r>
        <w:rPr>
          <w:rFonts w:ascii="HYKaiTiJ" w:hAnsi="HYKaiTiJ" w:eastAsia="HYKaiTiJ" w:cs="HYKaiTiJ"/>
          <w:b w:val="0"/>
          <w:color w:val="000000"/>
          <w:sz w:val="32"/>
        </w:rPr>
        <w:t>（三）开展隐患辨识科普。</w:t>
      </w:r>
      <w:r>
        <w:rPr>
          <w:rFonts w:ascii="FangS-SC" w:hAnsi="FangS-SC" w:eastAsia="FangS-SC" w:cs="FangS-SC"/>
          <w:b w:val="0"/>
          <w:color w:val="000000"/>
          <w:sz w:val="32"/>
        </w:rPr>
        <w:t>围绕“早发现、早报告、早处置”，利用展板、电子屏、短视频等普及隐患辨识和处置知识。组织职工参加“安全隐患随手拍”“安全隐患我查找”网络知识答题等活动，提高隐患辨识能力。</w:t>
      </w:r>
    </w:p>
    <w:p>
      <w:pPr>
        <w:widowControl/>
        <w:spacing w:before="0" w:after="0" w:line="560" w:lineRule="exact"/>
        <w:ind w:firstLine="640"/>
        <w:jc w:val="both"/>
      </w:pPr>
      <w:r>
        <w:rPr>
          <w:rFonts w:ascii="FangS-SC" w:hAnsi="FangS-SC" w:eastAsia="FangS-SC" w:cs="FangS-SC"/>
          <w:b w:val="0"/>
          <w:color w:val="000000"/>
          <w:sz w:val="32"/>
        </w:rPr>
      </w:r>
      <w:r>
        <w:rPr>
          <w:rFonts w:ascii="HYKaiTiJ" w:hAnsi="HYKaiTiJ" w:eastAsia="HYKaiTiJ" w:cs="HYKaiTiJ"/>
          <w:b w:val="0"/>
          <w:color w:val="000000"/>
          <w:sz w:val="32"/>
        </w:rPr>
        <w:t>（四）开展应急演练和消防培训。</w:t>
      </w:r>
      <w:r>
        <w:rPr>
          <w:rFonts w:ascii="FangS-SC" w:hAnsi="FangS-SC" w:eastAsia="FangS-SC" w:cs="FangS-SC"/>
          <w:b w:val="0"/>
          <w:color w:val="000000"/>
          <w:sz w:val="32"/>
        </w:rPr>
        <w:t>结合风险清单，以隐患识别、应急处置、逃生避险为重点组织演练；围绕发现整改火灾隐患、处置初起火灾开展消防培训。演练场景、参演范围、组织部门和时间为【待补充：演练安排】。</w:t>
      </w:r>
    </w:p>
    <w:p>
      <w:pPr>
        <w:widowControl/>
        <w:spacing w:before="0" w:after="0" w:line="560" w:lineRule="exact"/>
        <w:ind w:firstLine="640"/>
        <w:jc w:val="both"/>
      </w:pPr>
      <w:r>
        <w:rPr>
          <w:rFonts w:ascii="FangS-SC" w:hAnsi="FangS-SC" w:eastAsia="FangS-SC" w:cs="FangS-SC"/>
          <w:b w:val="0"/>
          <w:color w:val="000000"/>
          <w:sz w:val="32"/>
        </w:rPr>
      </w:r>
      <w:r>
        <w:rPr>
          <w:rFonts w:ascii="HYKaiTiJ" w:hAnsi="HYKaiTiJ" w:eastAsia="HYKaiTiJ" w:cs="HYKaiTiJ"/>
          <w:b w:val="0"/>
          <w:color w:val="000000"/>
          <w:sz w:val="32"/>
        </w:rPr>
        <w:t>（五）开展质量安全专项工作。</w:t>
      </w:r>
      <w:r>
        <w:rPr>
          <w:rFonts w:ascii="FangS-SC" w:hAnsi="FangS-SC" w:eastAsia="FangS-SC" w:cs="FangS-SC"/>
          <w:b w:val="0"/>
          <w:color w:val="000000"/>
          <w:sz w:val="32"/>
        </w:rPr>
        <w:t>结合公司质量安全工作重点，落实【待补充：质量安全专项任务】。检查对象、适用标准、责任单位、完成时限、验收要求及问题处理方式为【待补充：具体工作安排】。各单位据此细化实施内容。</w:t>
      </w:r>
    </w:p>
    <w:p>
      <w:pPr>
        <w:widowControl/>
        <w:spacing w:before="0" w:after="0" w:line="560" w:lineRule="exact"/>
        <w:ind w:firstLine="640"/>
        <w:jc w:val="both"/>
      </w:pPr>
      <w:r>
        <w:rPr>
          <w:rFonts w:ascii="FangS-SC" w:hAnsi="FangS-SC" w:eastAsia="FangS-SC" w:cs="FangS-SC"/>
          <w:b w:val="0"/>
          <w:color w:val="000000"/>
          <w:sz w:val="32"/>
        </w:rPr>
      </w:r>
      <w:r>
        <w:rPr>
          <w:rFonts w:ascii="HYKaiTiJ" w:hAnsi="HYKaiTiJ" w:eastAsia="HYKaiTiJ" w:cs="HYKaiTiJ"/>
          <w:b w:val="0"/>
          <w:color w:val="000000"/>
          <w:sz w:val="32"/>
        </w:rPr>
        <w:t>（六）开展安全宣传咨询和进企业活动。</w:t>
      </w:r>
      <w:r>
        <w:rPr>
          <w:rFonts w:ascii="FangS-SC" w:hAnsi="FangS-SC" w:eastAsia="FangS-SC" w:cs="FangS-SC"/>
          <w:b w:val="0"/>
          <w:color w:val="000000"/>
          <w:sz w:val="32"/>
        </w:rPr>
        <w:t>6月16日开展“安全宣传咨询日”活动，讲解工作场所常见安全隐患的判定标准、成因和处置措施。将安全宣传延伸到车间、班组和岗位，普及用电用气、消防逃生等知识，提升职工自救互救能力。</w:t>
      </w:r>
    </w:p>
    <w:p>
      <w:pPr>
        <w:widowControl/>
        <w:spacing w:before="0" w:after="0" w:line="560" w:lineRule="exact"/>
        <w:ind w:firstLine="640"/>
        <w:jc w:val="both"/>
      </w:pPr>
      <w:r>
        <w:rPr>
          <w:rFonts w:ascii="FangS-SC" w:hAnsi="FangS-SC" w:eastAsia="FangS-SC" w:cs="FangS-SC"/>
          <w:b w:val="0"/>
          <w:color w:val="000000"/>
          <w:sz w:val="32"/>
        </w:rPr>
      </w:r>
      <w:r>
        <w:rPr>
          <w:rFonts w:ascii="HYKaiTiJ" w:hAnsi="HYKaiTiJ" w:eastAsia="HYKaiTiJ" w:cs="HYKaiTiJ"/>
          <w:b w:val="0"/>
          <w:color w:val="000000"/>
          <w:sz w:val="32"/>
        </w:rPr>
        <w:t>（七）衔接吉林省属地活动。</w:t>
      </w:r>
      <w:r>
        <w:rPr>
          <w:rFonts w:ascii="FangS-SC" w:hAnsi="FangS-SC" w:eastAsia="FangS-SC" w:cs="FangS-SC"/>
          <w:b w:val="0"/>
          <w:color w:val="000000"/>
          <w:sz w:val="32"/>
        </w:rPr>
        <w:t>在吉林省且属于上级文件适用范围的单位，要按属地安排参与第四届吉林省应急科普讲解大赛，做好选手推介和视频审核；配合6月下旬至12月底的“白山松水安全行”主题采访。参与事项和对接人员为【待补充：属地衔接安排】。</w:t>
      </w:r>
    </w:p>
    <w:p>
      <w:pPr>
        <w:pStyle w:val="Heading1"/>
        <w:widowControl/>
        <w:spacing w:before="0" w:after="0" w:line="560" w:lineRule="exact"/>
        <w:ind w:firstLine="640"/>
        <w:jc w:val="both"/>
      </w:pPr>
      <w:r>
        <w:rPr>
          <w:rFonts w:ascii="HYZhongJianHeiJ" w:hAnsi="HYZhongJianHeiJ" w:eastAsia="HYZhongJianHeiJ" w:cs="HYZhongJianHeiJ"/>
          <w:b w:val="0"/>
          <w:color w:val="000000"/>
          <w:sz w:val="32"/>
        </w:rPr>
        <w:t>三、组织实施</w:t>
      </w:r>
    </w:p>
    <w:p>
      <w:pPr>
        <w:widowControl/>
        <w:spacing w:before="0" w:after="0" w:line="560" w:lineRule="exact"/>
        <w:ind w:firstLine="640"/>
        <w:jc w:val="both"/>
      </w:pPr>
      <w:r>
        <w:rPr>
          <w:rFonts w:ascii="FangS-SC" w:hAnsi="FangS-SC" w:eastAsia="FangS-SC" w:cs="FangS-SC"/>
          <w:b w:val="0"/>
          <w:color w:val="000000"/>
          <w:sz w:val="32"/>
        </w:rPr>
        <w:t>公司牵头部门为【待补充：牵头部门】，协同部门为【待补充：配合部门】。各单位要细化方案，明确责任部门、岗位和实施节点，将活动与解决实际安全问题、推进隐患排查整治相结合。</w:t>
      </w:r>
    </w:p>
    <w:p>
      <w:pPr>
        <w:widowControl/>
        <w:spacing w:before="0" w:after="0" w:line="560" w:lineRule="exact"/>
        <w:ind w:firstLine="640"/>
        <w:jc w:val="both"/>
      </w:pPr>
      <w:r>
        <w:rPr>
          <w:rFonts w:ascii="FangS-SC" w:hAnsi="FangS-SC" w:eastAsia="FangS-SC" w:cs="FangS-SC"/>
          <w:b w:val="0"/>
          <w:color w:val="000000"/>
          <w:sz w:val="32"/>
        </w:rPr>
        <w:t>在活动启动、“安全宣传咨询日”等节点开展主题宣传。宣传内容应贴近岗位风险，活动总结应反映任务落实、问题整改和实际效果。</w:t>
      </w:r>
    </w:p>
    <w:p>
      <w:pPr>
        <w:pStyle w:val="Heading1"/>
        <w:widowControl/>
        <w:spacing w:before="0" w:after="0" w:line="560" w:lineRule="exact"/>
        <w:ind w:firstLine="640"/>
        <w:jc w:val="both"/>
      </w:pPr>
      <w:r>
        <w:rPr>
          <w:rFonts w:ascii="HYZhongJianHeiJ" w:hAnsi="HYZhongJianHeiJ" w:eastAsia="HYZhongJianHeiJ" w:cs="HYZhongJianHeiJ"/>
          <w:b w:val="0"/>
          <w:color w:val="000000"/>
          <w:sz w:val="32"/>
        </w:rPr>
        <w:t>四、信息报送</w:t>
      </w:r>
    </w:p>
    <w:p>
      <w:pPr>
        <w:widowControl/>
        <w:spacing w:before="0" w:after="0" w:line="560" w:lineRule="exact"/>
        <w:ind w:firstLine="640"/>
        <w:jc w:val="both"/>
      </w:pPr>
      <w:r>
        <w:rPr>
          <w:rFonts w:ascii="FangS-SC" w:hAnsi="FangS-SC" w:eastAsia="FangS-SC" w:cs="FangS-SC"/>
          <w:b w:val="0"/>
          <w:color w:val="000000"/>
          <w:sz w:val="32"/>
        </w:rPr>
        <w:t>各单位于【待补充：联络员报送期限】前，将1名联络员的姓名、部门和联系方式报送【待补充：公司接收部门】；于【待补充：总结报送期限】前报送活动总结。具体材料要求及报送方式为【待补充：材料清单和报送渠道】。</w:t>
      </w:r>
    </w:p>
    <w:p>
      <w:pPr>
        <w:widowControl/>
        <w:spacing w:before="0" w:after="0" w:line="560" w:lineRule="exact"/>
        <w:ind w:firstLine="640"/>
        <w:jc w:val="both"/>
      </w:pPr>
      <w:r>
        <w:rPr>
          <w:rFonts w:ascii="FangS-SC" w:hAnsi="FangS-SC" w:eastAsia="FangS-SC" w:cs="FangS-SC"/>
          <w:b w:val="0"/>
          <w:color w:val="000000"/>
          <w:sz w:val="32"/>
        </w:rPr>
        <w:t>吉林省文件要求，联络员信息和活动总结分别于2025年5月20日、6月30日前报送省安委办。适用上述要求的单位应做好属地报送衔接。</w:t>
      </w:r>
    </w:p>
    <w:p>
      <w:pPr>
        <w:widowControl/>
        <w:spacing w:before="0" w:after="0" w:line="560" w:lineRule="exact"/>
        <w:ind w:firstLine="640"/>
        <w:jc w:val="both"/>
      </w:pPr>
      <w:r>
        <w:rPr>
          <w:rFonts w:ascii="FangS-SC" w:hAnsi="FangS-SC" w:eastAsia="FangS-SC" w:cs="FangS-SC"/>
          <w:b w:val="0"/>
          <w:color w:val="000000"/>
          <w:sz w:val="32"/>
        </w:rPr>
        <w:t>公司联系人：【待补充：姓名】；联系电话：【待补充：电话】；电子邮箱：【待补充：邮箱】。</w:t>
      </w:r>
    </w:p>
    <w:p>
      <w:pPr>
        <w:keepNext/>
        <w:spacing w:line="560" w:lineRule="exact" w:after="0" w:before="0"/>
      </w:pPr>
      <w:r>
        <w:rPr>
          <w:rFonts w:ascii="FangS-SC" w:hAnsi="FangS-SC" w:eastAsia="FangS-SC" w:cs="FangS-SC"/>
          <w:b w:val="0"/>
          <w:color w:val="000000"/>
          <w:sz w:val="2"/>
        </w:rPr>
      </w:r>
    </w:p>
    <w:p>
      <w:pPr>
        <w:keepNext/>
        <w:widowControl/>
        <w:spacing w:before="0" w:after="0" w:line="560" w:lineRule="exact"/>
        <w:ind w:right="640"/>
        <w:jc w:val="right"/>
      </w:pPr>
      <w:r>
        <w:rPr>
          <w:rFonts w:ascii="FangS-SC" w:hAnsi="FangS-SC" w:eastAsia="FangS-SC" w:cs="FangS-SC"/>
          <w:b w:val="0"/>
          <w:color w:val="000000"/>
          <w:sz w:val="32"/>
        </w:rPr>
        <w:t>中国中车股份有限公司</w:t>
      </w:r>
    </w:p>
    <w:p>
      <w:pPr>
        <w:keepNext/>
        <w:widowControl/>
        <w:spacing w:before="0" w:after="0" w:line="560" w:lineRule="exact"/>
        <w:ind w:right="640"/>
        <w:jc w:val="right"/>
      </w:pPr>
      <w:r>
        <w:rPr>
          <w:rFonts w:ascii="FangS-SC" w:hAnsi="FangS-SC" w:eastAsia="FangS-SC" w:cs="FangS-SC"/>
          <w:b w:val="0"/>
          <w:color w:val="000000"/>
          <w:sz w:val="32"/>
        </w:rPr>
        <w:t>【待补充：成文日期】</w:t>
      </w:r>
    </w:p>
    <w:p>
      <w:pPr>
        <w:widowControl/>
        <w:spacing w:before="0" w:after="0" w:line="560" w:lineRule="exact"/>
        <w:ind w:firstLine="640"/>
        <w:jc w:val="both"/>
      </w:pPr>
      <w:r>
        <w:rPr>
          <w:rFonts w:ascii="FangS-SC" w:hAnsi="FangS-SC" w:eastAsia="FangS-SC" w:cs="FangS-SC"/>
          <w:b w:val="0"/>
          <w:color w:val="000000"/>
          <w:sz w:val="32"/>
        </w:rPr>
        <w:t>（公开属性：【待补充：公开属性及印发范围】）</w:t>
      </w:r>
    </w:p>
    <w:tbl>
      <w:tblPr>
        <w:tblpPr w:vertAnchor="page" w:horzAnchor="margin" w:tblpX="108" w:tblpY="13700" w:topFromText="160" w:bottomFromText="0"/>
        <w:tblW w:type="auto" w:w="0"/>
        <w:tblLayout w:type="fixed"/>
        <w:tblLook w:firstColumn="1" w:firstRow="1" w:lastColumn="0" w:lastRow="0" w:noHBand="0" w:noVBand="1" w:val="04A0"/>
        <w:tblBorders>
          <w:top w:val="single" w:sz="8" w:color="000000"/>
          <w:bottom w:val="single" w:sz="8" w:color="000000"/>
          <w:insideH w:val="single" w:sz="4" w:color="000000"/>
          <w:left w:val="nil" w:sz="0" w:color="000000"/>
          <w:right w:val="nil" w:sz="0" w:color="000000"/>
          <w:insideV w:val="nil" w:sz="0" w:color="000000"/>
        </w:tblBorders>
      </w:tblPr>
      <w:tblGrid>
        <w:gridCol w:w="8844"/>
      </w:tblGrid>
      <w:tr>
        <w:trPr>
          <w:cantSplit/>
        </w:trPr>
        <w:tc>
          <w:tcPr>
            <w:tcW w:type="dxa" w:w="8844"/>
          </w:tcPr>
          <w:p>
            <w:pPr>
              <w:keepNext/>
              <w:spacing w:before="80" w:after="80" w:line="400" w:lineRule="exact"/>
            </w:pPr>
            <w:r>
              <w:rPr>
                <w:rFonts w:ascii="FangS-SC" w:hAnsi="FangS-SC" w:eastAsia="FangS-SC" w:cs="FangS-SC"/>
                <w:b w:val="0"/>
                <w:color w:val="000000"/>
                <w:sz w:val="28"/>
              </w:rPr>
              <w:t>抄送：【待补充：抄送单位】。</w:t>
            </w:r>
          </w:p>
        </w:tc>
      </w:tr>
      <w:tr>
        <w:trPr>
          <w:cantSplit/>
        </w:trPr>
        <w:tc>
          <w:tcPr>
            <w:tcW w:type="dxa" w:w="8844"/>
          </w:tcPr>
          <w:p>
            <w:pPr>
              <w:tabs>
                <w:tab w:pos="8447" w:val="right"/>
              </w:tabs>
              <w:spacing w:before="80" w:after="80" w:line="400" w:lineRule="exact"/>
            </w:pPr>
            <w:r>
              <w:rPr>
                <w:rFonts w:ascii="FangS-SC" w:hAnsi="FangS-SC" w:eastAsia="FangS-SC" w:cs="FangS-SC"/>
                <w:b w:val="0"/>
                <w:color w:val="000000"/>
                <w:sz w:val="28"/>
              </w:rPr>
              <w:t>【待补充：印发部门】</w:t>
              <w:tab/>
              <w:t>【印发日期】印发</w:t>
            </w:r>
          </w:p>
        </w:tc>
      </w:tr>
    </w:tbl>
    <w:sectPr w:rsidR="00FC693F" w:rsidRPr="0006063C" w:rsidSect="00034616">
      <w:footerReference w:type="default" r:id="rId10"/>
      <w:footerReference w:type="even" r:id="rId11"/>
      <w:pgSz w:w="11906" w:h="16838"/>
      <w:pgMar w:top="2098" w:right="1474" w:bottom="1984" w:left="158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FangS-SC">
    <w:embedRegular r:id="rIdEmbedded1" w:fontKey="{27BCC557-F87B-4E56-B6B4-4AD7D0F94128}" w:subsetted="false"/>
  </w:font>
  <w:font w:name="HYKaiTiJ">
    <w:embedRegular r:id="rIdEmbedded2" w:fontKey="{B1A9FA8A-7C2A-4FAD-9BBF-742259DECF35}" w:subsetted="false"/>
  </w:font>
  <w:font w:name="ShuS-SC">
    <w:embedRegular r:id="rIdEmbedded3" w:fontKey="{EA6BBC33-775B-4E3C-8231-5B496717B488}" w:subsetted="false"/>
  </w:font>
  <w:font w:name="HYZhongJianHeiJ">
    <w:embedRegular r:id="rIdEmbedded4" w:fontKey="{6E29E68C-13ED-434C-87BA-F6F7557D25E7}"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400" w:lineRule="exact"/>
      <w:ind w:left="280" w:right="280"/>
      <w:jc w:val="right"/>
    </w:pPr>
    <w:r>
      <w:rPr>
        <w:rFonts w:ascii="FangS-SC" w:hAnsi="FangS-SC" w:eastAsia="FangS-SC"/>
        <w:sz w:val="28"/>
      </w:rPr>
      <w:t xml:space="preserve">－ </w:t>
    </w:r>
    <w:r>
      <w:fldChar w:fldCharType="begin"/>
    </w:r>
    <w:r>
      <w:instrText xml:space="preserve"> PAGE </w:instrText>
    </w:r>
    <w:r>
      <w:fldChar w:fldCharType="separate"/>
    </w:r>
    <w:r>
      <w:rPr>
        <w:rFonts w:ascii="FangS-SC" w:hAnsi="FangS-SC" w:eastAsia="FangS-SC"/>
        <w:sz w:val="28"/>
      </w:rPr>
      <w:t xml:space="preserve">1</w:t>
    </w:r>
    <w:r>
      <w:fldChar w:fldCharType="end"/>
    </w:r>
    <w:r>
      <w:rPr>
        <w:rFonts w:ascii="FangS-SC" w:hAnsi="FangS-SC" w:eastAsia="FangS-SC"/>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400" w:lineRule="exact"/>
      <w:ind w:left="280" w:right="280"/>
      <w:jc w:val="left"/>
    </w:pPr>
    <w:r>
      <w:rPr>
        <w:rFonts w:ascii="FangS-SC" w:hAnsi="FangS-SC" w:eastAsia="FangS-SC"/>
        <w:sz w:val="28"/>
      </w:rPr>
      <w:t xml:space="preserve">－ </w:t>
    </w:r>
    <w:r>
      <w:fldChar w:fldCharType="begin"/>
    </w:r>
    <w:r>
      <w:instrText xml:space="preserve"> PAGE </w:instrText>
    </w:r>
    <w:r>
      <w:fldChar w:fldCharType="separate"/>
    </w:r>
    <w:r>
      <w:rPr>
        <w:rFonts w:ascii="FangS-SC" w:hAnsi="FangS-SC" w:eastAsia="FangS-SC"/>
        <w:sz w:val="28"/>
      </w:rPr>
      <w:t xml:space="preserve">1</w:t>
    </w:r>
    <w:r>
      <w:fldChar w:fldCharType="end"/>
    </w:r>
    <w:r>
      <w:rPr>
        <w:rFonts w:ascii="FangS-SC" w:hAnsi="FangS-SC" w:eastAsia="FangS-SC"/>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updateFields w:val="true"/>
  <w:embedTrueTypeFont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560" w:lineRule="exact"/>
    </w:pPr>
    <w:rPr>
      <w:rFonts w:ascii="FangS-SC" w:hAnsi="FangS-SC" w:eastAsia="FangS-SC" w:cs="FangS-SC"/>
      <w:color w:val="000000"/>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560" w:lineRule="exact"/>
      <w:outlineLvl w:val="0"/>
    </w:pPr>
    <w:rPr>
      <w:rFonts w:ascii="HYZhongJianHeiJ" w:hAnsi="HYZhongJianHeiJ" w:eastAsia="HYZhongJianHeiJ" w:cs="HYZhongJianHeiJ"/>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0" w:after="0" w:line="560" w:lineRule="exact"/>
      <w:outlineLvl w:val="1"/>
    </w:pPr>
    <w:rPr>
      <w:rFonts w:ascii="HYKaiTiJ" w:hAnsi="HYKaiTiJ" w:eastAsia="HYKaiTiJ" w:cs="HYKaiTiJ"/>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560" w:lineRule="exact" w:before="0"/>
      <w:contextualSpacing/>
    </w:pPr>
    <w:rPr>
      <w:rFonts w:ascii="ShuS-SC" w:hAnsi="ShuS-SC" w:eastAsia="ShuS-SC" w:cs="ShuS-SC"/>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s>
</file>

<file path=word/_rels/fontTable.xml.rels><?xml version='1.0' encoding='UTF-8' standalone='yes'?>
<Relationships xmlns="http://schemas.openxmlformats.org/package/2006/relationships"><Relationship Id="rIdEmbedded1" Type="http://schemas.openxmlformats.org/officeDocument/2006/relationships/font" Target="fonts/font1.odttf"/><Relationship Id="rIdEmbedded2" Type="http://schemas.openxmlformats.org/officeDocument/2006/relationships/font" Target="fonts/font2.odttf"/><Relationship Id="rIdEmbedded3" Type="http://schemas.openxmlformats.org/officeDocument/2006/relationships/font" Target="fonts/font3.odttf"/><Relationship Id="rIdEmbedde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中国中车关于开展2025年“质量安全月”活动的通知</dc:title>
  <dc:subject>2025年质量安全月活动通知</dc:subject>
  <dc:creator/>
  <cp:keywords/>
  <dc:description/>
  <cp:lastModifiedBy/>
  <cp:revision>1</cp:revision>
  <dcterms:created xsi:type="dcterms:W3CDTF">2013-12-23T23:15:00Z</dcterms:created>
  <dcterms:modified xsi:type="dcterms:W3CDTF">2013-12-23T23:15:00Z</dcterms:modified>
  <cp:category/>
</cp:coreProperties>
</file>