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e8b9fda4fc8099dc2dbf94a96b2e1b656f556"/>
    <w:p>
      <w:pPr>
        <w:pStyle w:val="Heading1"/>
      </w:pPr>
      <w:r>
        <w:t xml:space="preserve">Healthcare Enterprise Management Platform (HEMP)</w:t>
      </w:r>
    </w:p>
    <w:bookmarkEnd w:id="9"/>
    <w:bookmarkStart w:id="10" w:name="technical-architecture-document"/>
    <w:p>
      <w:pPr>
        <w:pStyle w:val="Heading1"/>
      </w:pPr>
      <w:r>
        <w:t xml:space="preserve">Technical Architecture Document</w:t>
      </w:r>
    </w:p>
    <w:p>
      <w:pPr>
        <w:pStyle w:val="FirstParagraph"/>
      </w:pPr>
      <w:r>
        <w:t xml:space="preserve">Version: 1.0</w:t>
      </w:r>
      <w:r>
        <w:br/>
      </w:r>
      <w:r>
        <w:t xml:space="preserve">Status: Foundation Architecture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overview"/>
    <w:p>
      <w:pPr>
        <w:pStyle w:val="Heading1"/>
      </w:pPr>
      <w:r>
        <w:t xml:space="preserve">1. Architecture Overview</w:t>
      </w:r>
    </w:p>
    <w:p>
      <w:pPr>
        <w:pStyle w:val="FirstParagraph"/>
      </w:pPr>
      <w:r>
        <w:t xml:space="preserve">HEMP follows a modular enterprise architecture based on:</w:t>
      </w:r>
    </w:p>
    <w:p>
      <w:pPr>
        <w:pStyle w:val="Compact"/>
        <w:numPr>
          <w:ilvl w:val="0"/>
          <w:numId w:val="1001"/>
        </w:numPr>
      </w:pPr>
      <w:r>
        <w:t xml:space="preserve">Domain Driven Design (DDD)</w:t>
      </w:r>
    </w:p>
    <w:p>
      <w:pPr>
        <w:pStyle w:val="Compact"/>
        <w:numPr>
          <w:ilvl w:val="0"/>
          <w:numId w:val="1001"/>
        </w:numPr>
      </w:pPr>
      <w:r>
        <w:t xml:space="preserve">API First principles</w:t>
      </w:r>
    </w:p>
    <w:p>
      <w:pPr>
        <w:pStyle w:val="Compact"/>
        <w:numPr>
          <w:ilvl w:val="0"/>
          <w:numId w:val="1001"/>
        </w:numPr>
      </w:pPr>
      <w:r>
        <w:t xml:space="preserve">Metadata-driven development</w:t>
      </w:r>
    </w:p>
    <w:p>
      <w:pPr>
        <w:pStyle w:val="Compact"/>
        <w:numPr>
          <w:ilvl w:val="0"/>
          <w:numId w:val="1001"/>
        </w:numPr>
      </w:pPr>
      <w:r>
        <w:t xml:space="preserve">Event-driven capabilities</w:t>
      </w:r>
    </w:p>
    <w:p>
      <w:pPr>
        <w:pStyle w:val="Compact"/>
        <w:numPr>
          <w:ilvl w:val="0"/>
          <w:numId w:val="1001"/>
        </w:numPr>
      </w:pPr>
      <w:r>
        <w:t xml:space="preserve">AI-native architecture</w:t>
      </w:r>
    </w:p>
    <w:p>
      <w:pPr>
        <w:pStyle w:val="Compact"/>
        <w:numPr>
          <w:ilvl w:val="0"/>
          <w:numId w:val="1001"/>
        </w:numPr>
      </w:pPr>
      <w:r>
        <w:t xml:space="preserve">Enterprise security patterns</w:t>
      </w:r>
    </w:p>
    <w:p>
      <w:pPr>
        <w:pStyle w:val="FirstParagraph"/>
      </w:pPr>
      <w:r>
        <w:t xml:space="preserve">The platform is divided into:</w:t>
      </w:r>
    </w:p>
    <w:p>
      <w:pPr>
        <w:pStyle w:val="Compact"/>
        <w:numPr>
          <w:ilvl w:val="0"/>
          <w:numId w:val="1002"/>
        </w:numPr>
      </w:pPr>
      <w:r>
        <w:t xml:space="preserve">Presentation Layer</w:t>
      </w:r>
    </w:p>
    <w:p>
      <w:pPr>
        <w:pStyle w:val="Compact"/>
        <w:numPr>
          <w:ilvl w:val="0"/>
          <w:numId w:val="1002"/>
        </w:numPr>
      </w:pPr>
      <w:r>
        <w:t xml:space="preserve">API Gateway Layer</w:t>
      </w:r>
    </w:p>
    <w:p>
      <w:pPr>
        <w:pStyle w:val="Compact"/>
        <w:numPr>
          <w:ilvl w:val="0"/>
          <w:numId w:val="1002"/>
        </w:numPr>
      </w:pPr>
      <w:r>
        <w:t xml:space="preserve">Application Services Layer</w:t>
      </w:r>
    </w:p>
    <w:p>
      <w:pPr>
        <w:pStyle w:val="Compact"/>
        <w:numPr>
          <w:ilvl w:val="0"/>
          <w:numId w:val="1002"/>
        </w:numPr>
      </w:pPr>
      <w:r>
        <w:t xml:space="preserve">Platform Services Layer</w:t>
      </w:r>
    </w:p>
    <w:p>
      <w:pPr>
        <w:pStyle w:val="Compact"/>
        <w:numPr>
          <w:ilvl w:val="0"/>
          <w:numId w:val="1002"/>
        </w:numPr>
      </w:pPr>
      <w:r>
        <w:t xml:space="preserve">Data Layer</w:t>
      </w:r>
    </w:p>
    <w:p>
      <w:pPr>
        <w:pStyle w:val="Compact"/>
        <w:numPr>
          <w:ilvl w:val="0"/>
          <w:numId w:val="1002"/>
        </w:numPr>
      </w:pPr>
      <w:r>
        <w:t xml:space="preserve">AI Intelligence Layer</w:t>
      </w:r>
    </w:p>
    <w:p>
      <w:r>
        <w:pict>
          <v:rect style="width:0;height:1.5pt" o:hralign="center" o:hrstd="t" o:hr="t"/>
        </w:pict>
      </w:r>
    </w:p>
    <w:bookmarkEnd w:id="11"/>
    <w:bookmarkStart w:id="12" w:name="high-level-architecture"/>
    <w:p>
      <w:pPr>
        <w:pStyle w:val="Heading1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                    Users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Enterprise Web UI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API Gateway Layer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--------------------------------</w:t>
      </w:r>
      <w:r>
        <w:br/>
      </w:r>
      <w:r>
        <w:rPr>
          <w:rStyle w:val="VerbatimChar"/>
        </w:rPr>
        <w:t xml:space="preserve">       |              |               |</w:t>
      </w:r>
      <w:r>
        <w:br/>
      </w:r>
      <w:r>
        <w:rPr>
          <w:rStyle w:val="VerbatimChar"/>
        </w:rPr>
        <w:t xml:space="preserve"> Business APIs   Platform APIs    AI APIs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 Provider | Member | Claims | Auth | Finance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Platform Services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 Workflow | Rules | Metadata | Audit | Search |</w:t>
      </w:r>
      <w:r>
        <w:br/>
      </w:r>
      <w:r>
        <w:rPr>
          <w:rStyle w:val="VerbatimChar"/>
        </w:rPr>
        <w:t xml:space="preserve"> | Document | Notification | Configuration     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Data &amp; Intelligence Layer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 PostgreSQL | Search Index | Object Storage   |</w:t>
      </w:r>
      <w:r>
        <w:br/>
      </w:r>
      <w:r>
        <w:rPr>
          <w:rStyle w:val="VerbatimChar"/>
        </w:rPr>
        <w:t xml:space="preserve"> | Cache      | Reporting DB | AI Knowledge DB |</w:t>
      </w:r>
      <w:r>
        <w:br/>
      </w:r>
      <w:r>
        <w:rPr>
          <w:rStyle w:val="VerbatimChar"/>
        </w:rPr>
        <w:t xml:space="preserve"> ------------------------------------------------</w:t>
      </w:r>
    </w:p>
    <w:p>
      <w:r>
        <w:pict>
          <v:rect style="width:0;height:1.5pt" o:hralign="center" o:hrstd="t" o:hr="t"/>
        </w:pict>
      </w:r>
    </w:p>
    <w:bookmarkEnd w:id="12"/>
    <w:bookmarkStart w:id="16" w:name="frontend-architecture"/>
    <w:p>
      <w:pPr>
        <w:pStyle w:val="Heading1"/>
      </w:pPr>
      <w:r>
        <w:t xml:space="preserve">3. Frontend Architecture</w:t>
      </w:r>
    </w:p>
    <w:bookmarkStart w:id="1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a consistent enterprise experience across all modules.</w:t>
      </w:r>
    </w:p>
    <w:p>
      <w:pPr>
        <w:pStyle w:val="BodyText"/>
      </w:pPr>
      <w:r>
        <w:t xml:space="preserve">The UI should follow a shared design system.</w:t>
      </w:r>
    </w:p>
    <w:p>
      <w:r>
        <w:pict>
          <v:rect style="width:0;height:1.5pt" o:hralign="center" o:hrstd="t" o:hr="t"/>
        </w:pict>
      </w:r>
    </w:p>
    <w:bookmarkEnd w:id="13"/>
    <w:bookmarkStart w:id="14" w:name="core-ui-components"/>
    <w:p>
      <w:pPr>
        <w:pStyle w:val="Heading2"/>
      </w:pPr>
      <w:r>
        <w:t xml:space="preserve">Core UI Components</w:t>
      </w:r>
    </w:p>
    <w:p>
      <w:pPr>
        <w:pStyle w:val="FirstParagraph"/>
      </w:pPr>
      <w:r>
        <w:t xml:space="preserve">Reusable components:</w:t>
      </w:r>
    </w:p>
    <w:p>
      <w:pPr>
        <w:pStyle w:val="Compact"/>
        <w:numPr>
          <w:ilvl w:val="0"/>
          <w:numId w:val="1003"/>
        </w:numPr>
      </w:pPr>
      <w:r>
        <w:t xml:space="preserve">Data Grid</w:t>
      </w:r>
    </w:p>
    <w:p>
      <w:pPr>
        <w:pStyle w:val="Compact"/>
        <w:numPr>
          <w:ilvl w:val="0"/>
          <w:numId w:val="1003"/>
        </w:numPr>
      </w:pPr>
      <w:r>
        <w:t xml:space="preserve">Dynamic Form</w:t>
      </w:r>
    </w:p>
    <w:p>
      <w:pPr>
        <w:pStyle w:val="Compact"/>
        <w:numPr>
          <w:ilvl w:val="0"/>
          <w:numId w:val="1003"/>
        </w:numPr>
      </w:pPr>
      <w:r>
        <w:t xml:space="preserve">Wizard</w:t>
      </w:r>
    </w:p>
    <w:p>
      <w:pPr>
        <w:pStyle w:val="Compact"/>
        <w:numPr>
          <w:ilvl w:val="0"/>
          <w:numId w:val="1003"/>
        </w:numPr>
      </w:pPr>
      <w:r>
        <w:t xml:space="preserve">Tabs</w:t>
      </w:r>
    </w:p>
    <w:p>
      <w:pPr>
        <w:pStyle w:val="Compact"/>
        <w:numPr>
          <w:ilvl w:val="0"/>
          <w:numId w:val="1003"/>
        </w:numPr>
      </w:pPr>
      <w:r>
        <w:t xml:space="preserve">Dashboard Cards</w:t>
      </w:r>
    </w:p>
    <w:p>
      <w:pPr>
        <w:pStyle w:val="Compact"/>
        <w:numPr>
          <w:ilvl w:val="0"/>
          <w:numId w:val="1003"/>
        </w:numPr>
      </w:pPr>
      <w:r>
        <w:t xml:space="preserve">Search Panel</w:t>
      </w:r>
    </w:p>
    <w:p>
      <w:pPr>
        <w:pStyle w:val="Compact"/>
        <w:numPr>
          <w:ilvl w:val="0"/>
          <w:numId w:val="1003"/>
        </w:numPr>
      </w:pPr>
      <w:r>
        <w:t xml:space="preserve">Timeline</w:t>
      </w:r>
    </w:p>
    <w:p>
      <w:pPr>
        <w:pStyle w:val="Compact"/>
        <w:numPr>
          <w:ilvl w:val="0"/>
          <w:numId w:val="1003"/>
        </w:numPr>
      </w:pPr>
      <w:r>
        <w:t xml:space="preserve">Audit Viewer</w:t>
      </w:r>
    </w:p>
    <w:p>
      <w:pPr>
        <w:pStyle w:val="Compact"/>
        <w:numPr>
          <w:ilvl w:val="0"/>
          <w:numId w:val="1003"/>
        </w:numPr>
      </w:pPr>
      <w:r>
        <w:t xml:space="preserve">Document Viewer</w:t>
      </w:r>
    </w:p>
    <w:p>
      <w:pPr>
        <w:pStyle w:val="Compact"/>
        <w:numPr>
          <w:ilvl w:val="0"/>
          <w:numId w:val="1003"/>
        </w:numPr>
      </w:pPr>
      <w:r>
        <w:t xml:space="preserve">Notification Center</w:t>
      </w:r>
    </w:p>
    <w:p>
      <w:pPr>
        <w:pStyle w:val="Compact"/>
        <w:numPr>
          <w:ilvl w:val="0"/>
          <w:numId w:val="1003"/>
        </w:numPr>
      </w:pPr>
      <w:r>
        <w:t xml:space="preserve">AI Assistant Panel</w:t>
      </w:r>
    </w:p>
    <w:p>
      <w:r>
        <w:pict>
          <v:rect style="width:0;height:1.5pt" o:hralign="center" o:hrstd="t" o:hr="t"/>
        </w:pict>
      </w:r>
    </w:p>
    <w:bookmarkEnd w:id="14"/>
    <w:bookmarkStart w:id="15" w:name="navigation-model"/>
    <w:p>
      <w:pPr>
        <w:pStyle w:val="Heading2"/>
      </w:pPr>
      <w:r>
        <w:t xml:space="preserve">Navigation Model</w:t>
      </w:r>
    </w:p>
    <w:p>
      <w:pPr>
        <w:pStyle w:val="FirstParagraph"/>
      </w:pPr>
      <w:r>
        <w:t xml:space="preserve">Primary navigation: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Provider</w:t>
      </w:r>
    </w:p>
    <w:p>
      <w:pPr>
        <w:pStyle w:val="Compact"/>
        <w:numPr>
          <w:ilvl w:val="0"/>
          <w:numId w:val="1004"/>
        </w:numPr>
      </w:pPr>
      <w:r>
        <w:t xml:space="preserve">Member</w:t>
      </w:r>
    </w:p>
    <w:p>
      <w:pPr>
        <w:pStyle w:val="Compact"/>
        <w:numPr>
          <w:ilvl w:val="0"/>
          <w:numId w:val="1004"/>
        </w:numPr>
      </w:pPr>
      <w:r>
        <w:t xml:space="preserve">Claims</w:t>
      </w:r>
    </w:p>
    <w:p>
      <w:pPr>
        <w:pStyle w:val="Compact"/>
        <w:numPr>
          <w:ilvl w:val="0"/>
          <w:numId w:val="1004"/>
        </w:numPr>
      </w:pPr>
      <w:r>
        <w:t xml:space="preserve">Service Authorization</w:t>
      </w:r>
    </w:p>
    <w:p>
      <w:pPr>
        <w:pStyle w:val="Compact"/>
        <w:numPr>
          <w:ilvl w:val="0"/>
          <w:numId w:val="1004"/>
        </w:numPr>
      </w:pPr>
      <w:r>
        <w:t xml:space="preserve">TPL</w:t>
      </w:r>
    </w:p>
    <w:p>
      <w:pPr>
        <w:pStyle w:val="Compact"/>
        <w:numPr>
          <w:ilvl w:val="0"/>
          <w:numId w:val="1004"/>
        </w:numPr>
      </w:pPr>
      <w:r>
        <w:t xml:space="preserve">Finance</w:t>
      </w:r>
    </w:p>
    <w:p>
      <w:pPr>
        <w:pStyle w:val="Compact"/>
        <w:numPr>
          <w:ilvl w:val="0"/>
          <w:numId w:val="1004"/>
        </w:numPr>
      </w:pPr>
      <w:r>
        <w:t xml:space="preserve">Reports</w:t>
      </w:r>
    </w:p>
    <w:p>
      <w:pPr>
        <w:pStyle w:val="Compact"/>
        <w:numPr>
          <w:ilvl w:val="0"/>
          <w:numId w:val="1004"/>
        </w:numPr>
      </w:pPr>
      <w:r>
        <w:t xml:space="preserve">Administration</w:t>
      </w:r>
    </w:p>
    <w:p>
      <w:pPr>
        <w:pStyle w:val="Compact"/>
        <w:numPr>
          <w:ilvl w:val="0"/>
          <w:numId w:val="1004"/>
        </w:numPr>
      </w:pPr>
      <w:r>
        <w:t xml:space="preserve">AI Assistant</w:t>
      </w:r>
    </w:p>
    <w:p>
      <w:pPr>
        <w:pStyle w:val="FirstParagraph"/>
      </w:pPr>
      <w:r>
        <w:t xml:space="preserve">Visibility is controlled through RBAC.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backend-architecture"/>
    <w:p>
      <w:pPr>
        <w:pStyle w:val="Heading1"/>
      </w:pPr>
      <w:r>
        <w:t xml:space="preserve">4. Backend Architecture</w:t>
      </w:r>
    </w:p>
    <w:p>
      <w:pPr>
        <w:pStyle w:val="FirstParagraph"/>
      </w:pPr>
      <w:r>
        <w:t xml:space="preserve">Backend follows service-oriented modular design.</w:t>
      </w:r>
    </w:p>
    <w:bookmarkStart w:id="24" w:name="core-services"/>
    <w:p>
      <w:pPr>
        <w:pStyle w:val="Heading2"/>
      </w:pPr>
      <w:r>
        <w:t xml:space="preserve">Core Services</w:t>
      </w:r>
    </w:p>
    <w:bookmarkStart w:id="17" w:name="identity-service"/>
    <w:p>
      <w:pPr>
        <w:pStyle w:val="Heading3"/>
      </w:pPr>
      <w:r>
        <w:t xml:space="preserve">Identity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SSO</w:t>
      </w:r>
    </w:p>
    <w:p>
      <w:pPr>
        <w:pStyle w:val="Compact"/>
        <w:numPr>
          <w:ilvl w:val="0"/>
          <w:numId w:val="1005"/>
        </w:numPr>
      </w:pPr>
      <w:r>
        <w:t xml:space="preserve">JWT</w:t>
      </w:r>
    </w:p>
    <w:p>
      <w:pPr>
        <w:pStyle w:val="Compact"/>
        <w:numPr>
          <w:ilvl w:val="0"/>
          <w:numId w:val="1005"/>
        </w:numPr>
      </w:pPr>
      <w:r>
        <w:t xml:space="preserve">User management</w:t>
      </w:r>
    </w:p>
    <w:p>
      <w:pPr>
        <w:pStyle w:val="Compact"/>
        <w:numPr>
          <w:ilvl w:val="0"/>
          <w:numId w:val="1005"/>
        </w:numPr>
      </w:pPr>
      <w:r>
        <w:t xml:space="preserve">Role management</w:t>
      </w:r>
    </w:p>
    <w:p>
      <w:r>
        <w:pict>
          <v:rect style="width:0;height:1.5pt" o:hralign="center" o:hrstd="t" o:hr="t"/>
        </w:pict>
      </w:r>
    </w:p>
    <w:bookmarkEnd w:id="17"/>
    <w:bookmarkStart w:id="18" w:name="metadata-service"/>
    <w:p>
      <w:pPr>
        <w:pStyle w:val="Heading3"/>
      </w:pPr>
      <w:r>
        <w:t xml:space="preserve">Metadata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Entity definitions</w:t>
      </w:r>
    </w:p>
    <w:p>
      <w:pPr>
        <w:pStyle w:val="Compact"/>
        <w:numPr>
          <w:ilvl w:val="0"/>
          <w:numId w:val="1006"/>
        </w:numPr>
      </w:pPr>
      <w:r>
        <w:t xml:space="preserve">Field definitions</w:t>
      </w:r>
    </w:p>
    <w:p>
      <w:pPr>
        <w:pStyle w:val="Compact"/>
        <w:numPr>
          <w:ilvl w:val="0"/>
          <w:numId w:val="1006"/>
        </w:numPr>
      </w:pPr>
      <w:r>
        <w:t xml:space="preserve">UI metadata</w:t>
      </w:r>
    </w:p>
    <w:p>
      <w:pPr>
        <w:pStyle w:val="Compact"/>
        <w:numPr>
          <w:ilvl w:val="0"/>
          <w:numId w:val="1006"/>
        </w:numPr>
      </w:pPr>
      <w:r>
        <w:t xml:space="preserve">API metadata</w:t>
      </w:r>
    </w:p>
    <w:p>
      <w:pPr>
        <w:pStyle w:val="Compact"/>
        <w:numPr>
          <w:ilvl w:val="0"/>
          <w:numId w:val="1006"/>
        </w:numPr>
      </w:pPr>
      <w:r>
        <w:t xml:space="preserve">Semantic metadata</w:t>
      </w:r>
    </w:p>
    <w:p>
      <w:r>
        <w:pict>
          <v:rect style="width:0;height:1.5pt" o:hralign="center" o:hrstd="t" o:hr="t"/>
        </w:pict>
      </w:r>
    </w:p>
    <w:bookmarkEnd w:id="18"/>
    <w:bookmarkStart w:id="19" w:name="workflow-service"/>
    <w:p>
      <w:pPr>
        <w:pStyle w:val="Heading3"/>
      </w:pPr>
      <w:r>
        <w:t xml:space="preserve">Workflow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Workflow definitions</w:t>
      </w:r>
    </w:p>
    <w:p>
      <w:pPr>
        <w:pStyle w:val="Compact"/>
        <w:numPr>
          <w:ilvl w:val="0"/>
          <w:numId w:val="1007"/>
        </w:numPr>
      </w:pPr>
      <w:r>
        <w:t xml:space="preserve">Task assignment</w:t>
      </w:r>
    </w:p>
    <w:p>
      <w:pPr>
        <w:pStyle w:val="Compact"/>
        <w:numPr>
          <w:ilvl w:val="0"/>
          <w:numId w:val="1007"/>
        </w:numPr>
      </w:pPr>
      <w:r>
        <w:t xml:space="preserve">Approvals</w:t>
      </w:r>
    </w:p>
    <w:p>
      <w:pPr>
        <w:pStyle w:val="Compact"/>
        <w:numPr>
          <w:ilvl w:val="0"/>
          <w:numId w:val="1007"/>
        </w:numPr>
      </w:pPr>
      <w:r>
        <w:t xml:space="preserve">Escalations</w:t>
      </w:r>
    </w:p>
    <w:p>
      <w:pPr>
        <w:pStyle w:val="Compact"/>
        <w:numPr>
          <w:ilvl w:val="0"/>
          <w:numId w:val="1007"/>
        </w:numPr>
      </w:pPr>
      <w:r>
        <w:t xml:space="preserve">SLA management</w:t>
      </w:r>
    </w:p>
    <w:p>
      <w:r>
        <w:pict>
          <v:rect style="width:0;height:1.5pt" o:hralign="center" o:hrstd="t" o:hr="t"/>
        </w:pict>
      </w:r>
    </w:p>
    <w:bookmarkEnd w:id="19"/>
    <w:bookmarkStart w:id="20" w:name="rules-service"/>
    <w:p>
      <w:pPr>
        <w:pStyle w:val="Heading3"/>
      </w:pPr>
      <w:r>
        <w:t xml:space="preserve">Rules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Business validations</w:t>
      </w:r>
    </w:p>
    <w:p>
      <w:pPr>
        <w:pStyle w:val="Compact"/>
        <w:numPr>
          <w:ilvl w:val="0"/>
          <w:numId w:val="1008"/>
        </w:numPr>
      </w:pPr>
      <w:r>
        <w:t xml:space="preserve">Decision rules</w:t>
      </w:r>
    </w:p>
    <w:p>
      <w:pPr>
        <w:pStyle w:val="Compact"/>
        <w:numPr>
          <w:ilvl w:val="0"/>
          <w:numId w:val="1008"/>
        </w:numPr>
      </w:pPr>
      <w:r>
        <w:t xml:space="preserve">Rule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service"/>
    <w:p>
      <w:pPr>
        <w:pStyle w:val="Heading3"/>
      </w:pPr>
      <w:r>
        <w:t xml:space="preserve">Document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</w:p>
    <w:p>
      <w:pPr>
        <w:pStyle w:val="Compact"/>
        <w:numPr>
          <w:ilvl w:val="0"/>
          <w:numId w:val="1009"/>
        </w:numPr>
      </w:pPr>
      <w:r>
        <w:t xml:space="preserve">Storage</w:t>
      </w:r>
    </w:p>
    <w:p>
      <w:pPr>
        <w:pStyle w:val="Compact"/>
        <w:numPr>
          <w:ilvl w:val="0"/>
          <w:numId w:val="1009"/>
        </w:numPr>
      </w:pPr>
      <w:r>
        <w:t xml:space="preserve">Versioning</w:t>
      </w:r>
    </w:p>
    <w:p>
      <w:pPr>
        <w:pStyle w:val="Compact"/>
        <w:numPr>
          <w:ilvl w:val="0"/>
          <w:numId w:val="1009"/>
        </w:numPr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21"/>
    <w:bookmarkStart w:id="22" w:name="search-service"/>
    <w:p>
      <w:pPr>
        <w:pStyle w:val="Heading3"/>
      </w:pPr>
      <w:r>
        <w:t xml:space="preserve">Search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Full text search</w:t>
      </w:r>
    </w:p>
    <w:p>
      <w:pPr>
        <w:pStyle w:val="Compact"/>
        <w:numPr>
          <w:ilvl w:val="0"/>
          <w:numId w:val="1010"/>
        </w:numPr>
      </w:pPr>
      <w:r>
        <w:t xml:space="preserve">Entity search</w:t>
      </w:r>
    </w:p>
    <w:p>
      <w:pPr>
        <w:pStyle w:val="Compact"/>
        <w:numPr>
          <w:ilvl w:val="0"/>
          <w:numId w:val="1010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22"/>
    <w:bookmarkStart w:id="23" w:name="audit-service"/>
    <w:p>
      <w:pPr>
        <w:pStyle w:val="Heading3"/>
      </w:pPr>
      <w:r>
        <w:t xml:space="preserve">Audit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User activity</w:t>
      </w:r>
    </w:p>
    <w:p>
      <w:pPr>
        <w:pStyle w:val="Compact"/>
        <w:numPr>
          <w:ilvl w:val="0"/>
          <w:numId w:val="1011"/>
        </w:numPr>
      </w:pPr>
      <w:r>
        <w:t xml:space="preserve">Data changes</w:t>
      </w:r>
    </w:p>
    <w:p>
      <w:pPr>
        <w:pStyle w:val="Compact"/>
        <w:numPr>
          <w:ilvl w:val="0"/>
          <w:numId w:val="1011"/>
        </w:numPr>
      </w:pPr>
      <w:r>
        <w:t xml:space="preserve">Security events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database-architecture"/>
    <w:p>
      <w:pPr>
        <w:pStyle w:val="Heading1"/>
      </w:pPr>
      <w:r>
        <w:t xml:space="preserve">5. Database Architecture</w:t>
      </w:r>
    </w:p>
    <w:bookmarkStart w:id="26" w:name="transaction-database"/>
    <w:p>
      <w:pPr>
        <w:pStyle w:val="Heading2"/>
      </w:pPr>
      <w:r>
        <w:t xml:space="preserve">Transaction Database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Operational transactions</w:t>
      </w:r>
    </w:p>
    <w:p>
      <w:pPr>
        <w:pStyle w:val="Compact"/>
        <w:numPr>
          <w:ilvl w:val="0"/>
          <w:numId w:val="1012"/>
        </w:numPr>
      </w:pPr>
      <w:r>
        <w:t xml:space="preserve">Business entities</w:t>
      </w:r>
    </w:p>
    <w:p>
      <w:pPr>
        <w:pStyle w:val="Compact"/>
        <w:numPr>
          <w:ilvl w:val="0"/>
          <w:numId w:val="1012"/>
        </w:numPr>
      </w:pPr>
      <w:r>
        <w:t xml:space="preserve">Workflow data</w:t>
      </w:r>
    </w:p>
    <w:p>
      <w:pPr>
        <w:pStyle w:val="Compact"/>
        <w:numPr>
          <w:ilvl w:val="0"/>
          <w:numId w:val="1012"/>
        </w:numPr>
      </w:pPr>
      <w:r>
        <w:t xml:space="preserve">User data</w:t>
      </w:r>
    </w:p>
    <w:p>
      <w:r>
        <w:pict>
          <v:rect style="width:0;height:1.5pt" o:hralign="center" o:hrstd="t" o:hr="t"/>
        </w:pict>
      </w:r>
    </w:p>
    <w:bookmarkEnd w:id="26"/>
    <w:bookmarkStart w:id="27" w:name="reporting-layer"/>
    <w:p>
      <w:pPr>
        <w:pStyle w:val="Heading2"/>
      </w:pPr>
      <w:r>
        <w:t xml:space="preserve">Reporting Layer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3"/>
        </w:numPr>
      </w:pPr>
      <w:r>
        <w:t xml:space="preserve">Analytics</w:t>
      </w:r>
    </w:p>
    <w:p>
      <w:pPr>
        <w:pStyle w:val="Compact"/>
        <w:numPr>
          <w:ilvl w:val="0"/>
          <w:numId w:val="1013"/>
        </w:numPr>
      </w:pPr>
      <w:r>
        <w:t xml:space="preserve">Dashboards</w:t>
      </w:r>
    </w:p>
    <w:p>
      <w:pPr>
        <w:pStyle w:val="Compact"/>
        <w:numPr>
          <w:ilvl w:val="0"/>
          <w:numId w:val="1013"/>
        </w:numPr>
      </w:pPr>
      <w:r>
        <w:t xml:space="preserve">Large queries</w:t>
      </w:r>
    </w:p>
    <w:p>
      <w:pPr>
        <w:pStyle w:val="Compact"/>
        <w:numPr>
          <w:ilvl w:val="0"/>
          <w:numId w:val="1013"/>
        </w:numPr>
      </w:pPr>
      <w:r>
        <w:t xml:space="preserve">AI reporting</w:t>
      </w:r>
    </w:p>
    <w:p>
      <w:pPr>
        <w:pStyle w:val="FirstParagraph"/>
      </w:pPr>
      <w:r>
        <w:t xml:space="preserve">The reporting layer should avoid impacting transactional performance.</w:t>
      </w:r>
    </w:p>
    <w:p>
      <w:r>
        <w:pict>
          <v:rect style="width:0;height:1.5pt" o:hralign="center" o:hrstd="t" o:hr="t"/>
        </w:pict>
      </w:r>
    </w:p>
    <w:bookmarkEnd w:id="27"/>
    <w:bookmarkStart w:id="28" w:name="document-storage"/>
    <w:p>
      <w:pPr>
        <w:pStyle w:val="Heading2"/>
      </w:pPr>
      <w:r>
        <w:t xml:space="preserve">Document Storage</w:t>
      </w:r>
    </w:p>
    <w:p>
      <w:pPr>
        <w:pStyle w:val="FirstParagraph"/>
      </w:pPr>
      <w:r>
        <w:t xml:space="preserve">Documents should not be stored directly inside database tables.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4"/>
        </w:numPr>
      </w:pPr>
      <w:r>
        <w:t xml:space="preserve">Object storage</w:t>
      </w:r>
    </w:p>
    <w:p>
      <w:pPr>
        <w:pStyle w:val="Compact"/>
        <w:numPr>
          <w:ilvl w:val="0"/>
          <w:numId w:val="1014"/>
        </w:numPr>
      </w:pPr>
      <w:r>
        <w:t xml:space="preserve">Metadata stored in PostgreSQL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atabase-schema-organization"/>
    <w:p>
      <w:pPr>
        <w:pStyle w:val="Heading1"/>
      </w:pPr>
      <w:r>
        <w:t xml:space="preserve">6. Database Schema Organization</w:t>
      </w:r>
    </w:p>
    <w:p>
      <w:pPr>
        <w:pStyle w:val="FirstParagraph"/>
      </w:pPr>
      <w:r>
        <w:t xml:space="preserve">Recommended schemas: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member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tpl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reporting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semantic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configuration</w:t>
      </w:r>
    </w:p>
    <w:p>
      <w:r>
        <w:pict>
          <v:rect style="width:0;height:1.5pt" o:hralign="center" o:hrstd="t" o:hr="t"/>
        </w:pict>
      </w:r>
    </w:p>
    <w:bookmarkEnd w:id="30"/>
    <w:bookmarkStart w:id="40" w:name="ai-architecture"/>
    <w:p>
      <w:pPr>
        <w:pStyle w:val="Heading1"/>
      </w:pPr>
      <w:r>
        <w:t xml:space="preserve">7. AI Architecture</w:t>
      </w:r>
    </w:p>
    <w:bookmarkStart w:id="35" w:name="ai-components"/>
    <w:p>
      <w:pPr>
        <w:pStyle w:val="Heading2"/>
      </w:pPr>
      <w:r>
        <w:t xml:space="preserve">AI Components</w:t>
      </w:r>
    </w:p>
    <w:bookmarkStart w:id="31" w:name="ai-assistant"/>
    <w:p>
      <w:pPr>
        <w:pStyle w:val="Heading3"/>
      </w:pPr>
      <w:r>
        <w:t xml:space="preserve">AI Assistant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User interaction.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“Show pending provider enrollments.”</w:t>
      </w:r>
    </w:p>
    <w:p>
      <w:pPr>
        <w:pStyle w:val="BodyText"/>
      </w:pPr>
      <w:r>
        <w:t xml:space="preserve">“Explain this claim denial.”</w:t>
      </w:r>
    </w:p>
    <w:p>
      <w:r>
        <w:pict>
          <v:rect style="width:0;height:1.5pt" o:hralign="center" o:hrstd="t" o:hr="t"/>
        </w:pict>
      </w:r>
    </w:p>
    <w:bookmarkEnd w:id="31"/>
    <w:bookmarkStart w:id="32" w:name="rag-knowledge-system"/>
    <w:p>
      <w:pPr>
        <w:pStyle w:val="Heading3"/>
      </w:pPr>
      <w:r>
        <w:t xml:space="preserve">RAG Knowledge System</w:t>
      </w:r>
    </w:p>
    <w:p>
      <w:pPr>
        <w:pStyle w:val="FirstParagraph"/>
      </w:pPr>
      <w:r>
        <w:t xml:space="preserve">Sources:</w:t>
      </w:r>
    </w:p>
    <w:p>
      <w:pPr>
        <w:pStyle w:val="Compact"/>
        <w:numPr>
          <w:ilvl w:val="0"/>
          <w:numId w:val="1015"/>
        </w:numPr>
      </w:pPr>
      <w:r>
        <w:t xml:space="preserve">Business documentation</w:t>
      </w:r>
    </w:p>
    <w:p>
      <w:pPr>
        <w:pStyle w:val="Compact"/>
        <w:numPr>
          <w:ilvl w:val="0"/>
          <w:numId w:val="1015"/>
        </w:numPr>
      </w:pPr>
      <w:r>
        <w:t xml:space="preserve">Rules</w:t>
      </w:r>
    </w:p>
    <w:p>
      <w:pPr>
        <w:pStyle w:val="Compact"/>
        <w:numPr>
          <w:ilvl w:val="0"/>
          <w:numId w:val="1015"/>
        </w:numPr>
      </w:pPr>
      <w:r>
        <w:t xml:space="preserve">Metadata</w:t>
      </w:r>
    </w:p>
    <w:p>
      <w:pPr>
        <w:pStyle w:val="Compact"/>
        <w:numPr>
          <w:ilvl w:val="0"/>
          <w:numId w:val="1015"/>
        </w:numPr>
      </w:pPr>
      <w:r>
        <w:t xml:space="preserve">Policies</w:t>
      </w:r>
    </w:p>
    <w:p>
      <w:pPr>
        <w:pStyle w:val="Compact"/>
        <w:numPr>
          <w:ilvl w:val="0"/>
          <w:numId w:val="1015"/>
        </w:numPr>
      </w:pPr>
      <w:r>
        <w:t xml:space="preserve">Application documentation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text-to-sql-engine"/>
    <w:p>
      <w:pPr>
        <w:pStyle w:val="Heading3"/>
      </w:pPr>
      <w:r>
        <w:t xml:space="preserve">Text-to-SQL Engine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16"/>
        </w:numPr>
      </w:pPr>
      <w:r>
        <w:t xml:space="preserve">Semantic catalog</w:t>
      </w:r>
    </w:p>
    <w:p>
      <w:pPr>
        <w:pStyle w:val="Compact"/>
        <w:numPr>
          <w:ilvl w:val="0"/>
          <w:numId w:val="1016"/>
        </w:numPr>
      </w:pPr>
      <w:r>
        <w:t xml:space="preserve">Business glossary</w:t>
      </w:r>
    </w:p>
    <w:p>
      <w:pPr>
        <w:pStyle w:val="Compact"/>
        <w:numPr>
          <w:ilvl w:val="0"/>
          <w:numId w:val="1016"/>
        </w:numPr>
      </w:pPr>
      <w:r>
        <w:t xml:space="preserve">SQL templates</w:t>
      </w:r>
    </w:p>
    <w:p>
      <w:pPr>
        <w:pStyle w:val="Compact"/>
        <w:numPr>
          <w:ilvl w:val="0"/>
          <w:numId w:val="1016"/>
        </w:numPr>
      </w:pPr>
      <w:r>
        <w:t xml:space="preserve">Permission model</w:t>
      </w:r>
    </w:p>
    <w:p>
      <w:r>
        <w:pict>
          <v:rect style="width:0;height:1.5pt" o:hralign="center" o:hrstd="t" o:hr="t"/>
        </w:pict>
      </w:r>
    </w:p>
    <w:bookmarkEnd w:id="33"/>
    <w:bookmarkStart w:id="34" w:name="ai-agents"/>
    <w:p>
      <w:pPr>
        <w:pStyle w:val="Heading3"/>
      </w:pPr>
      <w:r>
        <w:t xml:space="preserve">AI Agents</w:t>
      </w:r>
    </w:p>
    <w:p>
      <w:pPr>
        <w:pStyle w:val="FirstParagraph"/>
      </w:pPr>
      <w:r>
        <w:t xml:space="preserve">Supported agents:</w:t>
      </w:r>
    </w:p>
    <w:bookmarkEnd w:id="34"/>
    <w:bookmarkEnd w:id="35"/>
    <w:bookmarkStart w:id="36" w:name="business-agent"/>
    <w:p>
      <w:pPr>
        <w:pStyle w:val="Heading2"/>
      </w:pPr>
      <w:r>
        <w:t xml:space="preserve">Business Agent</w:t>
      </w:r>
    </w:p>
    <w:p>
      <w:pPr>
        <w:pStyle w:val="FirstParagraph"/>
      </w:pPr>
      <w:r>
        <w:t xml:space="preserve">Helps users complete business tasks.</w:t>
      </w:r>
    </w:p>
    <w:bookmarkEnd w:id="36"/>
    <w:bookmarkStart w:id="37" w:name="analytics-agent"/>
    <w:p>
      <w:pPr>
        <w:pStyle w:val="Heading2"/>
      </w:pPr>
      <w:r>
        <w:t xml:space="preserve">Analytics Agent</w:t>
      </w:r>
    </w:p>
    <w:p>
      <w:pPr>
        <w:pStyle w:val="FirstParagraph"/>
      </w:pPr>
      <w:r>
        <w:t xml:space="preserve">Creates insights and reports.</w:t>
      </w:r>
    </w:p>
    <w:bookmarkEnd w:id="37"/>
    <w:bookmarkStart w:id="38" w:name="developer-agent"/>
    <w:p>
      <w:pPr>
        <w:pStyle w:val="Heading2"/>
      </w:pPr>
      <w:r>
        <w:t xml:space="preserve">Developer Agent</w:t>
      </w:r>
    </w:p>
    <w:p>
      <w:pPr>
        <w:pStyle w:val="FirstParagraph"/>
      </w:pPr>
      <w:r>
        <w:t xml:space="preserve">Helps generate code and SQL.</w:t>
      </w:r>
    </w:p>
    <w:bookmarkEnd w:id="38"/>
    <w:bookmarkStart w:id="39" w:name="administrator-agent"/>
    <w:p>
      <w:pPr>
        <w:pStyle w:val="Heading2"/>
      </w:pPr>
      <w:r>
        <w:t xml:space="preserve">Administrator Agent</w:t>
      </w:r>
    </w:p>
    <w:p>
      <w:pPr>
        <w:pStyle w:val="FirstParagraph"/>
      </w:pPr>
      <w:r>
        <w:t xml:space="preserve">Helps manage platform configuration.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mantic-layer-architecture"/>
    <w:p>
      <w:pPr>
        <w:pStyle w:val="Heading1"/>
      </w:pPr>
      <w:r>
        <w:t xml:space="preserve">8. Semantic Layer Architecture</w:t>
      </w:r>
    </w:p>
    <w:p>
      <w:pPr>
        <w:pStyle w:val="FirstParagraph"/>
      </w:pPr>
      <w:r>
        <w:t xml:space="preserve">The semantic layer connects business language with technical implementation.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“Find doctors waiting for revalidation”</w:t>
      </w:r>
    </w:p>
    <w:p>
      <w:pPr>
        <w:pStyle w:val="BodyText"/>
      </w:pPr>
      <w:r>
        <w:t xml:space="preserve">AI maps:</w:t>
      </w:r>
    </w:p>
    <w:p>
      <w:pPr>
        <w:pStyle w:val="BodyText"/>
      </w:pPr>
      <w:r>
        <w:t xml:space="preserve">Doctor</w:t>
      </w:r>
      <w:r>
        <w:t xml:space="preserve"> </w:t>
      </w:r>
      <w:r>
        <w:t xml:space="preserve">→ Provider Entity</w:t>
      </w:r>
    </w:p>
    <w:p>
      <w:pPr>
        <w:pStyle w:val="BodyText"/>
      </w:pPr>
      <w:r>
        <w:t xml:space="preserve">Waiting</w:t>
      </w:r>
      <w:r>
        <w:t xml:space="preserve"> </w:t>
      </w:r>
      <w:r>
        <w:t xml:space="preserve">→ Status = Pending</w:t>
      </w:r>
    </w:p>
    <w:p>
      <w:pPr>
        <w:pStyle w:val="BodyText"/>
      </w:pPr>
      <w:r>
        <w:t xml:space="preserve">Revalidation</w:t>
      </w:r>
      <w:r>
        <w:t xml:space="preserve"> </w:t>
      </w:r>
      <w:r>
        <w:t xml:space="preserve">→ Provider Revalidation Workflow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Governed query execution.</w:t>
      </w:r>
    </w:p>
    <w:p>
      <w:r>
        <w:pict>
          <v:rect style="width:0;height:1.5pt" o:hralign="center" o:hrstd="t" o:hr="t"/>
        </w:pict>
      </w:r>
    </w:p>
    <w:bookmarkEnd w:id="41"/>
    <w:bookmarkStart w:id="45" w:name="security-architecture"/>
    <w:p>
      <w:pPr>
        <w:pStyle w:val="Heading1"/>
      </w:pPr>
      <w:r>
        <w:t xml:space="preserve">9. Security Architecture</w:t>
      </w:r>
    </w:p>
    <w:p>
      <w:pPr>
        <w:pStyle w:val="FirstParagraph"/>
      </w:pPr>
      <w:r>
        <w:t xml:space="preserve">Security layers:</w:t>
      </w:r>
    </w:p>
    <w:bookmarkStart w:id="42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7"/>
        </w:numPr>
      </w:pPr>
      <w:r>
        <w:t xml:space="preserve">LDAP</w:t>
      </w:r>
    </w:p>
    <w:p>
      <w:pPr>
        <w:pStyle w:val="Compact"/>
        <w:numPr>
          <w:ilvl w:val="0"/>
          <w:numId w:val="1017"/>
        </w:numPr>
      </w:pPr>
      <w:r>
        <w:t xml:space="preserve">Active Directory</w:t>
      </w:r>
    </w:p>
    <w:p>
      <w:pPr>
        <w:pStyle w:val="Compact"/>
        <w:numPr>
          <w:ilvl w:val="0"/>
          <w:numId w:val="1017"/>
        </w:numPr>
      </w:pPr>
      <w:r>
        <w:t xml:space="preserve">OAuth2</w:t>
      </w:r>
    </w:p>
    <w:p>
      <w:pPr>
        <w:pStyle w:val="Compact"/>
        <w:numPr>
          <w:ilvl w:val="0"/>
          <w:numId w:val="1017"/>
        </w:numPr>
      </w:pPr>
      <w:r>
        <w:t xml:space="preserve">OIDC</w:t>
      </w:r>
    </w:p>
    <w:p>
      <w:pPr>
        <w:pStyle w:val="Compact"/>
        <w:numPr>
          <w:ilvl w:val="0"/>
          <w:numId w:val="1017"/>
        </w:numPr>
      </w:pPr>
      <w:r>
        <w:t xml:space="preserve">SAML</w:t>
      </w:r>
    </w:p>
    <w:p>
      <w:r>
        <w:pict>
          <v:rect style="width:0;height:1.5pt" o:hralign="center" o:hrstd="t" o:hr="t"/>
        </w:pict>
      </w:r>
    </w:p>
    <w:bookmarkEnd w:id="42"/>
    <w:bookmarkStart w:id="43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18"/>
        </w:numPr>
      </w:pPr>
      <w:r>
        <w:t xml:space="preserve">RBAC</w:t>
      </w:r>
    </w:p>
    <w:p>
      <w:pPr>
        <w:pStyle w:val="Compact"/>
        <w:numPr>
          <w:ilvl w:val="0"/>
          <w:numId w:val="1018"/>
        </w:numPr>
      </w:pPr>
      <w:r>
        <w:t xml:space="preserve">Permission model</w:t>
      </w:r>
    </w:p>
    <w:p>
      <w:pPr>
        <w:pStyle w:val="Compact"/>
        <w:numPr>
          <w:ilvl w:val="0"/>
          <w:numId w:val="1018"/>
        </w:numPr>
      </w:pPr>
      <w:r>
        <w:t xml:space="preserve">Data-level restrictions</w:t>
      </w:r>
    </w:p>
    <w:p>
      <w:r>
        <w:pict>
          <v:rect style="width:0;height:1.5pt" o:hralign="center" o:hrstd="t" o:hr="t"/>
        </w:pict>
      </w:r>
    </w:p>
    <w:bookmarkEnd w:id="43"/>
    <w:bookmarkStart w:id="44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9"/>
        </w:numPr>
      </w:pPr>
      <w:r>
        <w:t xml:space="preserve">Login events</w:t>
      </w:r>
    </w:p>
    <w:p>
      <w:pPr>
        <w:pStyle w:val="Compact"/>
        <w:numPr>
          <w:ilvl w:val="0"/>
          <w:numId w:val="1019"/>
        </w:numPr>
      </w:pPr>
      <w:r>
        <w:t xml:space="preserve">Data changes</w:t>
      </w:r>
    </w:p>
    <w:p>
      <w:pPr>
        <w:pStyle w:val="Compact"/>
        <w:numPr>
          <w:ilvl w:val="0"/>
          <w:numId w:val="1019"/>
        </w:numPr>
      </w:pPr>
      <w:r>
        <w:t xml:space="preserve">Workflow actions</w:t>
      </w:r>
    </w:p>
    <w:p>
      <w:pPr>
        <w:pStyle w:val="Compact"/>
        <w:numPr>
          <w:ilvl w:val="0"/>
          <w:numId w:val="1019"/>
        </w:numPr>
      </w:pPr>
      <w:r>
        <w:t xml:space="preserve">AI interactions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integration-architecture"/>
    <w:p>
      <w:pPr>
        <w:pStyle w:val="Heading1"/>
      </w:pPr>
      <w:r>
        <w:t xml:space="preserve">10. Integration Architecture</w:t>
      </w:r>
    </w:p>
    <w:p>
      <w:pPr>
        <w:pStyle w:val="FirstParagraph"/>
      </w:pPr>
      <w:r>
        <w:t xml:space="preserve">Future integrations:</w:t>
      </w:r>
    </w:p>
    <w:p>
      <w:pPr>
        <w:pStyle w:val="Compact"/>
        <w:numPr>
          <w:ilvl w:val="0"/>
          <w:numId w:val="1020"/>
        </w:numPr>
      </w:pPr>
      <w:r>
        <w:t xml:space="preserve">Healthcare APIs</w:t>
      </w:r>
    </w:p>
    <w:p>
      <w:pPr>
        <w:pStyle w:val="Compact"/>
        <w:numPr>
          <w:ilvl w:val="0"/>
          <w:numId w:val="1020"/>
        </w:numPr>
      </w:pPr>
      <w:r>
        <w:t xml:space="preserve">FHIR interfaces</w:t>
      </w:r>
    </w:p>
    <w:p>
      <w:pPr>
        <w:pStyle w:val="Compact"/>
        <w:numPr>
          <w:ilvl w:val="0"/>
          <w:numId w:val="1020"/>
        </w:numPr>
      </w:pPr>
      <w:r>
        <w:t xml:space="preserve">X12 transactions</w:t>
      </w:r>
    </w:p>
    <w:p>
      <w:pPr>
        <w:pStyle w:val="Compact"/>
        <w:numPr>
          <w:ilvl w:val="0"/>
          <w:numId w:val="1020"/>
        </w:numPr>
      </w:pPr>
      <w:r>
        <w:t xml:space="preserve">External identity providers</w:t>
      </w:r>
    </w:p>
    <w:p>
      <w:pPr>
        <w:pStyle w:val="Compact"/>
        <w:numPr>
          <w:ilvl w:val="0"/>
          <w:numId w:val="1020"/>
        </w:numPr>
      </w:pPr>
      <w:r>
        <w:t xml:space="preserve">Payment systems</w:t>
      </w:r>
    </w:p>
    <w:p>
      <w:pPr>
        <w:pStyle w:val="Compact"/>
        <w:numPr>
          <w:ilvl w:val="0"/>
          <w:numId w:val="1020"/>
        </w:numPr>
      </w:pPr>
      <w:r>
        <w:t xml:space="preserve">Reporting systems</w:t>
      </w:r>
    </w:p>
    <w:p>
      <w:pPr>
        <w:pStyle w:val="FirstParagraph"/>
      </w:pPr>
      <w:r>
        <w:t xml:space="preserve">Integration principles:</w:t>
      </w:r>
    </w:p>
    <w:p>
      <w:pPr>
        <w:pStyle w:val="Compact"/>
        <w:numPr>
          <w:ilvl w:val="0"/>
          <w:numId w:val="1021"/>
        </w:numPr>
      </w:pPr>
      <w:r>
        <w:t xml:space="preserve">API-first</w:t>
      </w:r>
    </w:p>
    <w:p>
      <w:pPr>
        <w:pStyle w:val="Compact"/>
        <w:numPr>
          <w:ilvl w:val="0"/>
          <w:numId w:val="1021"/>
        </w:numPr>
      </w:pPr>
      <w:r>
        <w:t xml:space="preserve">Secure authentication</w:t>
      </w:r>
    </w:p>
    <w:p>
      <w:pPr>
        <w:pStyle w:val="Compact"/>
        <w:numPr>
          <w:ilvl w:val="0"/>
          <w:numId w:val="1021"/>
        </w:numPr>
      </w:pPr>
      <w:r>
        <w:t xml:space="preserve">Logging</w:t>
      </w:r>
    </w:p>
    <w:p>
      <w:pPr>
        <w:pStyle w:val="Compact"/>
        <w:numPr>
          <w:ilvl w:val="0"/>
          <w:numId w:val="1021"/>
        </w:numPr>
      </w:pPr>
      <w:r>
        <w:t xml:space="preserve">Retry handling</w:t>
      </w:r>
    </w:p>
    <w:p>
      <w:pPr>
        <w:pStyle w:val="Compact"/>
        <w:numPr>
          <w:ilvl w:val="0"/>
          <w:numId w:val="1021"/>
        </w:numPr>
      </w:pPr>
      <w:r>
        <w:t xml:space="preserve">Error tracking</w:t>
      </w:r>
    </w:p>
    <w:p>
      <w:r>
        <w:pict>
          <v:rect style="width:0;height:1.5pt" o:hralign="center" o:hrstd="t" o:hr="t"/>
        </w:pict>
      </w:r>
    </w:p>
    <w:bookmarkEnd w:id="46"/>
    <w:bookmarkStart w:id="47" w:name="deployment-architecture"/>
    <w:p>
      <w:pPr>
        <w:pStyle w:val="Heading1"/>
      </w:pPr>
      <w:r>
        <w:t xml:space="preserve">11. Deployment Architecture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Container-based deployment.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22"/>
        </w:numPr>
      </w:pPr>
      <w:r>
        <w:t xml:space="preserve">Frontend container</w:t>
      </w:r>
    </w:p>
    <w:p>
      <w:pPr>
        <w:pStyle w:val="Compact"/>
        <w:numPr>
          <w:ilvl w:val="0"/>
          <w:numId w:val="1022"/>
        </w:numPr>
      </w:pPr>
      <w:r>
        <w:t xml:space="preserve">Backend services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p>
      <w:pPr>
        <w:pStyle w:val="Compact"/>
        <w:numPr>
          <w:ilvl w:val="0"/>
          <w:numId w:val="1022"/>
        </w:numPr>
      </w:pPr>
      <w:r>
        <w:t xml:space="preserve">Redis</w:t>
      </w:r>
    </w:p>
    <w:p>
      <w:pPr>
        <w:pStyle w:val="Compact"/>
        <w:numPr>
          <w:ilvl w:val="0"/>
          <w:numId w:val="1022"/>
        </w:numPr>
      </w:pPr>
      <w:r>
        <w:t xml:space="preserve">Search engine</w:t>
      </w:r>
    </w:p>
    <w:p>
      <w:pPr>
        <w:pStyle w:val="Compact"/>
        <w:numPr>
          <w:ilvl w:val="0"/>
          <w:numId w:val="1022"/>
        </w:numPr>
      </w:pPr>
      <w:r>
        <w:t xml:space="preserve">Object storage</w:t>
      </w:r>
    </w:p>
    <w:p>
      <w:pPr>
        <w:pStyle w:val="Compact"/>
        <w:numPr>
          <w:ilvl w:val="0"/>
          <w:numId w:val="1022"/>
        </w:numPr>
      </w:pPr>
      <w:r>
        <w:t xml:space="preserve">AI services</w:t>
      </w:r>
    </w:p>
    <w:p>
      <w:pPr>
        <w:pStyle w:val="FirstParagraph"/>
      </w:pPr>
      <w:r>
        <w:t xml:space="preserve">Future support:</w:t>
      </w:r>
    </w:p>
    <w:p>
      <w:pPr>
        <w:pStyle w:val="Compact"/>
        <w:numPr>
          <w:ilvl w:val="0"/>
          <w:numId w:val="1023"/>
        </w:numPr>
      </w:pPr>
      <w:r>
        <w:t xml:space="preserve">Kubernetes</w:t>
      </w:r>
    </w:p>
    <w:p>
      <w:pPr>
        <w:pStyle w:val="Compact"/>
        <w:numPr>
          <w:ilvl w:val="0"/>
          <w:numId w:val="1023"/>
        </w:numPr>
      </w:pPr>
      <w:r>
        <w:t xml:space="preserve">Cloud deployment</w:t>
      </w:r>
    </w:p>
    <w:p>
      <w:pPr>
        <w:pStyle w:val="Compact"/>
        <w:numPr>
          <w:ilvl w:val="0"/>
          <w:numId w:val="1023"/>
        </w:numPr>
      </w:pPr>
      <w:r>
        <w:t xml:space="preserve">High availability</w:t>
      </w:r>
    </w:p>
    <w:p>
      <w:pPr>
        <w:pStyle w:val="Compact"/>
        <w:numPr>
          <w:ilvl w:val="0"/>
          <w:numId w:val="1023"/>
        </w:numPr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47"/>
    <w:bookmarkStart w:id="48" w:name="engineering-standards"/>
    <w:p>
      <w:pPr>
        <w:pStyle w:val="Heading1"/>
      </w:pPr>
      <w:r>
        <w:t xml:space="preserve">12. Engineering Standards</w:t>
      </w:r>
    </w:p>
    <w:p>
      <w:pPr>
        <w:pStyle w:val="FirstParagraph"/>
      </w:pPr>
      <w:r>
        <w:t xml:space="preserve">All modules must follow:</w:t>
      </w:r>
    </w:p>
    <w:p>
      <w:pPr>
        <w:pStyle w:val="Compact"/>
        <w:numPr>
          <w:ilvl w:val="0"/>
          <w:numId w:val="1024"/>
        </w:numPr>
      </w:pPr>
      <w:r>
        <w:t xml:space="preserve">Versioned APIs</w:t>
      </w:r>
    </w:p>
    <w:p>
      <w:pPr>
        <w:pStyle w:val="Compact"/>
        <w:numPr>
          <w:ilvl w:val="0"/>
          <w:numId w:val="1024"/>
        </w:numPr>
      </w:pPr>
      <w:r>
        <w:t xml:space="preserve">Automated testing</w:t>
      </w:r>
    </w:p>
    <w:p>
      <w:pPr>
        <w:pStyle w:val="Compact"/>
        <w:numPr>
          <w:ilvl w:val="0"/>
          <w:numId w:val="1024"/>
        </w:numPr>
      </w:pPr>
      <w:r>
        <w:t xml:space="preserve">Central logging</w:t>
      </w:r>
    </w:p>
    <w:p>
      <w:pPr>
        <w:pStyle w:val="Compact"/>
        <w:numPr>
          <w:ilvl w:val="0"/>
          <w:numId w:val="1024"/>
        </w:numPr>
      </w:pPr>
      <w:r>
        <w:t xml:space="preserve">Monitoring</w:t>
      </w:r>
    </w:p>
    <w:p>
      <w:pPr>
        <w:pStyle w:val="Compact"/>
        <w:numPr>
          <w:ilvl w:val="0"/>
          <w:numId w:val="1024"/>
        </w:numPr>
      </w:pPr>
      <w:r>
        <w:t xml:space="preserve">Code review</w:t>
      </w:r>
    </w:p>
    <w:p>
      <w:pPr>
        <w:pStyle w:val="Compact"/>
        <w:numPr>
          <w:ilvl w:val="0"/>
          <w:numId w:val="1024"/>
        </w:numPr>
      </w:pPr>
      <w:r>
        <w:t xml:space="preserve">Documentation updates</w:t>
      </w:r>
    </w:p>
    <w:p>
      <w:r>
        <w:pict>
          <v:rect style="width:0;height:1.5pt" o:hralign="center" o:hrstd="t" o:hr="t"/>
        </w:pict>
      </w:r>
    </w:p>
    <w:bookmarkEnd w:id="48"/>
    <w:bookmarkStart w:id="49" w:name="architecture-evolution"/>
    <w:p>
      <w:pPr>
        <w:pStyle w:val="Heading1"/>
      </w:pPr>
      <w:r>
        <w:t xml:space="preserve">13. Architecture Evolution</w:t>
      </w:r>
    </w:p>
    <w:p>
      <w:pPr>
        <w:pStyle w:val="FirstParagraph"/>
      </w:pPr>
      <w:r>
        <w:t xml:space="preserve">Future capabilities:</w:t>
      </w:r>
    </w:p>
    <w:p>
      <w:pPr>
        <w:pStyle w:val="Compact"/>
        <w:numPr>
          <w:ilvl w:val="0"/>
          <w:numId w:val="1025"/>
        </w:numPr>
      </w:pPr>
      <w:r>
        <w:t xml:space="preserve">Event streaming</w:t>
      </w:r>
    </w:p>
    <w:p>
      <w:pPr>
        <w:pStyle w:val="Compact"/>
        <w:numPr>
          <w:ilvl w:val="0"/>
          <w:numId w:val="1025"/>
        </w:numPr>
      </w:pPr>
      <w:r>
        <w:t xml:space="preserve">Data lake integration</w:t>
      </w:r>
    </w:p>
    <w:p>
      <w:pPr>
        <w:pStyle w:val="Compact"/>
        <w:numPr>
          <w:ilvl w:val="0"/>
          <w:numId w:val="1025"/>
        </w:numPr>
      </w:pPr>
      <w:r>
        <w:t xml:space="preserve">Advanced analytics</w:t>
      </w:r>
    </w:p>
    <w:p>
      <w:pPr>
        <w:pStyle w:val="Compact"/>
        <w:numPr>
          <w:ilvl w:val="0"/>
          <w:numId w:val="1025"/>
        </w:numPr>
      </w:pPr>
      <w:r>
        <w:t xml:space="preserve">Additional healthcare domains</w:t>
      </w:r>
    </w:p>
    <w:p>
      <w:pPr>
        <w:pStyle w:val="Compact"/>
        <w:numPr>
          <w:ilvl w:val="0"/>
          <w:numId w:val="1025"/>
        </w:numPr>
      </w:pPr>
      <w:r>
        <w:t xml:space="preserve">AI automation</w:t>
      </w:r>
    </w:p>
    <w:p>
      <w:r>
        <w:pict>
          <v:rect style="width:0;height:1.5pt" o:hralign="center" o:hrstd="t" o:hr="t"/>
        </w:pict>
      </w:r>
    </w:p>
    <w:bookmarkEnd w:id="49"/>
    <w:bookmarkStart w:id="50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HEMP is not a collection of screens.</w:t>
      </w:r>
    </w:p>
    <w:p>
      <w:pPr>
        <w:pStyle w:val="BodyText"/>
      </w:pPr>
      <w:r>
        <w:t xml:space="preserve">It is a metadata-driven healthcare enterprise platform where:</w:t>
      </w:r>
    </w:p>
    <w:p>
      <w:pPr>
        <w:pStyle w:val="BodyText"/>
      </w:pPr>
      <w:r>
        <w:t xml:space="preserve">Business Definition</w:t>
      </w:r>
      <w:r>
        <w:br/>
      </w:r>
      <w:r>
        <w:t xml:space="preserve">→ Metadata</w:t>
      </w:r>
      <w:r>
        <w:br/>
      </w:r>
      <w:r>
        <w:t xml:space="preserve">→ Database</w:t>
      </w:r>
      <w:r>
        <w:br/>
      </w:r>
      <w:r>
        <w:t xml:space="preserve">→ API</w:t>
      </w:r>
      <w:r>
        <w:br/>
      </w:r>
      <w:r>
        <w:t xml:space="preserve">→ UI</w:t>
      </w:r>
      <w:r>
        <w:br/>
      </w:r>
      <w:r>
        <w:t xml:space="preserve">→ Workflow</w:t>
      </w:r>
      <w:r>
        <w:br/>
      </w:r>
      <w:r>
        <w:t xml:space="preserve">→ AI Understanding</w:t>
      </w:r>
    </w:p>
    <w:p>
      <w:pPr>
        <w:pStyle w:val="BodyText"/>
      </w:pPr>
      <w:r>
        <w:t xml:space="preserve">all remain synchronized.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