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be8b9fda4fc8099dc2dbf94a96b2e1b656f556"/>
    <w:p>
      <w:pPr>
        <w:pStyle w:val="Heading1"/>
      </w:pPr>
      <w:r>
        <w:t xml:space="preserve">Healthcare Enterprise Management Platform (HEMP)</w:t>
      </w:r>
    </w:p>
    <w:bookmarkEnd w:id="9"/>
    <w:bookmarkStart w:id="10" w:name="project-context-document"/>
    <w:p>
      <w:pPr>
        <w:pStyle w:val="Heading1"/>
      </w:pPr>
      <w:r>
        <w:t xml:space="preserve">Project Context Document</w:t>
      </w:r>
    </w:p>
    <w:p>
      <w:pPr>
        <w:pStyle w:val="FirstParagraph"/>
      </w:pPr>
      <w:r>
        <w:t xml:space="preserve">Version: 1.0</w:t>
      </w:r>
      <w:r>
        <w:br/>
      </w:r>
      <w:r>
        <w:t xml:space="preserve">Status: Foundation Architecture Definition</w:t>
      </w:r>
    </w:p>
    <w:p>
      <w:r>
        <w:pict>
          <v:rect style="width:0;height:1.5pt" o:hralign="center" o:hrstd="t" o:hr="t"/>
        </w:pict>
      </w:r>
    </w:p>
    <w:bookmarkEnd w:id="10"/>
    <w:bookmarkStart w:id="11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Healthcare Enterprise Management Platform (HEMP) is an AI-native enterprise healthcare administration platform designed to support healthcare business operations through a unified, secure, metadata-driven architecture.</w:t>
      </w:r>
    </w:p>
    <w:p>
      <w:pPr>
        <w:pStyle w:val="BodyText"/>
      </w:pPr>
      <w:r>
        <w:t xml:space="preserve">The platform provides capabilities for:</w:t>
      </w:r>
    </w:p>
    <w:p>
      <w:pPr>
        <w:pStyle w:val="Compact"/>
        <w:numPr>
          <w:ilvl w:val="0"/>
          <w:numId w:val="1001"/>
        </w:numPr>
      </w:pPr>
      <w:r>
        <w:t xml:space="preserve">Provider Management</w:t>
      </w:r>
    </w:p>
    <w:p>
      <w:pPr>
        <w:pStyle w:val="Compact"/>
        <w:numPr>
          <w:ilvl w:val="0"/>
          <w:numId w:val="1001"/>
        </w:numPr>
      </w:pPr>
      <w:r>
        <w:t xml:space="preserve">Member Management</w:t>
      </w:r>
    </w:p>
    <w:p>
      <w:pPr>
        <w:pStyle w:val="Compact"/>
        <w:numPr>
          <w:ilvl w:val="0"/>
          <w:numId w:val="1001"/>
        </w:numPr>
      </w:pPr>
      <w:r>
        <w:t xml:space="preserve">Claims Management</w:t>
      </w:r>
    </w:p>
    <w:p>
      <w:pPr>
        <w:pStyle w:val="Compact"/>
        <w:numPr>
          <w:ilvl w:val="0"/>
          <w:numId w:val="1001"/>
        </w:numPr>
      </w:pPr>
      <w:r>
        <w:t xml:space="preserve">Service Authorization</w:t>
      </w:r>
    </w:p>
    <w:p>
      <w:pPr>
        <w:pStyle w:val="Compact"/>
        <w:numPr>
          <w:ilvl w:val="0"/>
          <w:numId w:val="1001"/>
        </w:numPr>
      </w:pPr>
      <w:r>
        <w:t xml:space="preserve">Third Party Liability (TPL)</w:t>
      </w:r>
    </w:p>
    <w:p>
      <w:pPr>
        <w:pStyle w:val="Compact"/>
        <w:numPr>
          <w:ilvl w:val="0"/>
          <w:numId w:val="1001"/>
        </w:numPr>
      </w:pPr>
      <w:r>
        <w:t xml:space="preserve">Finance Management</w:t>
      </w:r>
    </w:p>
    <w:p>
      <w:pPr>
        <w:pStyle w:val="Compact"/>
        <w:numPr>
          <w:ilvl w:val="0"/>
          <w:numId w:val="1001"/>
        </w:numPr>
      </w:pPr>
      <w:r>
        <w:t xml:space="preserve">Contact Management</w:t>
      </w:r>
    </w:p>
    <w:p>
      <w:pPr>
        <w:pStyle w:val="Compact"/>
        <w:numPr>
          <w:ilvl w:val="0"/>
          <w:numId w:val="1001"/>
        </w:numPr>
      </w:pPr>
      <w:r>
        <w:t xml:space="preserve">Reporting and Analytics</w:t>
      </w:r>
    </w:p>
    <w:p>
      <w:pPr>
        <w:pStyle w:val="Compact"/>
        <w:numPr>
          <w:ilvl w:val="0"/>
          <w:numId w:val="1001"/>
        </w:numPr>
      </w:pPr>
      <w:r>
        <w:t xml:space="preserve">Workflow Management</w:t>
      </w:r>
    </w:p>
    <w:p>
      <w:pPr>
        <w:pStyle w:val="Compact"/>
        <w:numPr>
          <w:ilvl w:val="0"/>
          <w:numId w:val="1001"/>
        </w:numPr>
      </w:pPr>
      <w:r>
        <w:t xml:space="preserve">Document Management</w:t>
      </w:r>
    </w:p>
    <w:p>
      <w:pPr>
        <w:pStyle w:val="Compact"/>
        <w:numPr>
          <w:ilvl w:val="0"/>
          <w:numId w:val="1001"/>
        </w:numPr>
      </w:pPr>
      <w:r>
        <w:t xml:space="preserve">AI Assistance</w:t>
      </w:r>
    </w:p>
    <w:p>
      <w:pPr>
        <w:pStyle w:val="Compact"/>
        <w:numPr>
          <w:ilvl w:val="0"/>
          <w:numId w:val="1001"/>
        </w:numPr>
      </w:pPr>
      <w:r>
        <w:t xml:space="preserve">Text-to-SQL Analytics</w:t>
      </w:r>
    </w:p>
    <w:p>
      <w:pPr>
        <w:pStyle w:val="FirstParagraph"/>
      </w:pPr>
      <w:r>
        <w:t xml:space="preserve">The goal is to build a scalable enterprise platform similar in usability and consistency to modern enterprise products while maintaining a flexible architecture that can evolve over time.</w:t>
      </w:r>
    </w:p>
    <w:p>
      <w:r>
        <w:pict>
          <v:rect style="width:0;height:1.5pt" o:hralign="center" o:hrstd="t" o:hr="t"/>
        </w:pict>
      </w:r>
    </w:p>
    <w:bookmarkEnd w:id="11"/>
    <w:bookmarkStart w:id="16" w:name="core-architecture-principles"/>
    <w:p>
      <w:pPr>
        <w:pStyle w:val="Heading1"/>
      </w:pPr>
      <w:r>
        <w:t xml:space="preserve">2. Core Architecture Principles</w:t>
      </w:r>
    </w:p>
    <w:bookmarkStart w:id="12" w:name="metadata-driven-architecture"/>
    <w:p>
      <w:pPr>
        <w:pStyle w:val="Heading2"/>
      </w:pPr>
      <w:r>
        <w:t xml:space="preserve">2.1 Metadata-Driven Architecture</w:t>
      </w:r>
    </w:p>
    <w:p>
      <w:pPr>
        <w:pStyle w:val="FirstParagraph"/>
      </w:pPr>
      <w:r>
        <w:t xml:space="preserve">The platform must minimize hardcoded business behavior.</w:t>
      </w:r>
    </w:p>
    <w:p>
      <w:pPr>
        <w:pStyle w:val="BodyText"/>
      </w:pPr>
      <w:r>
        <w:t xml:space="preserve">The following should be metadata-driven wherever practical:</w:t>
      </w:r>
    </w:p>
    <w:p>
      <w:pPr>
        <w:pStyle w:val="Compact"/>
        <w:numPr>
          <w:ilvl w:val="0"/>
          <w:numId w:val="1002"/>
        </w:numPr>
      </w:pPr>
      <w:r>
        <w:t xml:space="preserve">UI forms</w:t>
      </w:r>
    </w:p>
    <w:p>
      <w:pPr>
        <w:pStyle w:val="Compact"/>
        <w:numPr>
          <w:ilvl w:val="0"/>
          <w:numId w:val="1002"/>
        </w:numPr>
      </w:pPr>
      <w:r>
        <w:t xml:space="preserve">Workflows</w:t>
      </w:r>
    </w:p>
    <w:p>
      <w:pPr>
        <w:pStyle w:val="Compact"/>
        <w:numPr>
          <w:ilvl w:val="0"/>
          <w:numId w:val="1002"/>
        </w:numPr>
      </w:pPr>
      <w:r>
        <w:t xml:space="preserve">Business rules</w:t>
      </w:r>
    </w:p>
    <w:p>
      <w:pPr>
        <w:pStyle w:val="Compact"/>
        <w:numPr>
          <w:ilvl w:val="0"/>
          <w:numId w:val="1002"/>
        </w:numPr>
      </w:pPr>
      <w:r>
        <w:t xml:space="preserve">Validation rules</w:t>
      </w:r>
    </w:p>
    <w:p>
      <w:pPr>
        <w:pStyle w:val="Compact"/>
        <w:numPr>
          <w:ilvl w:val="0"/>
          <w:numId w:val="1002"/>
        </w:numPr>
      </w:pPr>
      <w:r>
        <w:t xml:space="preserve">Entity definitions</w:t>
      </w:r>
    </w:p>
    <w:p>
      <w:pPr>
        <w:pStyle w:val="Compact"/>
        <w:numPr>
          <w:ilvl w:val="0"/>
          <w:numId w:val="1002"/>
        </w:numPr>
      </w:pPr>
      <w:r>
        <w:t xml:space="preserve">Search configuration</w:t>
      </w:r>
    </w:p>
    <w:p>
      <w:pPr>
        <w:pStyle w:val="Compact"/>
        <w:numPr>
          <w:ilvl w:val="0"/>
          <w:numId w:val="1002"/>
        </w:numPr>
      </w:pPr>
      <w:r>
        <w:t xml:space="preserve">Reports</w:t>
      </w:r>
    </w:p>
    <w:p>
      <w:pPr>
        <w:pStyle w:val="Compact"/>
        <w:numPr>
          <w:ilvl w:val="0"/>
          <w:numId w:val="1002"/>
        </w:numPr>
      </w:pPr>
      <w:r>
        <w:t xml:space="preserve">AI semantic understanding</w:t>
      </w:r>
    </w:p>
    <w:p>
      <w:pPr>
        <w:pStyle w:val="FirstParagraph"/>
      </w:pPr>
      <w:r>
        <w:t xml:space="preserve">Changes to business processes should preferably be achieved through configuration rather than rewriting application code.</w:t>
      </w:r>
    </w:p>
    <w:p>
      <w:r>
        <w:pict>
          <v:rect style="width:0;height:1.5pt" o:hralign="center" o:hrstd="t" o:hr="t"/>
        </w:pict>
      </w:r>
    </w:p>
    <w:bookmarkEnd w:id="12"/>
    <w:bookmarkStart w:id="13" w:name="api-first-architecture"/>
    <w:p>
      <w:pPr>
        <w:pStyle w:val="Heading2"/>
      </w:pPr>
      <w:r>
        <w:t xml:space="preserve">2.2 API First Architecture</w:t>
      </w:r>
    </w:p>
    <w:p>
      <w:pPr>
        <w:pStyle w:val="FirstParagraph"/>
      </w:pPr>
      <w:r>
        <w:t xml:space="preserve">All business operations must be exposed through secure APIs.</w:t>
      </w:r>
    </w:p>
    <w:p>
      <w:pPr>
        <w:pStyle w:val="BodyText"/>
      </w:pPr>
      <w:r>
        <w:t xml:space="preserve">The UI, AI assistants, integrations, and external systems should consume the same business APIs.</w:t>
      </w:r>
    </w:p>
    <w:p>
      <w:pPr>
        <w:pStyle w:val="BodyText"/>
      </w:pPr>
      <w:r>
        <w:t xml:space="preserve">No component should directly bypass business services.</w:t>
      </w:r>
    </w:p>
    <w:p>
      <w:r>
        <w:pict>
          <v:rect style="width:0;height:1.5pt" o:hralign="center" o:hrstd="t" o:hr="t"/>
        </w:pict>
      </w:r>
    </w:p>
    <w:bookmarkEnd w:id="13"/>
    <w:bookmarkStart w:id="14" w:name="security-first"/>
    <w:p>
      <w:pPr>
        <w:pStyle w:val="Heading2"/>
      </w:pPr>
      <w:r>
        <w:t xml:space="preserve">2.3 Security First</w:t>
      </w:r>
    </w:p>
    <w:p>
      <w:pPr>
        <w:pStyle w:val="FirstParagraph"/>
      </w:pPr>
      <w:r>
        <w:t xml:space="preserve">The platform must support enterprise security:</w:t>
      </w:r>
    </w:p>
    <w:p>
      <w:pPr>
        <w:pStyle w:val="Compact"/>
        <w:numPr>
          <w:ilvl w:val="0"/>
          <w:numId w:val="1003"/>
        </w:numPr>
      </w:pPr>
      <w:r>
        <w:t xml:space="preserve">LDAP integration</w:t>
      </w:r>
    </w:p>
    <w:p>
      <w:pPr>
        <w:pStyle w:val="Compact"/>
        <w:numPr>
          <w:ilvl w:val="0"/>
          <w:numId w:val="1003"/>
        </w:numPr>
      </w:pPr>
      <w:r>
        <w:t xml:space="preserve">SSO</w:t>
      </w:r>
    </w:p>
    <w:p>
      <w:pPr>
        <w:pStyle w:val="Compact"/>
        <w:numPr>
          <w:ilvl w:val="0"/>
          <w:numId w:val="1003"/>
        </w:numPr>
      </w:pPr>
      <w:r>
        <w:t xml:space="preserve">OAuth/OIDC</w:t>
      </w:r>
    </w:p>
    <w:p>
      <w:pPr>
        <w:pStyle w:val="Compact"/>
        <w:numPr>
          <w:ilvl w:val="0"/>
          <w:numId w:val="1003"/>
        </w:numPr>
      </w:pPr>
      <w:r>
        <w:t xml:space="preserve">JWT authentication</w:t>
      </w:r>
    </w:p>
    <w:p>
      <w:pPr>
        <w:pStyle w:val="Compact"/>
        <w:numPr>
          <w:ilvl w:val="0"/>
          <w:numId w:val="1003"/>
        </w:numPr>
      </w:pPr>
      <w:r>
        <w:t xml:space="preserve">Multi-factor authentication</w:t>
      </w:r>
    </w:p>
    <w:p>
      <w:pPr>
        <w:pStyle w:val="Compact"/>
        <w:numPr>
          <w:ilvl w:val="0"/>
          <w:numId w:val="1003"/>
        </w:numPr>
      </w:pPr>
      <w:r>
        <w:t xml:space="preserve">Role-based access control</w:t>
      </w:r>
    </w:p>
    <w:p>
      <w:pPr>
        <w:pStyle w:val="Compact"/>
        <w:numPr>
          <w:ilvl w:val="0"/>
          <w:numId w:val="1003"/>
        </w:numPr>
      </w:pPr>
      <w:r>
        <w:t xml:space="preserve">Permission-based authorization</w:t>
      </w:r>
    </w:p>
    <w:p>
      <w:pPr>
        <w:pStyle w:val="Compact"/>
        <w:numPr>
          <w:ilvl w:val="0"/>
          <w:numId w:val="1003"/>
        </w:numPr>
      </w:pPr>
      <w:r>
        <w:t xml:space="preserve">Audit logging</w:t>
      </w:r>
    </w:p>
    <w:p>
      <w:pPr>
        <w:pStyle w:val="Compact"/>
        <w:numPr>
          <w:ilvl w:val="0"/>
          <w:numId w:val="1003"/>
        </w:numPr>
      </w:pPr>
      <w:r>
        <w:t xml:space="preserve">Data access restrictions</w:t>
      </w:r>
    </w:p>
    <w:p>
      <w:r>
        <w:pict>
          <v:rect style="width:0;height:1.5pt" o:hralign="center" o:hrstd="t" o:hr="t"/>
        </w:pict>
      </w:r>
    </w:p>
    <w:bookmarkEnd w:id="14"/>
    <w:bookmarkStart w:id="15" w:name="ai-first-design"/>
    <w:p>
      <w:pPr>
        <w:pStyle w:val="Heading2"/>
      </w:pPr>
      <w:r>
        <w:t xml:space="preserve">2.4 AI First Design</w:t>
      </w:r>
    </w:p>
    <w:p>
      <w:pPr>
        <w:pStyle w:val="FirstParagraph"/>
      </w:pPr>
      <w:r>
        <w:t xml:space="preserve">AI is a core platform capability, not an add-on.</w:t>
      </w:r>
    </w:p>
    <w:p>
      <w:pPr>
        <w:pStyle w:val="BodyText"/>
      </w:pPr>
      <w:r>
        <w:t xml:space="preserve">The platform must support:</w:t>
      </w:r>
    </w:p>
    <w:p>
      <w:pPr>
        <w:pStyle w:val="Compact"/>
        <w:numPr>
          <w:ilvl w:val="0"/>
          <w:numId w:val="1004"/>
        </w:numPr>
      </w:pPr>
      <w:r>
        <w:t xml:space="preserve">AI chat assistant</w:t>
      </w:r>
    </w:p>
    <w:p>
      <w:pPr>
        <w:pStyle w:val="Compact"/>
        <w:numPr>
          <w:ilvl w:val="0"/>
          <w:numId w:val="1004"/>
        </w:numPr>
      </w:pPr>
      <w:r>
        <w:t xml:space="preserve">AI workflow assistant</w:t>
      </w:r>
    </w:p>
    <w:p>
      <w:pPr>
        <w:pStyle w:val="Compact"/>
        <w:numPr>
          <w:ilvl w:val="0"/>
          <w:numId w:val="1004"/>
        </w:numPr>
      </w:pPr>
      <w:r>
        <w:t xml:space="preserve">AI reporting assistant</w:t>
      </w:r>
    </w:p>
    <w:p>
      <w:pPr>
        <w:pStyle w:val="Compact"/>
        <w:numPr>
          <w:ilvl w:val="0"/>
          <w:numId w:val="1004"/>
        </w:numPr>
      </w:pPr>
      <w:r>
        <w:t xml:space="preserve">Text-to-SQL assistant</w:t>
      </w:r>
    </w:p>
    <w:p>
      <w:pPr>
        <w:pStyle w:val="Compact"/>
        <w:numPr>
          <w:ilvl w:val="0"/>
          <w:numId w:val="1004"/>
        </w:numPr>
      </w:pPr>
      <w:r>
        <w:t xml:space="preserve">Developer assistant</w:t>
      </w:r>
    </w:p>
    <w:p>
      <w:pPr>
        <w:pStyle w:val="Compact"/>
        <w:numPr>
          <w:ilvl w:val="0"/>
          <w:numId w:val="1004"/>
        </w:numPr>
      </w:pPr>
      <w:r>
        <w:t xml:space="preserve">Knowledge retrieval (RAG)</w:t>
      </w:r>
    </w:p>
    <w:p>
      <w:pPr>
        <w:pStyle w:val="Compact"/>
        <w:numPr>
          <w:ilvl w:val="0"/>
          <w:numId w:val="1004"/>
        </w:numPr>
      </w:pPr>
      <w:r>
        <w:t xml:space="preserve">Semantic search</w:t>
      </w:r>
    </w:p>
    <w:p>
      <w:pPr>
        <w:pStyle w:val="FirstParagraph"/>
      </w:pPr>
      <w:r>
        <w:t xml:space="preserve">AI must operate through governed tools and APIs.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i-governance-rules"/>
    <w:p>
      <w:pPr>
        <w:pStyle w:val="Heading1"/>
      </w:pPr>
      <w:r>
        <w:t xml:space="preserve">3. AI Governance Rules</w:t>
      </w:r>
    </w:p>
    <w:p>
      <w:pPr>
        <w:pStyle w:val="FirstParagraph"/>
      </w:pPr>
      <w:r>
        <w:t xml:space="preserve">AI must never:</w:t>
      </w:r>
    </w:p>
    <w:p>
      <w:pPr>
        <w:pStyle w:val="Compact"/>
        <w:numPr>
          <w:ilvl w:val="0"/>
          <w:numId w:val="1005"/>
        </w:numPr>
      </w:pPr>
      <w:r>
        <w:t xml:space="preserve">Directly modify production database records</w:t>
      </w:r>
    </w:p>
    <w:p>
      <w:pPr>
        <w:pStyle w:val="Compact"/>
        <w:numPr>
          <w:ilvl w:val="0"/>
          <w:numId w:val="1005"/>
        </w:numPr>
      </w:pPr>
      <w:r>
        <w:t xml:space="preserve">Ignore user permissions</w:t>
      </w:r>
    </w:p>
    <w:p>
      <w:pPr>
        <w:pStyle w:val="Compact"/>
        <w:numPr>
          <w:ilvl w:val="0"/>
          <w:numId w:val="1005"/>
        </w:numPr>
      </w:pPr>
      <w:r>
        <w:t xml:space="preserve">Generate unrestricted SQL against transactional tables</w:t>
      </w:r>
    </w:p>
    <w:p>
      <w:pPr>
        <w:pStyle w:val="Compact"/>
        <w:numPr>
          <w:ilvl w:val="0"/>
          <w:numId w:val="1005"/>
        </w:numPr>
      </w:pPr>
      <w:r>
        <w:t xml:space="preserve">Bypass workflow approvals</w:t>
      </w:r>
    </w:p>
    <w:p>
      <w:pPr>
        <w:pStyle w:val="FirstParagraph"/>
      </w:pPr>
      <w:r>
        <w:t xml:space="preserve">AI must:</w:t>
      </w:r>
    </w:p>
    <w:p>
      <w:pPr>
        <w:pStyle w:val="Compact"/>
        <w:numPr>
          <w:ilvl w:val="0"/>
          <w:numId w:val="1006"/>
        </w:numPr>
      </w:pPr>
      <w:r>
        <w:t xml:space="preserve">Authenticate the user.</w:t>
      </w:r>
    </w:p>
    <w:p>
      <w:pPr>
        <w:pStyle w:val="Compact"/>
        <w:numPr>
          <w:ilvl w:val="0"/>
          <w:numId w:val="1006"/>
        </w:numPr>
      </w:pPr>
      <w:r>
        <w:t xml:space="preserve">Validate permissions.</w:t>
      </w:r>
    </w:p>
    <w:p>
      <w:pPr>
        <w:pStyle w:val="Compact"/>
        <w:numPr>
          <w:ilvl w:val="0"/>
          <w:numId w:val="1006"/>
        </w:numPr>
      </w:pPr>
      <w:r>
        <w:t xml:space="preserve">Resolve business concepts through the semantic catalog.</w:t>
      </w:r>
    </w:p>
    <w:p>
      <w:pPr>
        <w:pStyle w:val="Compact"/>
        <w:numPr>
          <w:ilvl w:val="0"/>
          <w:numId w:val="1006"/>
        </w:numPr>
      </w:pPr>
      <w:r>
        <w:t xml:space="preserve">Use approved APIs or governed query layers.</w:t>
      </w:r>
    </w:p>
    <w:p>
      <w:pPr>
        <w:pStyle w:val="Compact"/>
        <w:numPr>
          <w:ilvl w:val="0"/>
          <w:numId w:val="1006"/>
        </w:numPr>
      </w:pPr>
      <w:r>
        <w:t xml:space="preserve">Log actions.</w:t>
      </w:r>
    </w:p>
    <w:p>
      <w:pPr>
        <w:pStyle w:val="Compact"/>
        <w:numPr>
          <w:ilvl w:val="0"/>
          <w:numId w:val="1006"/>
        </w:numPr>
      </w:pPr>
      <w:r>
        <w:t xml:space="preserve">Provide explainable responses.</w:t>
      </w:r>
    </w:p>
    <w:p>
      <w:r>
        <w:pict>
          <v:rect style="width:0;height:1.5pt" o:hralign="center" o:hrstd="t" o:hr="t"/>
        </w:pict>
      </w:r>
    </w:p>
    <w:bookmarkEnd w:id="17"/>
    <w:bookmarkStart w:id="22" w:name="platform-architecture-layers"/>
    <w:p>
      <w:pPr>
        <w:pStyle w:val="Heading1"/>
      </w:pPr>
      <w:r>
        <w:t xml:space="preserve">4. Platform Architecture Layers</w:t>
      </w:r>
    </w:p>
    <w:bookmarkStart w:id="18" w:name="layer-1---user-experience"/>
    <w:p>
      <w:pPr>
        <w:pStyle w:val="Heading2"/>
      </w:pPr>
      <w:r>
        <w:t xml:space="preserve">Layer 1 - User Experience</w:t>
      </w:r>
    </w:p>
    <w:p>
      <w:pPr>
        <w:pStyle w:val="FirstParagraph"/>
      </w:pPr>
      <w:r>
        <w:t xml:space="preserve">Enterprise web application: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Provider portal</w:t>
      </w:r>
    </w:p>
    <w:p>
      <w:pPr>
        <w:pStyle w:val="Compact"/>
        <w:numPr>
          <w:ilvl w:val="0"/>
          <w:numId w:val="1007"/>
        </w:numPr>
      </w:pPr>
      <w:r>
        <w:t xml:space="preserve">Member portal</w:t>
      </w:r>
    </w:p>
    <w:p>
      <w:pPr>
        <w:pStyle w:val="Compact"/>
        <w:numPr>
          <w:ilvl w:val="0"/>
          <w:numId w:val="1007"/>
        </w:numPr>
      </w:pPr>
      <w:r>
        <w:t xml:space="preserve">Claims portal</w:t>
      </w:r>
    </w:p>
    <w:p>
      <w:pPr>
        <w:pStyle w:val="Compact"/>
        <w:numPr>
          <w:ilvl w:val="0"/>
          <w:numId w:val="1007"/>
        </w:numPr>
      </w:pPr>
      <w:r>
        <w:t xml:space="preserve">Administration portal</w:t>
      </w:r>
    </w:p>
    <w:p>
      <w:pPr>
        <w:pStyle w:val="Compact"/>
        <w:numPr>
          <w:ilvl w:val="0"/>
          <w:numId w:val="1007"/>
        </w:numPr>
      </w:pPr>
      <w:r>
        <w:t xml:space="preserve">AI assistant interface</w:t>
      </w:r>
    </w:p>
    <w:p>
      <w:pPr>
        <w:pStyle w:val="FirstParagraph"/>
      </w:pPr>
      <w:r>
        <w:t xml:space="preserve">Technology direction:</w:t>
      </w:r>
    </w:p>
    <w:p>
      <w:pPr>
        <w:pStyle w:val="Compact"/>
        <w:numPr>
          <w:ilvl w:val="0"/>
          <w:numId w:val="1008"/>
        </w:numPr>
      </w:pPr>
      <w:r>
        <w:t xml:space="preserve">Modern component-based frontend</w:t>
      </w:r>
    </w:p>
    <w:p>
      <w:pPr>
        <w:pStyle w:val="Compact"/>
        <w:numPr>
          <w:ilvl w:val="0"/>
          <w:numId w:val="1008"/>
        </w:numPr>
      </w:pPr>
      <w:r>
        <w:t xml:space="preserve">Consistent enterprise design system</w:t>
      </w:r>
    </w:p>
    <w:p>
      <w:pPr>
        <w:pStyle w:val="Compact"/>
        <w:numPr>
          <w:ilvl w:val="0"/>
          <w:numId w:val="1008"/>
        </w:numPr>
      </w:pPr>
      <w:r>
        <w:t xml:space="preserve">Reusable UI components</w:t>
      </w:r>
    </w:p>
    <w:p>
      <w:r>
        <w:pict>
          <v:rect style="width:0;height:1.5pt" o:hralign="center" o:hrstd="t" o:hr="t"/>
        </w:pict>
      </w:r>
    </w:p>
    <w:bookmarkEnd w:id="18"/>
    <w:bookmarkStart w:id="19" w:name="layer-2---application-services"/>
    <w:p>
      <w:pPr>
        <w:pStyle w:val="Heading2"/>
      </w:pPr>
      <w:r>
        <w:t xml:space="preserve">Layer 2 - Application Services</w:t>
      </w:r>
    </w:p>
    <w:p>
      <w:pPr>
        <w:pStyle w:val="FirstParagraph"/>
      </w:pPr>
      <w:r>
        <w:t xml:space="preserve">Business services:</w:t>
      </w:r>
    </w:p>
    <w:p>
      <w:pPr>
        <w:pStyle w:val="Compact"/>
        <w:numPr>
          <w:ilvl w:val="0"/>
          <w:numId w:val="1009"/>
        </w:numPr>
      </w:pPr>
      <w:r>
        <w:t xml:space="preserve">Provider Service</w:t>
      </w:r>
    </w:p>
    <w:p>
      <w:pPr>
        <w:pStyle w:val="Compact"/>
        <w:numPr>
          <w:ilvl w:val="0"/>
          <w:numId w:val="1009"/>
        </w:numPr>
      </w:pPr>
      <w:r>
        <w:t xml:space="preserve">Member Service</w:t>
      </w:r>
    </w:p>
    <w:p>
      <w:pPr>
        <w:pStyle w:val="Compact"/>
        <w:numPr>
          <w:ilvl w:val="0"/>
          <w:numId w:val="1009"/>
        </w:numPr>
      </w:pPr>
      <w:r>
        <w:t xml:space="preserve">Claims Service</w:t>
      </w:r>
    </w:p>
    <w:p>
      <w:pPr>
        <w:pStyle w:val="Compact"/>
        <w:numPr>
          <w:ilvl w:val="0"/>
          <w:numId w:val="1009"/>
        </w:numPr>
      </w:pPr>
      <w:r>
        <w:t xml:space="preserve">Authorization Service</w:t>
      </w:r>
    </w:p>
    <w:p>
      <w:pPr>
        <w:pStyle w:val="Compact"/>
        <w:numPr>
          <w:ilvl w:val="0"/>
          <w:numId w:val="1009"/>
        </w:numPr>
      </w:pPr>
      <w:r>
        <w:t xml:space="preserve">Finance Service</w:t>
      </w:r>
    </w:p>
    <w:p>
      <w:pPr>
        <w:pStyle w:val="Compact"/>
        <w:numPr>
          <w:ilvl w:val="0"/>
          <w:numId w:val="1009"/>
        </w:numPr>
      </w:pPr>
      <w:r>
        <w:t xml:space="preserve">Reporting Service</w:t>
      </w:r>
    </w:p>
    <w:p>
      <w:r>
        <w:pict>
          <v:rect style="width:0;height:1.5pt" o:hralign="center" o:hrstd="t" o:hr="t"/>
        </w:pict>
      </w:r>
    </w:p>
    <w:bookmarkEnd w:id="19"/>
    <w:bookmarkStart w:id="20" w:name="layer-3---platform-services"/>
    <w:p>
      <w:pPr>
        <w:pStyle w:val="Heading2"/>
      </w:pPr>
      <w:r>
        <w:t xml:space="preserve">Layer 3 - Platform Services</w:t>
      </w:r>
    </w:p>
    <w:p>
      <w:pPr>
        <w:pStyle w:val="FirstParagraph"/>
      </w:pPr>
      <w:r>
        <w:t xml:space="preserve">Reusable engines:</w:t>
      </w:r>
    </w:p>
    <w:p>
      <w:pPr>
        <w:pStyle w:val="Compact"/>
        <w:numPr>
          <w:ilvl w:val="0"/>
          <w:numId w:val="1010"/>
        </w:numPr>
      </w:pPr>
      <w:r>
        <w:t xml:space="preserve">Identity Engine</w:t>
      </w:r>
    </w:p>
    <w:p>
      <w:pPr>
        <w:pStyle w:val="Compact"/>
        <w:numPr>
          <w:ilvl w:val="0"/>
          <w:numId w:val="1010"/>
        </w:numPr>
      </w:pPr>
      <w:r>
        <w:t xml:space="preserve">Metadata Engine</w:t>
      </w:r>
    </w:p>
    <w:p>
      <w:pPr>
        <w:pStyle w:val="Compact"/>
        <w:numPr>
          <w:ilvl w:val="0"/>
          <w:numId w:val="1010"/>
        </w:numPr>
      </w:pPr>
      <w:r>
        <w:t xml:space="preserve">Workflow Engine</w:t>
      </w:r>
    </w:p>
    <w:p>
      <w:pPr>
        <w:pStyle w:val="Compact"/>
        <w:numPr>
          <w:ilvl w:val="0"/>
          <w:numId w:val="1010"/>
        </w:numPr>
      </w:pPr>
      <w:r>
        <w:t xml:space="preserve">Rules Engine</w:t>
      </w:r>
    </w:p>
    <w:p>
      <w:pPr>
        <w:pStyle w:val="Compact"/>
        <w:numPr>
          <w:ilvl w:val="0"/>
          <w:numId w:val="1010"/>
        </w:numPr>
      </w:pPr>
      <w:r>
        <w:t xml:space="preserve">Document Engine</w:t>
      </w:r>
    </w:p>
    <w:p>
      <w:pPr>
        <w:pStyle w:val="Compact"/>
        <w:numPr>
          <w:ilvl w:val="0"/>
          <w:numId w:val="1010"/>
        </w:numPr>
      </w:pPr>
      <w:r>
        <w:t xml:space="preserve">Search Engine</w:t>
      </w:r>
    </w:p>
    <w:p>
      <w:pPr>
        <w:pStyle w:val="Compact"/>
        <w:numPr>
          <w:ilvl w:val="0"/>
          <w:numId w:val="1010"/>
        </w:numPr>
      </w:pPr>
      <w:r>
        <w:t xml:space="preserve">Notification Engine</w:t>
      </w:r>
    </w:p>
    <w:p>
      <w:pPr>
        <w:pStyle w:val="Compact"/>
        <w:numPr>
          <w:ilvl w:val="0"/>
          <w:numId w:val="1010"/>
        </w:numPr>
      </w:pPr>
      <w:r>
        <w:t xml:space="preserve">Audit Engine</w:t>
      </w:r>
    </w:p>
    <w:p>
      <w:pPr>
        <w:pStyle w:val="Compact"/>
        <w:numPr>
          <w:ilvl w:val="0"/>
          <w:numId w:val="1010"/>
        </w:numPr>
      </w:pPr>
      <w:r>
        <w:t xml:space="preserve">Configuration Engine</w:t>
      </w:r>
    </w:p>
    <w:p>
      <w:pPr>
        <w:pStyle w:val="Compact"/>
        <w:numPr>
          <w:ilvl w:val="0"/>
          <w:numId w:val="1010"/>
        </w:numPr>
      </w:pPr>
      <w:r>
        <w:t xml:space="preserve">AI Engine</w:t>
      </w:r>
    </w:p>
    <w:p>
      <w:r>
        <w:pict>
          <v:rect style="width:0;height:1.5pt" o:hralign="center" o:hrstd="t" o:hr="t"/>
        </w:pict>
      </w:r>
    </w:p>
    <w:bookmarkEnd w:id="20"/>
    <w:bookmarkStart w:id="21" w:name="layer-4---data-platform"/>
    <w:p>
      <w:pPr>
        <w:pStyle w:val="Heading2"/>
      </w:pPr>
      <w:r>
        <w:t xml:space="preserve">Layer 4 - Data Platform</w:t>
      </w:r>
    </w:p>
    <w:p>
      <w:pPr>
        <w:pStyle w:val="FirstParagraph"/>
      </w:pPr>
      <w:r>
        <w:t xml:space="preserve">Primary storage:</w:t>
      </w:r>
    </w:p>
    <w:p>
      <w:pPr>
        <w:pStyle w:val="Compact"/>
        <w:numPr>
          <w:ilvl w:val="0"/>
          <w:numId w:val="1011"/>
        </w:numPr>
      </w:pPr>
      <w:r>
        <w:t xml:space="preserve">PostgreSQL transactional database</w:t>
      </w:r>
    </w:p>
    <w:p>
      <w:pPr>
        <w:pStyle w:val="Compact"/>
        <w:numPr>
          <w:ilvl w:val="0"/>
          <w:numId w:val="1011"/>
        </w:numPr>
      </w:pPr>
      <w:r>
        <w:t xml:space="preserve">Reporting database/views</w:t>
      </w:r>
    </w:p>
    <w:p>
      <w:pPr>
        <w:pStyle w:val="Compact"/>
        <w:numPr>
          <w:ilvl w:val="0"/>
          <w:numId w:val="1011"/>
        </w:numPr>
      </w:pPr>
      <w:r>
        <w:t xml:space="preserve">Object storage for documents</w:t>
      </w:r>
    </w:p>
    <w:p>
      <w:pPr>
        <w:pStyle w:val="Compact"/>
        <w:numPr>
          <w:ilvl w:val="0"/>
          <w:numId w:val="1011"/>
        </w:numPr>
      </w:pPr>
      <w:r>
        <w:t xml:space="preserve">Search index</w:t>
      </w:r>
    </w:p>
    <w:p>
      <w:pPr>
        <w:pStyle w:val="Compact"/>
        <w:numPr>
          <w:ilvl w:val="0"/>
          <w:numId w:val="1011"/>
        </w:numPr>
      </w:pPr>
      <w:r>
        <w:t xml:space="preserve">Cache layer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ore-business-modules"/>
    <w:p>
      <w:pPr>
        <w:pStyle w:val="Heading1"/>
      </w:pPr>
      <w:r>
        <w:t xml:space="preserve">5. Core Business Modules</w:t>
      </w:r>
    </w:p>
    <w:bookmarkStart w:id="23" w:name="provider-management"/>
    <w:p>
      <w:pPr>
        <w:pStyle w:val="Heading2"/>
      </w:pPr>
      <w:r>
        <w:t xml:space="preserve">Provider Management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2"/>
        </w:numPr>
      </w:pPr>
      <w:r>
        <w:t xml:space="preserve">Provider enrollment</w:t>
      </w:r>
    </w:p>
    <w:p>
      <w:pPr>
        <w:pStyle w:val="Compact"/>
        <w:numPr>
          <w:ilvl w:val="0"/>
          <w:numId w:val="1012"/>
        </w:numPr>
      </w:pPr>
      <w:r>
        <w:t xml:space="preserve">Individual provider management</w:t>
      </w:r>
    </w:p>
    <w:p>
      <w:pPr>
        <w:pStyle w:val="Compact"/>
        <w:numPr>
          <w:ilvl w:val="0"/>
          <w:numId w:val="1012"/>
        </w:numPr>
      </w:pPr>
      <w:r>
        <w:t xml:space="preserve">Organization provider management</w:t>
      </w:r>
    </w:p>
    <w:p>
      <w:pPr>
        <w:pStyle w:val="Compact"/>
        <w:numPr>
          <w:ilvl w:val="0"/>
          <w:numId w:val="1012"/>
        </w:numPr>
      </w:pPr>
      <w:r>
        <w:t xml:space="preserve">Credentialing</w:t>
      </w:r>
    </w:p>
    <w:p>
      <w:pPr>
        <w:pStyle w:val="Compact"/>
        <w:numPr>
          <w:ilvl w:val="0"/>
          <w:numId w:val="1012"/>
        </w:numPr>
      </w:pPr>
      <w:r>
        <w:t xml:space="preserve">License management</w:t>
      </w:r>
    </w:p>
    <w:p>
      <w:pPr>
        <w:pStyle w:val="Compact"/>
        <w:numPr>
          <w:ilvl w:val="0"/>
          <w:numId w:val="1012"/>
        </w:numPr>
      </w:pPr>
      <w:r>
        <w:t xml:space="preserve">Taxonomy management</w:t>
      </w:r>
    </w:p>
    <w:p>
      <w:pPr>
        <w:pStyle w:val="Compact"/>
        <w:numPr>
          <w:ilvl w:val="0"/>
          <w:numId w:val="1012"/>
        </w:numPr>
      </w:pPr>
      <w:r>
        <w:t xml:space="preserve">Revalidation</w:t>
      </w:r>
    </w:p>
    <w:p>
      <w:pPr>
        <w:pStyle w:val="Compact"/>
        <w:numPr>
          <w:ilvl w:val="0"/>
          <w:numId w:val="1012"/>
        </w:numPr>
      </w:pPr>
      <w:r>
        <w:t xml:space="preserve">Maintenance</w:t>
      </w:r>
    </w:p>
    <w:p>
      <w:pPr>
        <w:pStyle w:val="Compact"/>
        <w:numPr>
          <w:ilvl w:val="0"/>
          <w:numId w:val="1012"/>
        </w:numPr>
      </w:pPr>
      <w:r>
        <w:t xml:space="preserve">Documents</w:t>
      </w:r>
    </w:p>
    <w:p>
      <w:pPr>
        <w:pStyle w:val="Compact"/>
        <w:numPr>
          <w:ilvl w:val="0"/>
          <w:numId w:val="1012"/>
        </w:numPr>
      </w:pPr>
      <w:r>
        <w:t xml:space="preserve">Provider history</w:t>
      </w:r>
    </w:p>
    <w:p>
      <w:r>
        <w:pict>
          <v:rect style="width:0;height:1.5pt" o:hralign="center" o:hrstd="t" o:hr="t"/>
        </w:pict>
      </w:r>
    </w:p>
    <w:bookmarkEnd w:id="23"/>
    <w:bookmarkStart w:id="24" w:name="member-management"/>
    <w:p>
      <w:pPr>
        <w:pStyle w:val="Heading2"/>
      </w:pPr>
      <w:r>
        <w:t xml:space="preserve">Member Management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3"/>
        </w:numPr>
      </w:pPr>
      <w:r>
        <w:t xml:space="preserve">Member enrollment</w:t>
      </w:r>
    </w:p>
    <w:p>
      <w:pPr>
        <w:pStyle w:val="Compact"/>
        <w:numPr>
          <w:ilvl w:val="0"/>
          <w:numId w:val="1013"/>
        </w:numPr>
      </w:pPr>
      <w:r>
        <w:t xml:space="preserve">Demographics</w:t>
      </w:r>
    </w:p>
    <w:p>
      <w:pPr>
        <w:pStyle w:val="Compact"/>
        <w:numPr>
          <w:ilvl w:val="0"/>
          <w:numId w:val="1013"/>
        </w:numPr>
      </w:pPr>
      <w:r>
        <w:t xml:space="preserve">Eligibility</w:t>
      </w:r>
    </w:p>
    <w:p>
      <w:pPr>
        <w:pStyle w:val="Compact"/>
        <w:numPr>
          <w:ilvl w:val="0"/>
          <w:numId w:val="1013"/>
        </w:numPr>
      </w:pPr>
      <w:r>
        <w:t xml:space="preserve">Coverage</w:t>
      </w:r>
    </w:p>
    <w:p>
      <w:pPr>
        <w:pStyle w:val="Compact"/>
        <w:numPr>
          <w:ilvl w:val="0"/>
          <w:numId w:val="1013"/>
        </w:numPr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t xml:space="preserve">Documents</w:t>
      </w:r>
    </w:p>
    <w:p>
      <w:pPr>
        <w:pStyle w:val="Compact"/>
        <w:numPr>
          <w:ilvl w:val="0"/>
          <w:numId w:val="1013"/>
        </w:numPr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24"/>
    <w:bookmarkStart w:id="25" w:name="claims-management"/>
    <w:p>
      <w:pPr>
        <w:pStyle w:val="Heading2"/>
      </w:pPr>
      <w:r>
        <w:t xml:space="preserve">Claims Management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4"/>
        </w:numPr>
      </w:pPr>
      <w:r>
        <w:t xml:space="preserve">Claim submission</w:t>
      </w:r>
    </w:p>
    <w:p>
      <w:pPr>
        <w:pStyle w:val="Compact"/>
        <w:numPr>
          <w:ilvl w:val="0"/>
          <w:numId w:val="1014"/>
        </w:numPr>
      </w:pPr>
      <w:r>
        <w:t xml:space="preserve">Validation</w:t>
      </w:r>
    </w:p>
    <w:p>
      <w:pPr>
        <w:pStyle w:val="Compact"/>
        <w:numPr>
          <w:ilvl w:val="0"/>
          <w:numId w:val="1014"/>
        </w:numPr>
      </w:pPr>
      <w:r>
        <w:t xml:space="preserve">Processing</w:t>
      </w:r>
    </w:p>
    <w:p>
      <w:pPr>
        <w:pStyle w:val="Compact"/>
        <w:numPr>
          <w:ilvl w:val="0"/>
          <w:numId w:val="1014"/>
        </w:numPr>
      </w:pPr>
      <w:r>
        <w:t xml:space="preserve">Payment</w:t>
      </w:r>
    </w:p>
    <w:p>
      <w:pPr>
        <w:pStyle w:val="Compact"/>
        <w:numPr>
          <w:ilvl w:val="0"/>
          <w:numId w:val="1014"/>
        </w:numPr>
      </w:pPr>
      <w:r>
        <w:t xml:space="preserve">Adjustment</w:t>
      </w:r>
    </w:p>
    <w:p>
      <w:pPr>
        <w:pStyle w:val="Compact"/>
        <w:numPr>
          <w:ilvl w:val="0"/>
          <w:numId w:val="1014"/>
        </w:numPr>
      </w:pPr>
      <w:r>
        <w:t xml:space="preserve">Denial</w:t>
      </w:r>
    </w:p>
    <w:p>
      <w:pPr>
        <w:pStyle w:val="Compact"/>
        <w:numPr>
          <w:ilvl w:val="0"/>
          <w:numId w:val="1014"/>
        </w:numPr>
      </w:pPr>
      <w:r>
        <w:t xml:space="preserve">Appeal</w:t>
      </w:r>
    </w:p>
    <w:p>
      <w:pPr>
        <w:pStyle w:val="Compact"/>
        <w:numPr>
          <w:ilvl w:val="0"/>
          <w:numId w:val="1014"/>
        </w:numPr>
      </w:pPr>
      <w:r>
        <w:t xml:space="preserve">Claim history</w:t>
      </w:r>
    </w:p>
    <w:p>
      <w:r>
        <w:pict>
          <v:rect style="width:0;height:1.5pt" o:hralign="center" o:hrstd="t" o:hr="t"/>
        </w:pict>
      </w:r>
    </w:p>
    <w:bookmarkEnd w:id="25"/>
    <w:bookmarkStart w:id="26" w:name="service-authorization"/>
    <w:p>
      <w:pPr>
        <w:pStyle w:val="Heading2"/>
      </w:pPr>
      <w:r>
        <w:t xml:space="preserve">Service Authorization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5"/>
        </w:numPr>
      </w:pPr>
      <w:r>
        <w:t xml:space="preserve">Authorization request</w:t>
      </w:r>
    </w:p>
    <w:p>
      <w:pPr>
        <w:pStyle w:val="Compact"/>
        <w:numPr>
          <w:ilvl w:val="0"/>
          <w:numId w:val="1015"/>
        </w:numPr>
      </w:pPr>
      <w:r>
        <w:t xml:space="preserve">Review workflow</w:t>
      </w:r>
    </w:p>
    <w:p>
      <w:pPr>
        <w:pStyle w:val="Compact"/>
        <w:numPr>
          <w:ilvl w:val="0"/>
          <w:numId w:val="1015"/>
        </w:numPr>
      </w:pPr>
      <w:r>
        <w:t xml:space="preserve">Approval</w:t>
      </w:r>
    </w:p>
    <w:p>
      <w:pPr>
        <w:pStyle w:val="Compact"/>
        <w:numPr>
          <w:ilvl w:val="0"/>
          <w:numId w:val="1015"/>
        </w:numPr>
      </w:pPr>
      <w:r>
        <w:t xml:space="preserve">Rejection</w:t>
      </w:r>
    </w:p>
    <w:p>
      <w:pPr>
        <w:pStyle w:val="Compact"/>
        <w:numPr>
          <w:ilvl w:val="0"/>
          <w:numId w:val="1015"/>
        </w:numPr>
      </w:pPr>
      <w:r>
        <w:t xml:space="preserve">Extensions</w:t>
      </w:r>
    </w:p>
    <w:p>
      <w:pPr>
        <w:pStyle w:val="Compact"/>
        <w:numPr>
          <w:ilvl w:val="0"/>
          <w:numId w:val="1015"/>
        </w:numPr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26"/>
    <w:bookmarkStart w:id="27" w:name="third-party-liability"/>
    <w:p>
      <w:pPr>
        <w:pStyle w:val="Heading2"/>
      </w:pPr>
      <w:r>
        <w:t xml:space="preserve">Third Party Liability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6"/>
        </w:numPr>
      </w:pPr>
      <w:r>
        <w:t xml:space="preserve">Coverage identification</w:t>
      </w:r>
    </w:p>
    <w:p>
      <w:pPr>
        <w:pStyle w:val="Compact"/>
        <w:numPr>
          <w:ilvl w:val="0"/>
          <w:numId w:val="1016"/>
        </w:numPr>
      </w:pPr>
      <w:r>
        <w:t xml:space="preserve">Coordination of benefits</w:t>
      </w:r>
    </w:p>
    <w:p>
      <w:pPr>
        <w:pStyle w:val="Compact"/>
        <w:numPr>
          <w:ilvl w:val="0"/>
          <w:numId w:val="1016"/>
        </w:numPr>
      </w:pPr>
      <w:r>
        <w:t xml:space="preserve">Recovery tracking</w:t>
      </w:r>
    </w:p>
    <w:p>
      <w:pPr>
        <w:pStyle w:val="Compact"/>
        <w:numPr>
          <w:ilvl w:val="0"/>
          <w:numId w:val="1016"/>
        </w:numPr>
      </w:pPr>
      <w:r>
        <w:t xml:space="preserve">Financial recovery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atabase-design-principles"/>
    <w:p>
      <w:pPr>
        <w:pStyle w:val="Heading1"/>
      </w:pPr>
      <w:r>
        <w:t xml:space="preserve">6. Database Design Principles</w:t>
      </w:r>
    </w:p>
    <w:p>
      <w:pPr>
        <w:pStyle w:val="FirstParagraph"/>
      </w:pPr>
      <w:r>
        <w:t xml:space="preserve">All business entities must include:</w:t>
      </w:r>
    </w:p>
    <w:p>
      <w:pPr>
        <w:pStyle w:val="BodyText"/>
      </w:pPr>
      <w:r>
        <w:t xml:space="preserve">Common audit fields:</w:t>
      </w:r>
    </w:p>
    <w:p>
      <w:pPr>
        <w:pStyle w:val="Compact"/>
        <w:numPr>
          <w:ilvl w:val="0"/>
          <w:numId w:val="1017"/>
        </w:numPr>
      </w:pPr>
      <w:r>
        <w:t xml:space="preserve">id</w:t>
      </w:r>
    </w:p>
    <w:p>
      <w:pPr>
        <w:pStyle w:val="Compact"/>
        <w:numPr>
          <w:ilvl w:val="0"/>
          <w:numId w:val="1017"/>
        </w:numPr>
      </w:pPr>
      <w:r>
        <w:t xml:space="preserve">created_at</w:t>
      </w:r>
    </w:p>
    <w:p>
      <w:pPr>
        <w:pStyle w:val="Compact"/>
        <w:numPr>
          <w:ilvl w:val="0"/>
          <w:numId w:val="1017"/>
        </w:numPr>
      </w:pPr>
      <w:r>
        <w:t xml:space="preserve">created_by</w:t>
      </w:r>
    </w:p>
    <w:p>
      <w:pPr>
        <w:pStyle w:val="Compact"/>
        <w:numPr>
          <w:ilvl w:val="0"/>
          <w:numId w:val="1017"/>
        </w:numPr>
      </w:pPr>
      <w:r>
        <w:t xml:space="preserve">updated_at</w:t>
      </w:r>
    </w:p>
    <w:p>
      <w:pPr>
        <w:pStyle w:val="Compact"/>
        <w:numPr>
          <w:ilvl w:val="0"/>
          <w:numId w:val="1017"/>
        </w:numPr>
      </w:pPr>
      <w:r>
        <w:t xml:space="preserve">updated_by</w:t>
      </w:r>
    </w:p>
    <w:p>
      <w:pPr>
        <w:pStyle w:val="Compact"/>
        <w:numPr>
          <w:ilvl w:val="0"/>
          <w:numId w:val="1017"/>
        </w:numPr>
      </w:pPr>
      <w:r>
        <w:t xml:space="preserve">version</w:t>
      </w:r>
    </w:p>
    <w:p>
      <w:pPr>
        <w:pStyle w:val="Compact"/>
        <w:numPr>
          <w:ilvl w:val="0"/>
          <w:numId w:val="1017"/>
        </w:numPr>
      </w:pPr>
      <w:r>
        <w:t xml:space="preserve">status</w:t>
      </w:r>
    </w:p>
    <w:p>
      <w:pPr>
        <w:pStyle w:val="FirstParagraph"/>
      </w:pPr>
      <w:r>
        <w:t xml:space="preserve">Additional requirements:</w:t>
      </w:r>
    </w:p>
    <w:p>
      <w:pPr>
        <w:pStyle w:val="Compact"/>
        <w:numPr>
          <w:ilvl w:val="0"/>
          <w:numId w:val="1018"/>
        </w:numPr>
      </w:pPr>
      <w:r>
        <w:t xml:space="preserve">UUID primary keys</w:t>
      </w:r>
    </w:p>
    <w:p>
      <w:pPr>
        <w:pStyle w:val="Compact"/>
        <w:numPr>
          <w:ilvl w:val="0"/>
          <w:numId w:val="1018"/>
        </w:numPr>
      </w:pPr>
      <w:r>
        <w:t xml:space="preserve">Proper indexing</w:t>
      </w:r>
    </w:p>
    <w:p>
      <w:pPr>
        <w:pStyle w:val="Compact"/>
        <w:numPr>
          <w:ilvl w:val="0"/>
          <w:numId w:val="1018"/>
        </w:numPr>
      </w:pPr>
      <w:r>
        <w:t xml:space="preserve">Foreign key relationships</w:t>
      </w:r>
    </w:p>
    <w:p>
      <w:pPr>
        <w:pStyle w:val="Compact"/>
        <w:numPr>
          <w:ilvl w:val="0"/>
          <w:numId w:val="1018"/>
        </w:numPr>
      </w:pPr>
      <w:r>
        <w:t xml:space="preserve">History tracking</w:t>
      </w:r>
    </w:p>
    <w:p>
      <w:pPr>
        <w:pStyle w:val="Compact"/>
        <w:numPr>
          <w:ilvl w:val="0"/>
          <w:numId w:val="1018"/>
        </w:numPr>
      </w:pPr>
      <w:r>
        <w:t xml:space="preserve">Soft delete where appropriate</w:t>
      </w:r>
    </w:p>
    <w:p>
      <w:r>
        <w:pict>
          <v:rect style="width:0;height:1.5pt" o:hralign="center" o:hrstd="t" o:hr="t"/>
        </w:pict>
      </w:r>
    </w:p>
    <w:bookmarkEnd w:id="29"/>
    <w:bookmarkStart w:id="30" w:name="semantic-catalog-requirements"/>
    <w:p>
      <w:pPr>
        <w:pStyle w:val="Heading1"/>
      </w:pPr>
      <w:r>
        <w:t xml:space="preserve">7. Semantic Catalog Requirements</w:t>
      </w:r>
    </w:p>
    <w:p>
      <w:pPr>
        <w:pStyle w:val="FirstParagraph"/>
      </w:pPr>
      <w:r>
        <w:t xml:space="preserve">Every database entity must have metadata:</w:t>
      </w:r>
    </w:p>
    <w:p>
      <w:pPr>
        <w:pStyle w:val="Compact"/>
        <w:numPr>
          <w:ilvl w:val="0"/>
          <w:numId w:val="1019"/>
        </w:numPr>
      </w:pPr>
      <w:r>
        <w:t xml:space="preserve">Business name</w:t>
      </w:r>
    </w:p>
    <w:p>
      <w:pPr>
        <w:pStyle w:val="Compact"/>
        <w:numPr>
          <w:ilvl w:val="0"/>
          <w:numId w:val="1019"/>
        </w:numPr>
      </w:pPr>
      <w:r>
        <w:t xml:space="preserve">Technical name</w:t>
      </w:r>
    </w:p>
    <w:p>
      <w:pPr>
        <w:pStyle w:val="Compact"/>
        <w:numPr>
          <w:ilvl w:val="0"/>
          <w:numId w:val="1019"/>
        </w:numPr>
      </w:pPr>
      <w:r>
        <w:t xml:space="preserve">Description</w:t>
      </w:r>
    </w:p>
    <w:p>
      <w:pPr>
        <w:pStyle w:val="Compact"/>
        <w:numPr>
          <w:ilvl w:val="0"/>
          <w:numId w:val="1019"/>
        </w:numPr>
      </w:pPr>
      <w:r>
        <w:t xml:space="preserve">Domain</w:t>
      </w:r>
    </w:p>
    <w:p>
      <w:pPr>
        <w:pStyle w:val="Compact"/>
        <w:numPr>
          <w:ilvl w:val="0"/>
          <w:numId w:val="1019"/>
        </w:numPr>
      </w:pPr>
      <w:r>
        <w:t xml:space="preserve">Module</w:t>
      </w:r>
    </w:p>
    <w:p>
      <w:pPr>
        <w:pStyle w:val="Compact"/>
        <w:numPr>
          <w:ilvl w:val="0"/>
          <w:numId w:val="1019"/>
        </w:numPr>
      </w:pPr>
      <w:r>
        <w:t xml:space="preserve">Synonyms</w:t>
      </w:r>
    </w:p>
    <w:p>
      <w:pPr>
        <w:pStyle w:val="Compact"/>
        <w:numPr>
          <w:ilvl w:val="0"/>
          <w:numId w:val="1019"/>
        </w:numPr>
      </w:pPr>
      <w:r>
        <w:t xml:space="preserve">Keywords</w:t>
      </w:r>
    </w:p>
    <w:p>
      <w:pPr>
        <w:pStyle w:val="Compact"/>
        <w:numPr>
          <w:ilvl w:val="0"/>
          <w:numId w:val="1019"/>
        </w:numPr>
      </w:pPr>
      <w:r>
        <w:t xml:space="preserve">Relationships</w:t>
      </w:r>
    </w:p>
    <w:p>
      <w:pPr>
        <w:pStyle w:val="Compact"/>
        <w:numPr>
          <w:ilvl w:val="0"/>
          <w:numId w:val="1019"/>
        </w:numPr>
      </w:pPr>
      <w:r>
        <w:t xml:space="preserve">Example questions</w:t>
      </w:r>
    </w:p>
    <w:p>
      <w:pPr>
        <w:pStyle w:val="Compact"/>
        <w:numPr>
          <w:ilvl w:val="0"/>
          <w:numId w:val="1019"/>
        </w:numPr>
      </w:pPr>
      <w:r>
        <w:t xml:space="preserve">Security classification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Technical Entity:</w:t>
      </w:r>
    </w:p>
    <w:p>
      <w:pPr>
        <w:pStyle w:val="BodyText"/>
      </w:pPr>
      <w:r>
        <w:t xml:space="preserve">provider_profile</w:t>
      </w:r>
    </w:p>
    <w:p>
      <w:pPr>
        <w:pStyle w:val="BodyText"/>
      </w:pPr>
      <w:r>
        <w:t xml:space="preserve">Business Entity: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AI Understanding:</w:t>
      </w:r>
    </w:p>
    <w:p>
      <w:pPr>
        <w:pStyle w:val="BodyText"/>
      </w:pPr>
      <w:r>
        <w:t xml:space="preserve">“Doctor”</w:t>
      </w:r>
      <w:r>
        <w:t xml:space="preserve">,</w:t>
      </w:r>
      <w:r>
        <w:t xml:space="preserve"> </w:t>
      </w:r>
      <w:r>
        <w:t xml:space="preserve">“Physician”</w:t>
      </w:r>
      <w:r>
        <w:t xml:space="preserve">,</w:t>
      </w:r>
      <w:r>
        <w:t xml:space="preserve"> </w:t>
      </w:r>
      <w:r>
        <w:t xml:space="preserve">“Clinic”</w:t>
      </w:r>
      <w:r>
        <w:t xml:space="preserve">,</w:t>
      </w:r>
      <w:r>
        <w:t xml:space="preserve"> </w:t>
      </w:r>
      <w:r>
        <w:t xml:space="preserve">“Healthcare Provider”</w:t>
      </w:r>
    </w:p>
    <w:p>
      <w:pPr>
        <w:pStyle w:val="BodyText"/>
      </w:pPr>
      <w:r>
        <w:t xml:space="preserve">Example questions:</w:t>
      </w:r>
    </w:p>
    <w:p>
      <w:pPr>
        <w:pStyle w:val="Compact"/>
        <w:numPr>
          <w:ilvl w:val="0"/>
          <w:numId w:val="1020"/>
        </w:numPr>
      </w:pPr>
      <w:r>
        <w:t xml:space="preserve">Show active providers</w:t>
      </w:r>
    </w:p>
    <w:p>
      <w:pPr>
        <w:pStyle w:val="Compact"/>
        <w:numPr>
          <w:ilvl w:val="0"/>
          <w:numId w:val="1020"/>
        </w:numPr>
      </w:pPr>
      <w:r>
        <w:t xml:space="preserve">Find providers pending revalidation</w:t>
      </w:r>
    </w:p>
    <w:p>
      <w:pPr>
        <w:pStyle w:val="Compact"/>
        <w:numPr>
          <w:ilvl w:val="0"/>
          <w:numId w:val="1020"/>
        </w:numPr>
      </w:pPr>
      <w:r>
        <w:t xml:space="preserve">List providers by specialty</w:t>
      </w:r>
    </w:p>
    <w:p>
      <w:r>
        <w:pict>
          <v:rect style="width:0;height:1.5pt" o:hralign="center" o:hrstd="t" o:hr="t"/>
        </w:pict>
      </w:r>
    </w:p>
    <w:bookmarkEnd w:id="30"/>
    <w:bookmarkStart w:id="31" w:name="text-to-sql-architecture"/>
    <w:p>
      <w:pPr>
        <w:pStyle w:val="Heading1"/>
      </w:pPr>
      <w:r>
        <w:t xml:space="preserve">8. Text-to-SQL Architecture</w:t>
      </w:r>
    </w:p>
    <w:p>
      <w:pPr>
        <w:pStyle w:val="FirstParagraph"/>
      </w:pPr>
      <w:r>
        <w:t xml:space="preserve">Text-to-SQL flow:</w:t>
      </w:r>
    </w:p>
    <w:p>
      <w:pPr>
        <w:pStyle w:val="BodyText"/>
      </w:pPr>
      <w:r>
        <w:t xml:space="preserve">User Question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Intent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Glossary Resolution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Semantic Entity Mapping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Permission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Query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SQL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Result Explanation</w:t>
      </w:r>
    </w:p>
    <w:p>
      <w:r>
        <w:pict>
          <v:rect style="width:0;height:1.5pt" o:hralign="center" o:hrstd="t" o:hr="t"/>
        </w:pict>
      </w:r>
    </w:p>
    <w:bookmarkEnd w:id="31"/>
    <w:bookmarkStart w:id="32" w:name="development-rules"/>
    <w:p>
      <w:pPr>
        <w:pStyle w:val="Heading1"/>
      </w:pPr>
      <w:r>
        <w:t xml:space="preserve">9. Development Rules</w:t>
      </w:r>
    </w:p>
    <w:p>
      <w:pPr>
        <w:pStyle w:val="FirstParagraph"/>
      </w:pPr>
      <w:r>
        <w:t xml:space="preserve">Before implementing any module:</w:t>
      </w:r>
    </w:p>
    <w:p>
      <w:pPr>
        <w:pStyle w:val="BodyText"/>
      </w:pPr>
      <w:r>
        <w:t xml:space="preserve">Define:</w:t>
      </w:r>
    </w:p>
    <w:p>
      <w:pPr>
        <w:pStyle w:val="Compact"/>
        <w:numPr>
          <w:ilvl w:val="0"/>
          <w:numId w:val="1021"/>
        </w:numPr>
      </w:pPr>
      <w:r>
        <w:t xml:space="preserve">Business requirements</w:t>
      </w:r>
    </w:p>
    <w:p>
      <w:pPr>
        <w:pStyle w:val="Compact"/>
        <w:numPr>
          <w:ilvl w:val="0"/>
          <w:numId w:val="1021"/>
        </w:numPr>
      </w:pPr>
      <w:r>
        <w:t xml:space="preserve">User roles</w:t>
      </w:r>
    </w:p>
    <w:p>
      <w:pPr>
        <w:pStyle w:val="Compact"/>
        <w:numPr>
          <w:ilvl w:val="0"/>
          <w:numId w:val="1021"/>
        </w:numPr>
      </w:pPr>
      <w:r>
        <w:t xml:space="preserve">UI screens</w:t>
      </w:r>
    </w:p>
    <w:p>
      <w:pPr>
        <w:pStyle w:val="Compact"/>
        <w:numPr>
          <w:ilvl w:val="0"/>
          <w:numId w:val="1021"/>
        </w:numPr>
      </w:pPr>
      <w:r>
        <w:t xml:space="preserve">Database model</w:t>
      </w:r>
    </w:p>
    <w:p>
      <w:pPr>
        <w:pStyle w:val="Compact"/>
        <w:numPr>
          <w:ilvl w:val="0"/>
          <w:numId w:val="1021"/>
        </w:numPr>
      </w:pPr>
      <w:r>
        <w:t xml:space="preserve">APIs</w:t>
      </w:r>
    </w:p>
    <w:p>
      <w:pPr>
        <w:pStyle w:val="Compact"/>
        <w:numPr>
          <w:ilvl w:val="0"/>
          <w:numId w:val="1021"/>
        </w:numPr>
      </w:pPr>
      <w:r>
        <w:t xml:space="preserve">Workflows</w:t>
      </w:r>
    </w:p>
    <w:p>
      <w:pPr>
        <w:pStyle w:val="Compact"/>
        <w:numPr>
          <w:ilvl w:val="0"/>
          <w:numId w:val="1021"/>
        </w:numPr>
      </w:pPr>
      <w:r>
        <w:t xml:space="preserve">Validation rules</w:t>
      </w:r>
    </w:p>
    <w:p>
      <w:pPr>
        <w:pStyle w:val="Compact"/>
        <w:numPr>
          <w:ilvl w:val="0"/>
          <w:numId w:val="1021"/>
        </w:numPr>
      </w:pPr>
      <w:r>
        <w:t xml:space="preserve">Security rules</w:t>
      </w:r>
    </w:p>
    <w:p>
      <w:pPr>
        <w:pStyle w:val="Compact"/>
        <w:numPr>
          <w:ilvl w:val="0"/>
          <w:numId w:val="1021"/>
        </w:numPr>
      </w:pPr>
      <w:r>
        <w:t xml:space="preserve">Reporting needs</w:t>
      </w:r>
    </w:p>
    <w:p>
      <w:pPr>
        <w:pStyle w:val="Compact"/>
        <w:numPr>
          <w:ilvl w:val="0"/>
          <w:numId w:val="1021"/>
        </w:numPr>
      </w:pPr>
      <w:r>
        <w:t xml:space="preserve">AI metadata</w:t>
      </w:r>
    </w:p>
    <w:p>
      <w:pPr>
        <w:pStyle w:val="FirstParagraph"/>
      </w:pPr>
      <w:r>
        <w:t xml:space="preserve">No module should be developed without these definitions.</w:t>
      </w:r>
    </w:p>
    <w:p>
      <w:r>
        <w:pict>
          <v:rect style="width:0;height:1.5pt" o:hralign="center" o:hrstd="t" o:hr="t"/>
        </w:pict>
      </w:r>
    </w:p>
    <w:bookmarkEnd w:id="32"/>
    <w:bookmarkStart w:id="33" w:name="long-term-goal"/>
    <w:p>
      <w:pPr>
        <w:pStyle w:val="Heading1"/>
      </w:pPr>
      <w:r>
        <w:t xml:space="preserve">10. Long-Term Goal</w:t>
      </w:r>
    </w:p>
    <w:p>
      <w:pPr>
        <w:pStyle w:val="FirstParagraph"/>
      </w:pPr>
      <w:r>
        <w:t xml:space="preserve">HEMP should become:</w:t>
      </w:r>
    </w:p>
    <w:p>
      <w:pPr>
        <w:pStyle w:val="Compact"/>
        <w:numPr>
          <w:ilvl w:val="0"/>
          <w:numId w:val="1022"/>
        </w:numPr>
      </w:pPr>
      <w:r>
        <w:t xml:space="preserve">A scalable healthcare enterprise platform.</w:t>
      </w:r>
    </w:p>
    <w:p>
      <w:pPr>
        <w:pStyle w:val="Compact"/>
        <w:numPr>
          <w:ilvl w:val="0"/>
          <w:numId w:val="1022"/>
        </w:numPr>
      </w:pPr>
      <w:r>
        <w:t xml:space="preserve">AI-ready by design.</w:t>
      </w:r>
    </w:p>
    <w:p>
      <w:pPr>
        <w:pStyle w:val="Compact"/>
        <w:numPr>
          <w:ilvl w:val="0"/>
          <w:numId w:val="1022"/>
        </w:numPr>
      </w:pPr>
      <w:r>
        <w:t xml:space="preserve">Configurable through metadata.</w:t>
      </w:r>
    </w:p>
    <w:p>
      <w:pPr>
        <w:pStyle w:val="Compact"/>
        <w:numPr>
          <w:ilvl w:val="0"/>
          <w:numId w:val="1022"/>
        </w:numPr>
      </w:pPr>
      <w:r>
        <w:t xml:space="preserve">Secure and auditable.</w:t>
      </w:r>
    </w:p>
    <w:p>
      <w:pPr>
        <w:pStyle w:val="Compact"/>
        <w:numPr>
          <w:ilvl w:val="0"/>
          <w:numId w:val="1022"/>
        </w:numPr>
      </w:pPr>
      <w:r>
        <w:t xml:space="preserve">Easy for developers and AI coding tools to understand.</w:t>
      </w:r>
    </w:p>
    <w:p>
      <w:pPr>
        <w:pStyle w:val="Compact"/>
        <w:numPr>
          <w:ilvl w:val="0"/>
          <w:numId w:val="1022"/>
        </w:numPr>
      </w:pPr>
      <w:r>
        <w:t xml:space="preserve">Extendable to additional healthcare programs and domains.</w:t>
      </w:r>
    </w:p>
    <w:p>
      <w:r>
        <w:pict>
          <v:rect style="width:0;height:1.5pt" o:hralign="center" o:hrstd="t" o:hr="t"/>
        </w:pict>
      </w:r>
    </w:p>
    <w:bookmarkEnd w:id="33"/>
    <w:bookmarkStart w:id="34" w:name="document-ownership"/>
    <w:p>
      <w:pPr>
        <w:pStyle w:val="Heading1"/>
      </w:pPr>
      <w:r>
        <w:t xml:space="preserve">Document Ownership</w:t>
      </w:r>
    </w:p>
    <w:p>
      <w:pPr>
        <w:pStyle w:val="FirstParagraph"/>
      </w:pPr>
      <w:r>
        <w:t xml:space="preserve">This document is the source of truth for:</w:t>
      </w:r>
    </w:p>
    <w:p>
      <w:pPr>
        <w:pStyle w:val="Compact"/>
        <w:numPr>
          <w:ilvl w:val="0"/>
          <w:numId w:val="1023"/>
        </w:numPr>
      </w:pPr>
      <w:r>
        <w:t xml:space="preserve">Human developers</w:t>
      </w:r>
    </w:p>
    <w:p>
      <w:pPr>
        <w:pStyle w:val="Compact"/>
        <w:numPr>
          <w:ilvl w:val="0"/>
          <w:numId w:val="1023"/>
        </w:numPr>
      </w:pPr>
      <w:r>
        <w:t xml:space="preserve">Architects</w:t>
      </w:r>
    </w:p>
    <w:p>
      <w:pPr>
        <w:pStyle w:val="Compact"/>
        <w:numPr>
          <w:ilvl w:val="0"/>
          <w:numId w:val="1023"/>
        </w:numPr>
      </w:pPr>
      <w:r>
        <w:t xml:space="preserve">AI coding assistants</w:t>
      </w:r>
    </w:p>
    <w:p>
      <w:pPr>
        <w:pStyle w:val="Compact"/>
        <w:numPr>
          <w:ilvl w:val="0"/>
          <w:numId w:val="1023"/>
        </w:numPr>
      </w:pPr>
      <w:r>
        <w:t xml:space="preserve">Documentation generators</w:t>
      </w:r>
    </w:p>
    <w:p>
      <w:pPr>
        <w:pStyle w:val="Compact"/>
        <w:numPr>
          <w:ilvl w:val="0"/>
          <w:numId w:val="1023"/>
        </w:numPr>
      </w:pPr>
      <w:r>
        <w:t xml:space="preserve">Test automation tools</w:t>
      </w:r>
    </w:p>
    <w:p>
      <w:pPr>
        <w:pStyle w:val="FirstParagraph"/>
      </w:pPr>
      <w:r>
        <w:t xml:space="preserve">Any implementation decision should be evaluated against this document.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