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1E3A5F"/>
          <w:sz w:val="72"/>
        </w:rPr>
        <w:t>ON DAXELTA</w:t>
      </w:r>
    </w:p>
    <w:p>
      <w:pPr>
        <w:jc w:val="center"/>
      </w:pPr>
      <w:r>
        <w:rPr>
          <w:rFonts w:ascii="Arial" w:hAnsi="Arial"/>
          <w:color w:val="2563EB"/>
          <w:sz w:val="40"/>
        </w:rPr>
        <w:t>Prueba Técnica — Analista de Datos</w:t>
      </w:r>
    </w:p>
    <w:p>
      <w:pPr>
        <w:jc w:val="center"/>
      </w:pPr>
      <w:r>
        <w:rPr>
          <w:rFonts w:ascii="Arial" w:hAnsi="Arial"/>
          <w:color w:val="6B7280"/>
          <w:sz w:val="28"/>
        </w:rPr>
        <w:t>Informe de sustentación</w:t>
      </w:r>
    </w:p>
    <w:p>
      <w:pPr>
        <w:pBdr>
          <w:bottom w:val="single" w:sz="6" w:color="2563EB"/>
        </w:pBdr>
      </w:pPr>
    </w:p>
    <w:p>
      <w:pPr>
        <w:jc w:val="center"/>
      </w:pPr>
      <w:r>
        <w:rPr>
          <w:rFonts w:ascii="Arial" w:hAnsi="Arial"/>
          <w:b/>
          <w:color w:val="1E3A5F"/>
          <w:sz w:val="32"/>
        </w:rPr>
        <w:t>Weizman Fabian</w:t>
      </w:r>
    </w:p>
    <w:p>
      <w:pPr>
        <w:jc w:val="center"/>
      </w:pPr>
      <w:r>
        <w:rPr>
          <w:rFonts w:ascii="Arial" w:hAnsi="Arial"/>
          <w:color w:val="6B7280"/>
          <w:sz w:val="22"/>
        </w:rPr>
        <w:t>weizmanfabian@gmail.com</w:t>
      </w:r>
    </w:p>
    <w:p>
      <w:pPr>
        <w:jc w:val="center"/>
      </w:pPr>
      <w:r>
        <w:rPr>
          <w:rFonts w:ascii="Arial" w:hAnsi="Arial"/>
          <w:color w:val="6B7280"/>
          <w:sz w:val="22"/>
        </w:rPr>
        <w:t>Mayo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1. Resumen ejecutivo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Se realizó un análisis completo del negocio de gas vehicular On Daxelta sobre una ventana de 7 días (24–30 jul 2017), cubriendo los 6 puntos requeridos por la prueba técnica. El trabajo incluyó limpieza de datos en Python, construcción de un modelo semántico en Power BI con más de 50 medidas DAX, y un dashboard interactivo de dos páginas.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38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969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Valor venta total (semana)</w:t>
            </w:r>
          </w:p>
        </w:tc>
        <w:tc>
          <w:tcPr>
            <w:tcW w:type="dxa" w:w="3969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$8.186.473.842 COP</w:t>
            </w:r>
          </w:p>
        </w:tc>
      </w:tr>
      <w:tr>
        <w:tc>
          <w:tcPr>
            <w:tcW w:type="dxa" w:w="538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Galones totales</w:t>
            </w:r>
          </w:p>
        </w:tc>
        <w:tc>
          <w:tcPr>
            <w:tcW w:type="dxa" w:w="3969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5.439.692 gal</w:t>
            </w:r>
          </w:p>
        </w:tc>
      </w:tr>
      <w:tr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Transacciones limpias</w:t>
            </w:r>
          </w:p>
        </w:tc>
        <w:tc>
          <w:tcPr>
            <w:tcW w:type="dxa" w:w="3969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735.273</w:t>
            </w:r>
          </w:p>
        </w:tc>
      </w:tr>
      <w:tr>
        <w:tc>
          <w:tcPr>
            <w:tcW w:type="dxa" w:w="538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Clientes con compras identificadas</w:t>
            </w:r>
          </w:p>
        </w:tc>
        <w:tc>
          <w:tcPr>
            <w:tcW w:type="dxa" w:w="3969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99.753 (12,4% del maestro)</w:t>
            </w:r>
          </w:p>
        </w:tc>
      </w:tr>
      <w:tr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Estaciones activas</w:t>
            </w:r>
          </w:p>
        </w:tc>
        <w:tc>
          <w:tcPr>
            <w:tcW w:type="dxa" w:w="3969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279 de 407</w:t>
            </w:r>
          </w:p>
        </w:tc>
      </w:tr>
      <w:tr>
        <w:tc>
          <w:tcPr>
            <w:tcW w:type="dxa" w:w="538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Departamentos top 80% del valor</w:t>
            </w:r>
          </w:p>
        </w:tc>
        <w:tc>
          <w:tcPr>
            <w:tcW w:type="dxa" w:w="3969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7 de 19</w:t>
            </w:r>
          </w:p>
        </w:tc>
      </w:tr>
      <w:tr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Medidas DAX construidas</w:t>
            </w:r>
          </w:p>
        </w:tc>
        <w:tc>
          <w:tcPr>
            <w:tcW w:type="dxa" w:w="3969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53</w:t>
            </w:r>
          </w:p>
        </w:tc>
      </w:tr>
      <w:tr>
        <w:tc>
          <w:tcPr>
            <w:tcW w:type="dxa" w:w="538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Hallazgos de calidad de datos</w:t>
            </w:r>
          </w:p>
        </w:tc>
        <w:tc>
          <w:tcPr>
            <w:tcW w:type="dxa" w:w="3969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27 (5 críticos · 13 advertencias · 9 informativos)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2. Proceso y herramientas utilizadas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El proyecto siguió un flujo en tres etapas: limpieza y preparación de datos, análisis analítico por punto, y visualización en Power BI.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2.1 Stack tecnológico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02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5953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34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Preparación de datos</w:t>
            </w:r>
          </w:p>
        </w:tc>
        <w:tc>
          <w:tcPr>
            <w:tcW w:type="dxa" w:w="5953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Python 3.12 — pandas, numpy, fastexcel, pyarrow</w:t>
            </w:r>
          </w:p>
        </w:tc>
      </w:tr>
      <w:tr>
        <w:tc>
          <w:tcPr>
            <w:tcW w:type="dxa" w:w="34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Visualización</w:t>
            </w:r>
          </w:p>
        </w:tc>
        <w:tc>
          <w:tcPr>
            <w:tcW w:type="dxa" w:w="595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Power BI Desktop (formato PBIP) + DAX</w:t>
            </w:r>
          </w:p>
        </w:tc>
      </w:tr>
      <w:tr>
        <w:tc>
          <w:tcPr>
            <w:tcW w:type="dxa" w:w="34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Documentación</w:t>
            </w:r>
          </w:p>
        </w:tc>
        <w:tc>
          <w:tcPr>
            <w:tcW w:type="dxa" w:w="5953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Markdown + Mermaid</w:t>
            </w:r>
          </w:p>
        </w:tc>
      </w:tr>
      <w:tr>
        <w:tc>
          <w:tcPr>
            <w:tcW w:type="dxa" w:w="34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Versionado</w:t>
            </w:r>
          </w:p>
        </w:tc>
        <w:tc>
          <w:tcPr>
            <w:tcW w:type="dxa" w:w="5953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Git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2.2 Script de limpieza: limpieza_ondaxelta.py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Se desarrolló un script de limpieza reproducible y documentado que procesa los 5 archivos fuente, genera los 4 CSVs limpios y un reporte de inconsistencias automático. Cada ejecución produce output/reporte_inconsistencias.txt con hallazgos clasificados por severidad.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Optimizaciones de rendimiento implementadas: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fastexcel (motor Rust) para lectura de Excel: 10–100× más rápido que openpyxl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Tipos de dato explícitos (dtype) al leer CSVs — evita inferencia fila a fila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Conversiones vectoriales con pandas en lugar de iteraciones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Int64 nullable para columna Edad: evita conflicto de locale colombiano (45.0 → 450 en Power BI)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2.3 Flujo de trabajo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Fuentes originales (xlsx / CSV) → limpieza_ondaxelta.py → output/*.csv → Power BI (modelo semántico + DAX) → Dashboard interactivo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3. Limpieza y calidad de datos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Se detectaron y documentaron 27 hallazgos distribuidos en 5 archivos. La filosofía de limpieza fue conservar antes que eliminar: solo se eliminan registros técnicamente inválidos. Todo lo demás se marca con banderas de calidad para filtrado selectivo en Power BI.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3.1 Hallazgos por severidad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538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CRITICO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Bloquean o distorsionan el análisis</w:t>
            </w:r>
          </w:p>
        </w:tc>
      </w:tr>
      <w:tr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ADVERTENCIA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538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Requieren compensación o documentación</w:t>
            </w:r>
          </w:p>
        </w:tc>
      </w:tr>
      <w:tr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INFO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538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Trazabilidad y contexto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3.2 Problemas críticos y sus correcciones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1E3A5F"/>
          <w:sz w:val="24"/>
        </w:rPr>
        <w:t>Header desplazado en Trans_2_Sem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El archivo Trans_2_Sem tenía el header con columnas en orden incorrecto respecto al contenido real, afectando 369.498 filas (49,9% del universo transaccional). Se reasignaron las columnas correctas en el script: Placa | IdCliente | IdEstacion | ValorVenta | Gal_Fid | Gal | FechaVenta.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1E3A5F"/>
          <w:sz w:val="24"/>
        </w:rPr>
        <w:t>FechaNacimiento no confiable (40,2% de clientes)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Fechas nulas, futuras, menores de 16 años o mayores de 100. Se creó la columna FechaNac_confiable como bandera bool para filtrar en DAX sin eliminar registros. Las medidas de edad en Power BI se calculan directamente desde FechaNacimiento con filtro de rango [16–100] para independizarse del CSV.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1E3A5F"/>
          <w:sz w:val="24"/>
        </w:rPr>
        <w:t>Duplicados en Clientes (1.421 registros)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Se detectaron 1.421 registros con IdCliente duplicado. Se deduplicó manteniendo la primera aparición, tanto en el script Python (drop_duplicates) como en Power Query (Table.Distinct).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1E3A5F"/>
          <w:sz w:val="24"/>
        </w:rPr>
        <w:t>Cardinalidad y referencia cíclica en el modelo Power BI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Una relación con filtro bidireccional (bothDirections) creaba un ciclo. Se desactivó el filtro cruzado. Una relación con cardinalidad uno-a-muchos mal configurada en Estaciones generaba error de duplicado en IdCiudad — corregido en el TMDL.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3.3 Banderas de calidad generadas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Bandera</w:t>
            </w:r>
          </w:p>
        </w:tc>
        <w:tc>
          <w:tcPr>
            <w:tcW w:type="dxa" w:w="198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4252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1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FechaNac_confiable</w:t>
            </w:r>
          </w:p>
        </w:tc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Clientes</w:t>
            </w:r>
          </w:p>
        </w:tc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Edad entre 16–100 años y fecha no nula</w:t>
            </w:r>
          </w:p>
        </w:tc>
      </w:tr>
      <w:tr>
        <w:tc>
          <w:tcPr>
            <w:tcW w:type="dxa" w:w="311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cliente_identificado</w:t>
            </w:r>
          </w:p>
        </w:tc>
        <w:tc>
          <w:tcPr>
            <w:tcW w:type="dxa" w:w="198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Trans</w:t>
            </w:r>
          </w:p>
        </w:tc>
        <w:tc>
          <w:tcPr>
            <w:tcW w:type="dxa" w:w="425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IdCliente ≠ -99999</w:t>
            </w:r>
          </w:p>
        </w:tc>
      </w:tr>
      <w:tr>
        <w:tc>
          <w:tcPr>
            <w:tcW w:type="dxa" w:w="311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EsInternacional</w:t>
            </w:r>
          </w:p>
        </w:tc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Geo</w:t>
            </w:r>
          </w:p>
        </w:tc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IdCiudad &lt; 0 (México, Chile, Perú, Venezuela)</w:t>
            </w:r>
          </w:p>
        </w:tc>
      </w:tr>
      <w:tr>
        <w:tc>
          <w:tcPr>
            <w:tcW w:type="dxa" w:w="311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outlier_valor</w:t>
            </w:r>
          </w:p>
        </w:tc>
        <w:tc>
          <w:tcPr>
            <w:tcW w:type="dxa" w:w="198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Trans</w:t>
            </w:r>
          </w:p>
        </w:tc>
        <w:tc>
          <w:tcPr>
            <w:tcW w:type="dxa" w:w="425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ValorVenta &gt; percentil 99 ($34.392)</w:t>
            </w:r>
          </w:p>
        </w:tc>
      </w:tr>
      <w:tr>
        <w:tc>
          <w:tcPr>
            <w:tcW w:type="dxa" w:w="311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outlier_gal</w:t>
            </w:r>
          </w:p>
        </w:tc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Trans</w:t>
            </w:r>
          </w:p>
        </w:tc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Gal &gt; percentil 99 (22,06 gal)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4. Análisis por punto de la prueba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1 — Volumetría del galonaje por día de la semana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16A34A"/>
            <w:tcBorders>
              <w:top w:val="single" w:sz="4" w:color="16A34A"/>
              <w:bottom w:val="single" w:sz="4" w:color="16A34A"/>
              <w:left w:val="single" w:sz="4" w:color="16A34A"/>
              <w:right w:val="single" w:sz="4" w:color="16A34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Pico viernes–sábado (30,7% del galonaje). Valle domingo (12,1%). Brecha pico/valle: +27%.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0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Galones</w:t>
            </w:r>
          </w:p>
        </w:tc>
        <w:tc>
          <w:tcPr>
            <w:tcW w:type="dxa" w:w="1020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%Gal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 venta</w:t>
            </w:r>
          </w:p>
        </w:tc>
        <w:tc>
          <w:tcPr>
            <w:tcW w:type="dxa" w:w="124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Tickets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Gal/Tx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Lunes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764.346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14,1%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$1.152M</w:t>
            </w:r>
          </w:p>
        </w:tc>
        <w:tc>
          <w:tcPr>
            <w:tcW w:type="dxa" w:w="124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101.977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7,50</w:t>
            </w:r>
          </w:p>
        </w:tc>
      </w:tr>
      <w:tr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Martes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771.806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14,2%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$1.164M</w:t>
            </w:r>
          </w:p>
        </w:tc>
        <w:tc>
          <w:tcPr>
            <w:tcW w:type="dxa" w:w="124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103.706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7,44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Miércoles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783.785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14,4%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$1.182M</w:t>
            </w:r>
          </w:p>
        </w:tc>
        <w:tc>
          <w:tcPr>
            <w:tcW w:type="dxa" w:w="124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104.494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7,50</w:t>
            </w:r>
          </w:p>
        </w:tc>
      </w:tr>
      <w:tr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Jueves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792.352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14,6%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$1.195M</w:t>
            </w:r>
          </w:p>
        </w:tc>
        <w:tc>
          <w:tcPr>
            <w:tcW w:type="dxa" w:w="124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106.647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7,43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Viernes (pico)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835.545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15,4%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$1.258M</w:t>
            </w:r>
          </w:p>
        </w:tc>
        <w:tc>
          <w:tcPr>
            <w:tcW w:type="dxa" w:w="124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111.469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7,50</w:t>
            </w:r>
          </w:p>
        </w:tc>
      </w:tr>
      <w:tr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Sábado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833.818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15,3%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$1.249M</w:t>
            </w:r>
          </w:p>
        </w:tc>
        <w:tc>
          <w:tcPr>
            <w:tcW w:type="dxa" w:w="124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113.606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7,34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Domingo (valle)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658.040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12,1%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$984M</w:t>
            </w:r>
          </w:p>
        </w:tc>
        <w:tc>
          <w:tcPr>
            <w:tcW w:type="dxa" w:w="124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93.374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7,05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sz w:val="22"/>
        </w:rPr>
        <w:t>Los días hábiles crecen monótonamente de lunes a viernes. El ticket promedio es estable ($10.543–$11.312), lo que indica que la volumetría la mueve la cantidad de transacciones, no el tamaño unitario.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2 — Pronóstico valor venta martes y miércoles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2563EB"/>
            <w:tcBorders>
              <w:top w:val="single" w:sz="4" w:color="2563EB"/>
              <w:bottom w:val="single" w:sz="4" w:color="2563EB"/>
              <w:left w:val="single" w:sz="4" w:color="2563EB"/>
              <w:right w:val="single" w:sz="4" w:color="2563EB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Naive estacional con banda de incertidumbre basada en CV (coeficiente de variación) inter-día. Con solo 7 días históricos no hay suficiente datos para ARIMA, Prophet ni Holt-Winters.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5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Pronóstico</w:t>
            </w:r>
          </w:p>
        </w:tc>
        <w:tc>
          <w:tcPr>
            <w:tcW w:type="dxa" w:w="212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Mínimo (-CV)</w:t>
            </w:r>
          </w:p>
        </w:tc>
        <w:tc>
          <w:tcPr>
            <w:tcW w:type="dxa" w:w="212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Máximo (+CV)</w:t>
            </w:r>
          </w:p>
        </w:tc>
      </w:tr>
      <w:tr>
        <w:tc>
          <w:tcPr>
            <w:tcW w:type="dxa" w:w="25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Martes 2017-08-01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$1.164.495.517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$1.071.062.777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$1.257.928.257</w:t>
            </w:r>
          </w:p>
        </w:tc>
      </w:tr>
      <w:tr>
        <w:tc>
          <w:tcPr>
            <w:tcW w:type="dxa" w:w="255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Miércoles 2017-08-02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$1.182.080.425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$1.087.258.792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$1.276.901.059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sz w:val="22"/>
        </w:rPr>
        <w:t>CV inter-día: 8,03%. La banda de incertidumbre refleja la variabilidad real de la semana analizada. Limitación documentada: con 7 días no es posible capturar estacionalidad mensual ni efectos de temporada.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3 — Comportamiento por regional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16A34A"/>
            <w:tcBorders>
              <w:top w:val="single" w:sz="4" w:color="16A34A"/>
              <w:bottom w:val="single" w:sz="4" w:color="16A34A"/>
              <w:left w:val="single" w:sz="4" w:color="16A34A"/>
              <w:right w:val="single" w:sz="4" w:color="16A34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7 departamentos concentran el 80% del valor total. Solo 2 (Valle del Cauca + Bogotá) suman el 50%.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9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835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Departamento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 venta</w:t>
            </w:r>
          </w:p>
        </w:tc>
        <w:tc>
          <w:tcPr>
            <w:tcW w:type="dxa" w:w="130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%Valor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%Acumulado</w:t>
            </w:r>
          </w:p>
        </w:tc>
      </w:tr>
      <w:tr>
        <w:tc>
          <w:tcPr>
            <w:tcW w:type="dxa" w:w="39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Valle del Cauca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$1.985M</w:t>
            </w:r>
          </w:p>
        </w:tc>
        <w:tc>
          <w:tcPr>
            <w:tcW w:type="dxa" w:w="130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24,3%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24,3%</w:t>
            </w:r>
          </w:p>
        </w:tc>
      </w:tr>
      <w:tr>
        <w:tc>
          <w:tcPr>
            <w:tcW w:type="dxa" w:w="39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Bogotá D.C.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$1.143M</w:t>
            </w:r>
          </w:p>
        </w:tc>
        <w:tc>
          <w:tcPr>
            <w:tcW w:type="dxa" w:w="130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14,0%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38,3%</w:t>
            </w:r>
          </w:p>
        </w:tc>
      </w:tr>
      <w:tr>
        <w:tc>
          <w:tcPr>
            <w:tcW w:type="dxa" w:w="39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Atlántico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$745M</w:t>
            </w:r>
          </w:p>
        </w:tc>
        <w:tc>
          <w:tcPr>
            <w:tcW w:type="dxa" w:w="130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9,1%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47,4%</w:t>
            </w:r>
          </w:p>
        </w:tc>
      </w:tr>
      <w:tr>
        <w:tc>
          <w:tcPr>
            <w:tcW w:type="dxa" w:w="39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Córdoba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$620M</w:t>
            </w:r>
          </w:p>
        </w:tc>
        <w:tc>
          <w:tcPr>
            <w:tcW w:type="dxa" w:w="130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7,6%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54,9%</w:t>
            </w:r>
          </w:p>
        </w:tc>
      </w:tr>
      <w:tr>
        <w:tc>
          <w:tcPr>
            <w:tcW w:type="dxa" w:w="39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Cesar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$603M</w:t>
            </w:r>
          </w:p>
        </w:tc>
        <w:tc>
          <w:tcPr>
            <w:tcW w:type="dxa" w:w="130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7,4%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62,3%</w:t>
            </w:r>
          </w:p>
        </w:tc>
      </w:tr>
      <w:tr>
        <w:tc>
          <w:tcPr>
            <w:tcW w:type="dxa" w:w="39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Boyacá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$569M</w:t>
            </w:r>
          </w:p>
        </w:tc>
        <w:tc>
          <w:tcPr>
            <w:tcW w:type="dxa" w:w="130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7,0%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69,3%</w:t>
            </w:r>
          </w:p>
        </w:tc>
      </w:tr>
      <w:tr>
        <w:tc>
          <w:tcPr>
            <w:tcW w:type="dxa" w:w="39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Nariño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$438M</w:t>
            </w:r>
          </w:p>
        </w:tc>
        <w:tc>
          <w:tcPr>
            <w:tcW w:type="dxa" w:w="130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5,4%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74,6%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4 — Comportamiento por estación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D97706"/>
            <w:tcBorders>
              <w:top w:val="single" w:sz="4" w:color="D97706"/>
              <w:bottom w:val="single" w:sz="4" w:color="D97706"/>
              <w:left w:val="single" w:sz="4" w:color="D97706"/>
              <w:right w:val="single" w:sz="4" w:color="D97706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166 estaciones concentran el 80% del valor (Pareto). 31,5% del maestro no operó en la semana. 51,4% de las Propias GNV estuvieron inactivas.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35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Total maestro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Activas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%Activas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%Valor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Franquiciada GNV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251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192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76,5%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43%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Propia GNV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107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52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48,6%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38%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Operadora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45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35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77,8%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19%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sz w:val="22"/>
        </w:rPr>
        <w:t>Índice de fidelización por estación (% transacciones con cliente identificado): mejor estación 94%, peor 35%, promedio 81,3%.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5 — Segmentación de clientes (RFM)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2563EB"/>
            <w:tcBorders>
              <w:top w:val="single" w:sz="4" w:color="2563EB"/>
              <w:bottom w:val="single" w:sz="4" w:color="2563EB"/>
              <w:left w:val="single" w:sz="4" w:color="2563EB"/>
              <w:right w:val="single" w:sz="4" w:color="2563EB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RFM (Recencia·Frecuencia·Monetario). Recencia con scoring manual por día (solo 7 valores únicos — qcut no aplica). F y M con quintiles balanceados sobre 99.753 clientes activos.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98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113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Clientes</w:t>
            </w:r>
          </w:p>
        </w:tc>
        <w:tc>
          <w:tcPr>
            <w:tcW w:type="dxa" w:w="1020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%Cli</w:t>
            </w:r>
          </w:p>
        </w:tc>
        <w:tc>
          <w:tcPr>
            <w:tcW w:type="dxa" w:w="1020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%Valor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 prom</w:t>
            </w:r>
          </w:p>
        </w:tc>
        <w:tc>
          <w:tcPr>
            <w:tcW w:type="dxa" w:w="1644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%Flotas</w:t>
            </w:r>
          </w:p>
        </w:tc>
      </w:tr>
      <w:tr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Champions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31.916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31,9%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58,2%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$124.176</w:t>
            </w:r>
          </w:p>
        </w:tc>
        <w:tc>
          <w:tcPr>
            <w:tcW w:type="dxa" w:w="164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12,0%</w:t>
            </w:r>
          </w:p>
        </w:tc>
      </w:tr>
      <w:tr>
        <w:tc>
          <w:tcPr>
            <w:tcW w:type="dxa" w:w="198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Leales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16.425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16,4%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16,0%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$66.425</w:t>
            </w:r>
          </w:p>
        </w:tc>
        <w:tc>
          <w:tcPr>
            <w:tcW w:type="dxa" w:w="16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3,9%</w:t>
            </w:r>
          </w:p>
        </w:tc>
      </w:tr>
      <w:tr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Nuevos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16.620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16,6%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7,4%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$30.453</w:t>
            </w:r>
          </w:p>
        </w:tc>
        <w:tc>
          <w:tcPr>
            <w:tcW w:type="dxa" w:w="164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0,0%</w:t>
            </w:r>
          </w:p>
        </w:tc>
      </w:tr>
      <w:tr>
        <w:tc>
          <w:tcPr>
            <w:tcW w:type="dxa" w:w="198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Hibernando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15.467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15,5%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4,9%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$21.771</w:t>
            </w:r>
          </w:p>
        </w:tc>
        <w:tc>
          <w:tcPr>
            <w:tcW w:type="dxa" w:w="16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0,0%</w:t>
            </w:r>
          </w:p>
        </w:tc>
      </w:tr>
      <w:tr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No puedo perderlos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226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0,2%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0,4%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$107.519</w:t>
            </w:r>
          </w:p>
        </w:tc>
        <w:tc>
          <w:tcPr>
            <w:tcW w:type="dxa" w:w="164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27,9%</w:t>
            </w:r>
          </w:p>
        </w:tc>
      </w:tr>
      <w:tr>
        <w:tc>
          <w:tcPr>
            <w:tcW w:type="dxa" w:w="198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En riesgo</w:t>
            </w:r>
          </w:p>
        </w:tc>
        <w:tc>
          <w:tcPr>
            <w:tcW w:type="dxa" w:w="113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6.820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6,8%</w:t>
            </w:r>
          </w:p>
        </w:tc>
        <w:tc>
          <w:tcPr>
            <w:tcW w:type="dxa" w:w="10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5,9%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$59.240</w:t>
            </w:r>
          </w:p>
        </w:tc>
        <w:tc>
          <w:tcPr>
            <w:tcW w:type="dxa" w:w="1644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8,1%</w:t>
            </w:r>
          </w:p>
        </w:tc>
      </w:tr>
      <w:tr>
        <w:tc>
          <w:tcPr>
            <w:tcW w:type="dxa" w:w="198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Frecuentes bajo val.</w:t>
            </w:r>
          </w:p>
        </w:tc>
        <w:tc>
          <w:tcPr>
            <w:tcW w:type="dxa" w:w="113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8.279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8,3%</w:t>
            </w:r>
          </w:p>
        </w:tc>
        <w:tc>
          <w:tcPr>
            <w:tcW w:type="dxa" w:w="10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6,3%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$52.167</w:t>
            </w:r>
          </w:p>
        </w:tc>
        <w:tc>
          <w:tcPr>
            <w:tcW w:type="dxa" w:w="1644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2,3%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sz w:val="22"/>
        </w:rPr>
        <w:t>Champions (31,9% de clientes) concentra el 58,2% del valor. Los "No puedo perderlos" tienen la mayor proporción de flotas (27,9%) — son flotas de alto valor que no compraron recientemente.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Punto 6 — Clientes de mayor valor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16A34A"/>
            <w:tcBorders>
              <w:top w:val="single" w:sz="4" w:color="16A34A"/>
              <w:bottom w:val="single" w:sz="4" w:color="16A34A"/>
              <w:left w:val="single" w:sz="4" w:color="16A34A"/>
              <w:right w:val="single" w:sz="4" w:color="16A34A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HALLAZGO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Top 1% genera el 13,4% del valor. Pareto inverso: el 80% del valor lo genera el 51,2% de los clientes — base más distribuida de lo habitual.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 acumulado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%Valor</w:t>
            </w:r>
          </w:p>
        </w:tc>
        <w:tc>
          <w:tcPr>
            <w:tcW w:type="dxa" w:w="1417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%Flotas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Top 1% (998 clientes)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$1.100M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13,4%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63%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Top 10% (9.975 cli)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$4.500M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55,0%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29%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Top 20% (19.951 cli)</w:t>
            </w:r>
          </w:p>
        </w:tc>
        <w:tc>
          <w:tcPr>
            <w:tcW w:type="dxa" w:w="226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$5.800M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70,9%</w:t>
            </w:r>
          </w:p>
        </w:tc>
        <w:tc>
          <w:tcPr>
            <w:tcW w:type="dxa" w:w="1417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18%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Top 50% (49.877 cli)</w:t>
            </w:r>
          </w:p>
        </w:tc>
        <w:tc>
          <w:tcPr>
            <w:tcW w:type="dxa" w:w="226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$7.500M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91,7%</w:t>
            </w:r>
          </w:p>
        </w:tc>
        <w:tc>
          <w:tcPr>
            <w:tcW w:type="dxa" w:w="141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8%</w:t>
            </w:r>
          </w:p>
        </w:tc>
      </w:tr>
    </w:tbl>
    <w:p>
      <w:pPr>
        <w:spacing w:before="40" w:after="40"/>
      </w:pPr>
      <w:r>
        <w:rPr>
          <w:rFonts w:ascii="Arial" w:hAnsi="Arial"/>
          <w:b w:val="0"/>
          <w:sz w:val="22"/>
        </w:rPr>
        <w:t>El top 1% tiene en promedio 8,6 placas por cliente. El 63% son flotas empresariales. La frecuencia promedio del top 10% es 3,9× la del resto.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5. Modelo semántico Power BI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El proyecto usa formato PBIP (Power BI Project), que almacena el modelo semántico en archivos TMDL versionables con Git. Se construyeron 53 medidas DAX organizadas en 8 carpetas de visualización.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5.1 Tablas del modelo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5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701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Filas</w:t>
            </w:r>
          </w:p>
        </w:tc>
        <w:tc>
          <w:tcPr>
            <w:tcW w:type="dxa" w:w="5102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Origen</w:t>
            </w:r>
          </w:p>
        </w:tc>
      </w:tr>
      <w:tr>
        <w:tc>
          <w:tcPr>
            <w:tcW w:type="dxa" w:w="255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Clientes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799.916</w:t>
            </w:r>
          </w:p>
        </w:tc>
        <w:tc>
          <w:tcPr>
            <w:tcW w:type="dxa" w:w="51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customers_clean.csv</w:t>
            </w:r>
          </w:p>
        </w:tc>
      </w:tr>
      <w:tr>
        <w:tc>
          <w:tcPr>
            <w:tcW w:type="dxa" w:w="25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Trans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735.273</w:t>
            </w:r>
          </w:p>
        </w:tc>
        <w:tc>
          <w:tcPr>
            <w:tcW w:type="dxa" w:w="51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trans_clean.csv</w:t>
            </w:r>
          </w:p>
        </w:tc>
      </w:tr>
      <w:tr>
        <w:tc>
          <w:tcPr>
            <w:tcW w:type="dxa" w:w="255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Estaciones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407</w:t>
            </w:r>
          </w:p>
        </w:tc>
        <w:tc>
          <w:tcPr>
            <w:tcW w:type="dxa" w:w="51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estaciones_clean.csv</w:t>
            </w:r>
          </w:p>
        </w:tc>
      </w:tr>
      <w:tr>
        <w:tc>
          <w:tcPr>
            <w:tcW w:type="dxa" w:w="25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Geo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1.126</w:t>
            </w:r>
          </w:p>
        </w:tc>
        <w:tc>
          <w:tcPr>
            <w:tcW w:type="dxa" w:w="51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geo_clean.csv</w:t>
            </w:r>
          </w:p>
        </w:tc>
      </w:tr>
      <w:tr>
        <w:tc>
          <w:tcPr>
            <w:tcW w:type="dxa" w:w="255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Calendario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51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Tabla DAX generada</w:t>
            </w:r>
          </w:p>
        </w:tc>
      </w:tr>
      <w:tr>
        <w:tc>
          <w:tcPr>
            <w:tcW w:type="dxa" w:w="255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Forecast</w:t>
            </w:r>
          </w:p>
        </w:tc>
        <w:tc>
          <w:tcPr>
            <w:tcW w:type="dxa" w:w="1701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51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Tabla DAX (mar/mié)</w:t>
            </w:r>
          </w:p>
        </w:tc>
      </w:tr>
      <w:tr>
        <w:tc>
          <w:tcPr>
            <w:tcW w:type="dxa" w:w="255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_Medidas</w:t>
            </w:r>
          </w:p>
        </w:tc>
        <w:tc>
          <w:tcPr>
            <w:tcW w:type="dxa" w:w="1701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 marcador</w:t>
            </w:r>
          </w:p>
        </w:tc>
        <w:tc>
          <w:tcPr>
            <w:tcW w:type="dxa" w:w="51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Tabla contenedora de 53 medidas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5.2 Medidas DAX destacadas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Medida</w:t>
            </w:r>
          </w:p>
        </w:tc>
        <w:tc>
          <w:tcPr>
            <w:tcW w:type="dxa" w:w="6520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Lógica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Segmento RFM</w:t>
            </w:r>
          </w:p>
        </w:tc>
        <w:tc>
          <w:tcPr>
            <w:tcW w:type="dxa" w:w="65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SWITCH con 10 reglas sobre R/F/M Score (columnas calculadas en tabla Clientes)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Edad Promedio</w:t>
            </w:r>
          </w:p>
        </w:tc>
        <w:tc>
          <w:tcPr>
            <w:tcW w:type="dxa" w:w="65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AVERAGEX + FILTER: rango [16–100], calculado desde FechaNacimiento, no desde CSV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Brecha Pico Valle</w:t>
            </w:r>
          </w:p>
        </w:tc>
        <w:tc>
          <w:tcPr>
            <w:tcW w:type="dxa" w:w="65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MAXX/MINX sobre todos los días para calcular variación %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Pct Acumulado Cliente</w:t>
            </w:r>
          </w:p>
        </w:tc>
        <w:tc>
          <w:tcPr>
            <w:tcW w:type="dxa" w:w="65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RANKX + DIVIDE para curva de Pareto de clientes por valor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Forecast Valor</w:t>
            </w:r>
          </w:p>
        </w:tc>
        <w:tc>
          <w:tcPr>
            <w:tcW w:type="dxa" w:w="6520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Naive estacional: replica el valor del mismo día de la semana anterior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Pct Fidelización Est.</w:t>
            </w:r>
          </w:p>
        </w:tc>
        <w:tc>
          <w:tcPr>
            <w:tcW w:type="dxa" w:w="65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DIVIDE(tx con cliente identificado, total tx) por estación</w:t>
            </w:r>
          </w:p>
        </w:tc>
      </w:tr>
    </w:tbl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5.3 Errores corregidos en el modelo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3118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Causa</w:t>
            </w:r>
          </w:p>
        </w:tc>
        <w:tc>
          <w:tcPr>
            <w:tcW w:type="dxa" w:w="3402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Edad corrupta (x10)</w:t>
            </w:r>
          </w:p>
        </w:tc>
        <w:tc>
          <w:tcPr>
            <w:tcW w:type="dxa" w:w="311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dataType: string + locale es-CO lee 45.0 → 450</w:t>
            </w:r>
          </w:p>
        </w:tc>
        <w:tc>
          <w:tcPr>
            <w:tcW w:type="dxa" w:w="34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Int64 nullable en CSV + dataType: double en TMDL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Referencia cíclica en Geo</w:t>
            </w:r>
          </w:p>
        </w:tc>
        <w:tc>
          <w:tcPr>
            <w:tcW w:type="dxa" w:w="311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Relación bothDirections + cardinalidad invertida</w:t>
            </w:r>
          </w:p>
        </w:tc>
        <w:tc>
          <w:tcPr>
            <w:tcW w:type="dxa" w:w="34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Removido crossFilteringBehavior, marcada inactiva</w:t>
            </w:r>
          </w:p>
        </w:tc>
      </w:tr>
      <w:tr>
        <w:tc>
          <w:tcPr>
            <w:tcW w:type="dxa" w:w="2835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Duplicado IdCiudad</w:t>
            </w:r>
          </w:p>
        </w:tc>
        <w:tc>
          <w:tcPr>
            <w:tcW w:type="dxa" w:w="3118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fromCardinality: one en relación inactiva</w:t>
            </w:r>
          </w:p>
        </w:tc>
        <w:tc>
          <w:tcPr>
            <w:tcW w:type="dxa" w:w="340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Removida propiedad de cardinalidad</w:t>
            </w:r>
          </w:p>
        </w:tc>
      </w:tr>
      <w:tr>
        <w:tc>
          <w:tcPr>
            <w:tcW w:type="dxa" w:w="283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/>
                <w:sz w:val="20"/>
              </w:rPr>
              <w:t>Duplicado IdCliente</w:t>
            </w:r>
          </w:p>
        </w:tc>
        <w:tc>
          <w:tcPr>
            <w:tcW w:type="dxa" w:w="311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Script no deduplicaba customers</w:t>
            </w:r>
          </w:p>
        </w:tc>
        <w:tc>
          <w:tcPr>
            <w:tcW w:type="dxa" w:w="340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Table.Distinct en PQ + drop_duplicates en Python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6. Dashboard Power BI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El archivo VisualP.pbip contiene un dashboard de dos páginas. Todas las medidas DAX respetan los filtros del usuario en tiempo real.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Página 1 — Dashboard General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6 tarjetas KPI: Valor Venta, Total Galones, Total Tickets, Clientes Únicos, % Fidelización, Ticket Promedio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Gráfico combo: tendencia diaria de galones (barras) y valor (línea)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2 gráficos de dona: distribución por Tipo de Estación y por Segmento RFM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Gráfico de barras horizontal: top departamentos por valor venta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Tabla resumen: Segmento RFM × Valor Promedio × Frecuencia × Recencia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Página 2 — Demografía — Edades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3 KPIs: Edad Promedio, % FechaNac Confiable, Clientes Con Edad Válida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Barras: Edad Promedio por Segmento RFM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Barras: Edad Promedio por tipo de cliente (Flota vs Particular)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Dona: distribución de confiabilidad de datos demográficos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Tabla: Segmento RFM × métricas de edad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5F"/>
          <w:sz w:val="40"/>
        </w:rPr>
        <w:t>7. Recomendaciones de estandarización</w:t>
      </w:r>
    </w:p>
    <w:p>
      <w:pPr>
        <w:spacing w:before="40" w:after="40"/>
      </w:pPr>
      <w:r>
        <w:rPr>
          <w:rFonts w:ascii="Arial" w:hAnsi="Arial"/>
          <w:b w:val="0"/>
          <w:sz w:val="22"/>
        </w:rPr>
        <w:t>Se generaron 12 recomendaciones priorizadas agrupadas por origen del problema.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Recomendaciones críticas (implementar inmediatamente)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DC2626"/>
            <w:tcBorders>
              <w:top w:val="single" w:sz="4" w:color="DC2626"/>
              <w:bottom w:val="single" w:sz="4" w:color="DC2626"/>
              <w:left w:val="single" w:sz="4" w:color="DC2626"/>
              <w:right w:val="single" w:sz="4" w:color="DC2626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R1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Corregir el header de Trans_2_Sem en el sistema fuente. Orden correcto: Placa | IdCliente | IdEstacion | ValorVenta | Gal_Fid | Gal | FechaVenta.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DC2626"/>
            <w:tcBorders>
              <w:top w:val="single" w:sz="4" w:color="DC2626"/>
              <w:bottom w:val="single" w:sz="4" w:color="DC2626"/>
              <w:left w:val="single" w:sz="4" w:color="DC2626"/>
              <w:right w:val="single" w:sz="4" w:color="DC2626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R2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Validación en captura para FechaNacimiento: rechazar fechas futuras y edades &lt; 16. Alerta soft para edades &gt; 100. El 40,2% de las fechas actuales no son confiables.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  <w:shd w:val="clear" w:color="auto" w:fill="DC2626"/>
            <w:tcBorders>
              <w:top w:val="single" w:sz="4" w:color="DC2626"/>
              <w:bottom w:val="single" w:sz="4" w:color="DC2626"/>
              <w:left w:val="single" w:sz="4" w:color="DC2626"/>
              <w:right w:val="single" w:sz="4" w:color="DC2626"/>
            </w:tcBorders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R3</w:t>
            </w:r>
          </w:p>
        </w:tc>
        <w:tc>
          <w:tcPr>
            <w:tcW w:type="dxa" w:w="822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rFonts w:ascii="Arial" w:hAnsi="Arial"/>
                <w:sz w:val="20"/>
              </w:rPr>
              <w:t>Eliminar la fila basura con IdEstacion = 0 de la fuente. Agregar constraint en BD: IdEstacion &gt; 0.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Recomendaciones de estandarización (semanas 3–6)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Eliminar "Sin Segmento" como categoría. Dominio cerrado propuesto: {SUSTENTO, RECORRIDO, NEGOCIO}.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Estandarizar TipoEstacion: dominio cerrado con 3 valores, sin variantes con espacios o typos.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Cambiar encoding de CSV a UTF-8 y separador estándar (coma o punto y coma). Los separadores § y £ requieren scripts especializados.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Crear diccionario de datos formal: nombre, tipo, dominio, nullable, descripción, ejemplo por columna.</w:t>
      </w:r>
    </w:p>
    <w:p>
      <w:pPr>
        <w:pStyle w:val="ListBullet"/>
        <w:spacing w:before="20" w:after="20"/>
      </w:pPr>
      <w:r>
        <w:rPr>
          <w:rFonts w:ascii="Arial" w:hAnsi="Arial"/>
          <w:sz w:val="22"/>
        </w:rPr>
        <w:t>Estandarizar IdCliente como entero: actualmente tiene -99999 mezclado con IDs reales.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563EB"/>
          <w:sz w:val="28"/>
        </w:rPr>
        <w:t>KPIs de gobierno de datos propuestos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252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KPI</w:t>
            </w:r>
          </w:p>
        </w:tc>
        <w:tc>
          <w:tcPr>
            <w:tcW w:type="dxa" w:w="212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Valor actual</w:t>
            </w:r>
          </w:p>
        </w:tc>
        <w:tc>
          <w:tcPr>
            <w:tcW w:type="dxa" w:w="2126"/>
            <w:shd w:val="clear" w:color="auto" w:fill="1E3A5F"/>
            <w:tcBorders>
              <w:top w:val="single" w:sz="4" w:color="1E3A5F"/>
              <w:bottom w:val="single" w:sz="4" w:color="1E3A5F"/>
              <w:left w:val="single" w:sz="4" w:color="1E3A5F"/>
              <w:right w:val="single" w:sz="4" w:color="1E3A5F"/>
            </w:tcBorders>
            <w:vAlign w:val="cente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% Tx con IdCliente identificado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81,3%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≥ 95%</w:t>
            </w:r>
          </w:p>
        </w:tc>
      </w:tr>
      <w:tr>
        <w:tc>
          <w:tcPr>
            <w:tcW w:type="dxa" w:w="425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% FechaNacimiento confiable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59,8%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≥ 90%</w:t>
            </w:r>
          </w:p>
        </w:tc>
      </w:tr>
      <w:tr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% Clientes con segmento clasificado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79,3%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100%</w:t>
            </w:r>
          </w:p>
        </w:tc>
      </w:tr>
      <w:tr>
        <w:tc>
          <w:tcPr>
            <w:tcW w:type="dxa" w:w="4252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% Estaciones activas / maestro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68,5%</w:t>
            </w:r>
          </w:p>
        </w:tc>
        <w:tc>
          <w:tcPr>
            <w:tcW w:type="dxa" w:w="212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≥ 90%</w:t>
            </w:r>
          </w:p>
        </w:tc>
      </w:tr>
      <w:tr>
        <w:tc>
          <w:tcPr>
            <w:tcW w:type="dxa" w:w="4252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r>
              <w:rPr>
                <w:rFonts w:ascii="Arial" w:hAnsi="Arial"/>
                <w:b w:val="0"/>
                <w:sz w:val="20"/>
              </w:rPr>
              <w:t>% Integridad referencial Trans→Est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 w:val="0"/>
                <w:sz w:val="20"/>
              </w:rPr>
              <w:t>100% ✓</w:t>
            </w:r>
          </w:p>
        </w:tc>
        <w:tc>
          <w:tcPr>
            <w:tcW w:type="dxa" w:w="2126"/>
            <w:shd w:val="clear" w:color="auto" w:fill="EFF6F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sz w:val="20"/>
              </w:rPr>
              <w:t>100%</w:t>
            </w:r>
          </w:p>
        </w:tc>
      </w:tr>
    </w:tbl>
    <w:p/>
    <w:p>
      <w:pPr>
        <w:pBdr>
          <w:bottom w:val="single" w:sz="6" w:color="2563EB"/>
        </w:pBdr>
      </w:pPr>
    </w:p>
    <w:p>
      <w:pPr>
        <w:jc w:val="center"/>
      </w:pPr>
      <w:r>
        <w:rPr>
          <w:rFonts w:ascii="Arial" w:hAnsi="Arial"/>
          <w:color w:val="6B7280"/>
          <w:sz w:val="18"/>
        </w:rPr>
        <w:t>Weizman Fabian — Prueba Técnica Analista de Datos — On Daxelta — Mayo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