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A845" w14:textId="3AF1BEFB" w:rsidR="0096142D" w:rsidRDefault="0096142D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  <w:r w:rsidRPr="0096142D"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  <w:t>Eναρμόνιση δεδομένης μελωδίας σε διαφορετικά αρμονικά ιδιώματα με χρήση του υπολογιστικού συστήματος Chameleon</w:t>
      </w:r>
    </w:p>
    <w:p w14:paraId="6738845D" w14:textId="7E3AD42D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31EAADDF" w14:textId="131D10AB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5D151CA1" w14:textId="0DF82249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0347FD2D" w14:textId="7BC852BA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4F1AB04B" w14:textId="6D2ECFD5" w:rsidR="006F5B1A" w:rsidRPr="00DE799C" w:rsidRDefault="000B6A7E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9363D"/>
          <w:sz w:val="36"/>
          <w:szCs w:val="36"/>
          <w:shd w:val="clear" w:color="auto" w:fill="FFFFFF"/>
          <w:lang w:val="en-US"/>
        </w:rPr>
        <w:t>CHAPTER</w:t>
      </w:r>
      <w:r w:rsidRPr="00DE799C"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  <w:t xml:space="preserve"> 1 </w:t>
      </w:r>
      <w:r>
        <w:rPr>
          <w:rFonts w:cstheme="minorHAnsi"/>
          <w:b/>
          <w:bCs/>
          <w:color w:val="29363D"/>
          <w:sz w:val="36"/>
          <w:szCs w:val="36"/>
          <w:shd w:val="clear" w:color="auto" w:fill="FFFFFF"/>
          <w:lang w:val="en-US"/>
        </w:rPr>
        <w:t>SKETCH</w:t>
      </w:r>
    </w:p>
    <w:p w14:paraId="2CC82C18" w14:textId="16504F9E" w:rsidR="006F5B1A" w:rsidRPr="00DE799C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220B0B09" w14:textId="1CB3194F" w:rsidR="006F5B1A" w:rsidRPr="00DE799C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1DDEB8A7" w14:textId="045EA70D" w:rsidR="006F5B1A" w:rsidRPr="00DE799C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3E3B6308" w14:textId="0753046C" w:rsidR="006F5B1A" w:rsidRPr="00DE799C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16DD66E6" w14:textId="46C139DB" w:rsidR="006F5B1A" w:rsidRPr="00DE799C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7DD55827" w14:textId="7CA3C8F3" w:rsidR="006F5B1A" w:rsidRPr="00DE799C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32610AFD" w14:textId="4FEF575D" w:rsidR="006F5B1A" w:rsidRPr="00DE799C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2BF76141" w14:textId="4C5AC59E" w:rsidR="006F5B1A" w:rsidRPr="00DE799C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515C116B" w14:textId="7D736B0F" w:rsidR="006F5B1A" w:rsidRPr="00DE799C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sz w:val="20"/>
          <w:szCs w:val="20"/>
        </w:rPr>
      </w:pPr>
      <w:r w:rsidRPr="006F5B1A">
        <w:rPr>
          <w:rFonts w:cstheme="minorHAnsi"/>
          <w:color w:val="29363D"/>
          <w:sz w:val="28"/>
          <w:szCs w:val="28"/>
          <w:shd w:val="clear" w:color="auto" w:fill="FFFFFF"/>
        </w:rPr>
        <w:t>Χριστόφορος</w:t>
      </w:r>
      <w:r w:rsidRPr="00DE799C">
        <w:rPr>
          <w:rFonts w:cstheme="minorHAnsi"/>
          <w:color w:val="29363D"/>
          <w:sz w:val="28"/>
          <w:szCs w:val="28"/>
          <w:shd w:val="clear" w:color="auto" w:fill="FFFFFF"/>
        </w:rPr>
        <w:t xml:space="preserve"> </w:t>
      </w:r>
      <w:r w:rsidRPr="006F5B1A">
        <w:rPr>
          <w:rFonts w:cstheme="minorHAnsi"/>
          <w:color w:val="29363D"/>
          <w:sz w:val="28"/>
          <w:szCs w:val="28"/>
          <w:shd w:val="clear" w:color="auto" w:fill="FFFFFF"/>
        </w:rPr>
        <w:t>Κουτσοδήμος</w:t>
      </w:r>
      <w:r w:rsidRPr="00DE799C">
        <w:rPr>
          <w:rFonts w:cstheme="minorHAnsi"/>
          <w:color w:val="29363D"/>
          <w:sz w:val="28"/>
          <w:szCs w:val="28"/>
          <w:shd w:val="clear" w:color="auto" w:fill="FFFFFF"/>
        </w:rPr>
        <w:br/>
      </w:r>
      <w:r w:rsidRPr="006F5B1A">
        <w:rPr>
          <w:rFonts w:cstheme="minorHAnsi"/>
          <w:color w:val="29363D"/>
          <w:sz w:val="28"/>
          <w:szCs w:val="28"/>
          <w:shd w:val="clear" w:color="auto" w:fill="FFFFFF"/>
        </w:rPr>
        <w:t>ΑΕΜ</w:t>
      </w:r>
      <w:r w:rsidRPr="00DE799C">
        <w:rPr>
          <w:rFonts w:cstheme="minorHAnsi"/>
          <w:color w:val="29363D"/>
          <w:sz w:val="28"/>
          <w:szCs w:val="28"/>
          <w:shd w:val="clear" w:color="auto" w:fill="FFFFFF"/>
        </w:rPr>
        <w:t>: 1827</w:t>
      </w:r>
    </w:p>
    <w:p w14:paraId="598B5CC9" w14:textId="7A221094" w:rsidR="0096142D" w:rsidRPr="0096142D" w:rsidRDefault="0096142D" w:rsidP="0096142D">
      <w:pPr>
        <w:tabs>
          <w:tab w:val="left" w:pos="2210"/>
        </w:tabs>
        <w:jc w:val="center"/>
        <w:rPr>
          <w:b/>
          <w:bCs/>
          <w:sz w:val="36"/>
          <w:szCs w:val="36"/>
        </w:rPr>
      </w:pPr>
      <w:r w:rsidRPr="00DE799C">
        <w:br w:type="page"/>
      </w:r>
      <w:r w:rsidRPr="0096142D">
        <w:rPr>
          <w:b/>
          <w:bCs/>
          <w:sz w:val="36"/>
          <w:szCs w:val="36"/>
        </w:rPr>
        <w:lastRenderedPageBreak/>
        <w:t>Πρόταση δομής εργασίας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631"/>
        <w:gridCol w:w="5591"/>
        <w:gridCol w:w="709"/>
        <w:gridCol w:w="1559"/>
      </w:tblGrid>
      <w:tr w:rsidR="007B0263" w:rsidRPr="007B0263" w14:paraId="27CA81D3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4E15403C" w14:textId="43CE39C7" w:rsidR="007B0263" w:rsidRPr="007B0263" w:rsidRDefault="007B0263" w:rsidP="007B0263">
            <w:pPr>
              <w:rPr>
                <w:b/>
                <w:bCs/>
              </w:rPr>
            </w:pPr>
            <w:r>
              <w:rPr>
                <w:b/>
                <w:bCs/>
              </w:rPr>
              <w:t>ΚΕΦΑΛΑΙΟ</w:t>
            </w:r>
          </w:p>
        </w:tc>
        <w:tc>
          <w:tcPr>
            <w:tcW w:w="5591" w:type="dxa"/>
            <w:noWrap/>
            <w:hideMark/>
          </w:tcPr>
          <w:p w14:paraId="204E2C52" w14:textId="36D1A22A" w:rsidR="007B0263" w:rsidRPr="007B0263" w:rsidRDefault="007B0263" w:rsidP="007B0263">
            <w:pPr>
              <w:rPr>
                <w:b/>
                <w:bCs/>
              </w:rPr>
            </w:pPr>
            <w:r>
              <w:rPr>
                <w:b/>
                <w:bCs/>
              </w:rPr>
              <w:t>ΠΕΡΙΕΧΟΜΕΝΟ</w:t>
            </w:r>
          </w:p>
        </w:tc>
        <w:tc>
          <w:tcPr>
            <w:tcW w:w="709" w:type="dxa"/>
            <w:noWrap/>
            <w:hideMark/>
          </w:tcPr>
          <w:p w14:paraId="7206F631" w14:textId="16725E52" w:rsidR="007B0263" w:rsidRPr="007B0263" w:rsidRDefault="007B0263" w:rsidP="007B0263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1559" w:type="dxa"/>
            <w:noWrap/>
            <w:hideMark/>
          </w:tcPr>
          <w:p w14:paraId="101F9CAE" w14:textId="6570B3A3" w:rsidR="007B0263" w:rsidRPr="007B0263" w:rsidRDefault="007B0263" w:rsidP="007B0263">
            <w:pPr>
              <w:rPr>
                <w:b/>
                <w:bCs/>
              </w:rPr>
            </w:pPr>
            <w:r>
              <w:t>ΑΡΙΘΜΟΣ ΛΕΞΕΩΝ</w:t>
            </w:r>
          </w:p>
        </w:tc>
      </w:tr>
      <w:tr w:rsidR="007B0263" w:rsidRPr="007B0263" w14:paraId="0D1A740D" w14:textId="77777777" w:rsidTr="0096142D">
        <w:trPr>
          <w:trHeight w:val="1572"/>
          <w:jc w:val="center"/>
        </w:trPr>
        <w:tc>
          <w:tcPr>
            <w:tcW w:w="2631" w:type="dxa"/>
            <w:noWrap/>
            <w:hideMark/>
          </w:tcPr>
          <w:p w14:paraId="7F96DAA1" w14:textId="77777777" w:rsidR="007B0263" w:rsidRPr="007B0263" w:rsidRDefault="007B0263" w:rsidP="007B0263">
            <w:r w:rsidRPr="007B0263">
              <w:t>Κεφάλαιο 1: Εισαγωγή στην Υπολογιστική Δημιουργικότητα</w:t>
            </w:r>
          </w:p>
        </w:tc>
        <w:tc>
          <w:tcPr>
            <w:tcW w:w="5591" w:type="dxa"/>
            <w:noWrap/>
            <w:hideMark/>
          </w:tcPr>
          <w:p w14:paraId="6636EDB3" w14:textId="73665884" w:rsidR="007B0263" w:rsidRDefault="007B0263" w:rsidP="007B0263">
            <w:pPr>
              <w:pStyle w:val="ListParagraph"/>
              <w:numPr>
                <w:ilvl w:val="0"/>
                <w:numId w:val="1"/>
              </w:numPr>
            </w:pPr>
            <w:r w:rsidRPr="007B0263">
              <w:t>Ορισμός της υπολογιστικής δημιουργικότητας</w:t>
            </w:r>
          </w:p>
          <w:p w14:paraId="1A50801E" w14:textId="77777777" w:rsidR="007B0263" w:rsidRDefault="007B0263" w:rsidP="007B0263">
            <w:pPr>
              <w:pStyle w:val="ListParagraph"/>
              <w:numPr>
                <w:ilvl w:val="0"/>
                <w:numId w:val="1"/>
              </w:numPr>
            </w:pPr>
            <w:r w:rsidRPr="007B0263">
              <w:t xml:space="preserve">Ιστορικό και σημασία της στον τομέα της μουσικής; </w:t>
            </w:r>
          </w:p>
          <w:p w14:paraId="38B18BD9" w14:textId="77777777" w:rsidR="007B0263" w:rsidRDefault="007B0263" w:rsidP="007B0263">
            <w:pPr>
              <w:pStyle w:val="ListParagraph"/>
              <w:numPr>
                <w:ilvl w:val="0"/>
                <w:numId w:val="1"/>
              </w:numPr>
            </w:pPr>
            <w:r>
              <w:t>Α</w:t>
            </w:r>
            <w:r w:rsidRPr="007B0263">
              <w:t xml:space="preserve">ναφορά της θεωρίας Εννοιολογικής Ανάμιξης ως θεωρητική βάση; </w:t>
            </w:r>
          </w:p>
          <w:p w14:paraId="594E584F" w14:textId="733E50E0" w:rsidR="007B0263" w:rsidRPr="007B0263" w:rsidRDefault="007B0263" w:rsidP="007B0263">
            <w:pPr>
              <w:pStyle w:val="ListParagraph"/>
              <w:numPr>
                <w:ilvl w:val="0"/>
                <w:numId w:val="1"/>
              </w:numPr>
            </w:pPr>
            <w:r w:rsidRPr="007B0263">
              <w:t>Στόχοι και δομή της διπλωματικής</w:t>
            </w:r>
          </w:p>
        </w:tc>
        <w:tc>
          <w:tcPr>
            <w:tcW w:w="709" w:type="dxa"/>
            <w:noWrap/>
            <w:hideMark/>
          </w:tcPr>
          <w:p w14:paraId="2D9EB86D" w14:textId="77777777" w:rsidR="007B0263" w:rsidRPr="007B0263" w:rsidRDefault="007B0263" w:rsidP="007B0263">
            <w:r w:rsidRPr="007B0263">
              <w:t>10%</w:t>
            </w:r>
          </w:p>
        </w:tc>
        <w:tc>
          <w:tcPr>
            <w:tcW w:w="1559" w:type="dxa"/>
            <w:noWrap/>
            <w:hideMark/>
          </w:tcPr>
          <w:p w14:paraId="3D15EC63" w14:textId="77777777" w:rsidR="007B0263" w:rsidRPr="007B0263" w:rsidRDefault="007B0263" w:rsidP="007B0263">
            <w:r w:rsidRPr="007B0263">
              <w:t>~2,000–3,000</w:t>
            </w:r>
          </w:p>
        </w:tc>
      </w:tr>
      <w:tr w:rsidR="007B0263" w:rsidRPr="007B0263" w14:paraId="15F78A2B" w14:textId="77777777" w:rsidTr="0096142D">
        <w:trPr>
          <w:trHeight w:val="1835"/>
          <w:jc w:val="center"/>
        </w:trPr>
        <w:tc>
          <w:tcPr>
            <w:tcW w:w="2631" w:type="dxa"/>
            <w:noWrap/>
            <w:hideMark/>
          </w:tcPr>
          <w:p w14:paraId="4AE2C148" w14:textId="77777777" w:rsidR="007B0263" w:rsidRPr="007B0263" w:rsidRDefault="007B0263" w:rsidP="007B0263">
            <w:r w:rsidRPr="007B0263">
              <w:t>Κεφάλαιο 2: Ιστορική Ανασκόπηση Συστημάτων Υπολογιστικής Εναρμόνισης Μελωδιών</w:t>
            </w:r>
          </w:p>
        </w:tc>
        <w:tc>
          <w:tcPr>
            <w:tcW w:w="5591" w:type="dxa"/>
            <w:noWrap/>
            <w:hideMark/>
          </w:tcPr>
          <w:p w14:paraId="50D3BF88" w14:textId="328DFCA3" w:rsidR="007B0263" w:rsidRDefault="007B0263" w:rsidP="007B0263">
            <w:pPr>
              <w:pStyle w:val="ListParagraph"/>
              <w:numPr>
                <w:ilvl w:val="0"/>
                <w:numId w:val="2"/>
              </w:numPr>
            </w:pPr>
            <w:r w:rsidRPr="007B0263">
              <w:t>Παρουσίαση σημαντικών συστημάτων εναρμόνισης μελωδιών μέχρι το 2014-2015</w:t>
            </w:r>
          </w:p>
          <w:p w14:paraId="33EEBD5D" w14:textId="0C21B6CF" w:rsidR="007B0263" w:rsidRDefault="007B0263" w:rsidP="007B0263">
            <w:pPr>
              <w:pStyle w:val="ListParagraph"/>
              <w:numPr>
                <w:ilvl w:val="0"/>
                <w:numId w:val="2"/>
              </w:numPr>
            </w:pPr>
            <w:r w:rsidRPr="007B0263">
              <w:t>Συγκριτική ανάλυση δυνατοτήτων και περιορισμών</w:t>
            </w:r>
          </w:p>
          <w:p w14:paraId="60D0D660" w14:textId="77777777" w:rsidR="007B0263" w:rsidRDefault="007B0263" w:rsidP="007B0263">
            <w:pPr>
              <w:pStyle w:val="ListParagraph"/>
              <w:numPr>
                <w:ilvl w:val="0"/>
                <w:numId w:val="2"/>
              </w:numPr>
            </w:pPr>
            <w:r w:rsidRPr="007B0263">
              <w:t xml:space="preserve"> Χρησιμοποιούμενες τεχνολογίες και τεχνικές;</w:t>
            </w:r>
          </w:p>
          <w:p w14:paraId="781DC796" w14:textId="79522E8D" w:rsidR="007B0263" w:rsidRPr="007B0263" w:rsidRDefault="007B0263" w:rsidP="007B0263">
            <w:pPr>
              <w:pStyle w:val="ListParagraph"/>
              <w:numPr>
                <w:ilvl w:val="0"/>
                <w:numId w:val="2"/>
              </w:numPr>
            </w:pPr>
            <w:r w:rsidRPr="007B0263">
              <w:t>Τοποθέτηση του CHAMELEON στο πλαίσιο της σχετικής έρευνας</w:t>
            </w:r>
          </w:p>
        </w:tc>
        <w:tc>
          <w:tcPr>
            <w:tcW w:w="709" w:type="dxa"/>
            <w:noWrap/>
            <w:hideMark/>
          </w:tcPr>
          <w:p w14:paraId="297EBCEE" w14:textId="77777777" w:rsidR="007B0263" w:rsidRPr="007B0263" w:rsidRDefault="007B0263" w:rsidP="007B0263">
            <w:r w:rsidRPr="007B0263">
              <w:t>15%</w:t>
            </w:r>
          </w:p>
        </w:tc>
        <w:tc>
          <w:tcPr>
            <w:tcW w:w="1559" w:type="dxa"/>
            <w:noWrap/>
            <w:hideMark/>
          </w:tcPr>
          <w:p w14:paraId="7E22BE9D" w14:textId="77777777" w:rsidR="007B0263" w:rsidRPr="007B0263" w:rsidRDefault="007B0263" w:rsidP="007B0263">
            <w:r w:rsidRPr="007B0263">
              <w:t>~3,000–4,500</w:t>
            </w:r>
          </w:p>
        </w:tc>
      </w:tr>
      <w:tr w:rsidR="007B0263" w:rsidRPr="007B0263" w14:paraId="70997A0C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547C5449" w14:textId="77777777" w:rsidR="007B0263" w:rsidRPr="007B0263" w:rsidRDefault="007B0263" w:rsidP="007B0263">
            <w:r w:rsidRPr="007B0263">
              <w:t>Κεφάλαιο 3: Παρουσίαση του Συστήματος CHAMELEON</w:t>
            </w:r>
          </w:p>
        </w:tc>
        <w:tc>
          <w:tcPr>
            <w:tcW w:w="5591" w:type="dxa"/>
            <w:noWrap/>
            <w:hideMark/>
          </w:tcPr>
          <w:p w14:paraId="53537770" w14:textId="42A6FB46" w:rsidR="007B0263" w:rsidRDefault="007B0263" w:rsidP="007B0263">
            <w:pPr>
              <w:pStyle w:val="ListParagraph"/>
              <w:numPr>
                <w:ilvl w:val="0"/>
                <w:numId w:val="3"/>
              </w:numPr>
            </w:pPr>
            <w:r w:rsidRPr="007B0263">
              <w:t>Ιστορικό ανάπτυξης και στόχοι του συστήματος</w:t>
            </w:r>
          </w:p>
          <w:p w14:paraId="2F79B409" w14:textId="4AAC5953" w:rsidR="007B0263" w:rsidRDefault="007B0263" w:rsidP="007B0263">
            <w:pPr>
              <w:pStyle w:val="ListParagraph"/>
              <w:numPr>
                <w:ilvl w:val="0"/>
                <w:numId w:val="3"/>
              </w:numPr>
            </w:pPr>
            <w:r w:rsidRPr="007B0263">
              <w:t>Περιγραφή της αρχιτεκτονικής και των βασικών λειτουργιών</w:t>
            </w:r>
          </w:p>
          <w:p w14:paraId="7B087EE4" w14:textId="0FF8DCA7" w:rsidR="007B0263" w:rsidRDefault="007B0263" w:rsidP="007B0263">
            <w:pPr>
              <w:pStyle w:val="ListParagraph"/>
              <w:numPr>
                <w:ilvl w:val="0"/>
                <w:numId w:val="3"/>
              </w:numPr>
            </w:pPr>
            <w:r w:rsidRPr="007B0263">
              <w:t>Διαδικασία μάθησης αρμονίας και δημιουργίας αρμονικών διαδοχών</w:t>
            </w:r>
          </w:p>
          <w:p w14:paraId="40BA44FE" w14:textId="50EBA43C" w:rsidR="007B0263" w:rsidRPr="007B0263" w:rsidRDefault="007B0263" w:rsidP="007B0263">
            <w:pPr>
              <w:pStyle w:val="ListParagraph"/>
              <w:numPr>
                <w:ilvl w:val="0"/>
                <w:numId w:val="3"/>
              </w:numPr>
            </w:pPr>
            <w:r w:rsidRPr="007B0263">
              <w:t xml:space="preserve"> Παραδείγματα εξόδου του συστήματος</w:t>
            </w:r>
          </w:p>
        </w:tc>
        <w:tc>
          <w:tcPr>
            <w:tcW w:w="709" w:type="dxa"/>
            <w:noWrap/>
            <w:hideMark/>
          </w:tcPr>
          <w:p w14:paraId="44F5A142" w14:textId="77777777" w:rsidR="007B0263" w:rsidRPr="007B0263" w:rsidRDefault="007B0263" w:rsidP="007B0263">
            <w:r w:rsidRPr="007B0263">
              <w:t>20%</w:t>
            </w:r>
          </w:p>
        </w:tc>
        <w:tc>
          <w:tcPr>
            <w:tcW w:w="1559" w:type="dxa"/>
            <w:noWrap/>
            <w:hideMark/>
          </w:tcPr>
          <w:p w14:paraId="1E384AC7" w14:textId="77777777" w:rsidR="007B0263" w:rsidRPr="007B0263" w:rsidRDefault="007B0263" w:rsidP="007B0263">
            <w:r w:rsidRPr="007B0263">
              <w:t>~4,000–6,000</w:t>
            </w:r>
          </w:p>
        </w:tc>
      </w:tr>
      <w:tr w:rsidR="007B0263" w:rsidRPr="007B0263" w14:paraId="588C17F6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4AEC22AF" w14:textId="77777777" w:rsidR="007B0263" w:rsidRPr="007B0263" w:rsidRDefault="007B0263" w:rsidP="007B0263">
            <w:r w:rsidRPr="007B0263">
              <w:t>Κεφάλαιο 4: Τεχνικές Πτυχές του CHAMELEON</w:t>
            </w:r>
          </w:p>
        </w:tc>
        <w:tc>
          <w:tcPr>
            <w:tcW w:w="5591" w:type="dxa"/>
            <w:noWrap/>
            <w:hideMark/>
          </w:tcPr>
          <w:p w14:paraId="5B0632DB" w14:textId="7C6711C3" w:rsidR="007B0263" w:rsidRDefault="007B0263" w:rsidP="007B0263">
            <w:pPr>
              <w:pStyle w:val="ListParagraph"/>
              <w:numPr>
                <w:ilvl w:val="0"/>
                <w:numId w:val="4"/>
              </w:numPr>
            </w:pPr>
            <w:r w:rsidRPr="007B0263">
              <w:t>Δομή και μορφοποίηση των δεδομένων εκπαίδευσης</w:t>
            </w:r>
          </w:p>
          <w:p w14:paraId="0FA99D7E" w14:textId="77777777" w:rsidR="007B0263" w:rsidRDefault="007B0263" w:rsidP="007B0263">
            <w:pPr>
              <w:pStyle w:val="ListParagraph"/>
              <w:numPr>
                <w:ilvl w:val="0"/>
                <w:numId w:val="4"/>
              </w:numPr>
            </w:pPr>
            <w:r w:rsidRPr="007B0263">
              <w:t xml:space="preserve">Αναλυτική περιγραφή των αλγορίθμων και εφαρμογών στα αρμονικά δεδομένα </w:t>
            </w:r>
          </w:p>
          <w:p w14:paraId="5FFB6505" w14:textId="3558FAFF" w:rsidR="007B0263" w:rsidRPr="007B0263" w:rsidRDefault="007B0263" w:rsidP="007B0263">
            <w:pPr>
              <w:pStyle w:val="ListParagraph"/>
              <w:numPr>
                <w:ilvl w:val="0"/>
                <w:numId w:val="4"/>
              </w:numPr>
            </w:pPr>
            <w:r>
              <w:t>Αναφορά στο</w:t>
            </w:r>
            <w:r w:rsidRPr="007B0263">
              <w:t xml:space="preserve"> GCT για την αναπαράσταση και επεξεργασία της αρμονίας</w:t>
            </w:r>
          </w:p>
        </w:tc>
        <w:tc>
          <w:tcPr>
            <w:tcW w:w="709" w:type="dxa"/>
            <w:noWrap/>
            <w:hideMark/>
          </w:tcPr>
          <w:p w14:paraId="4A5F5BAA" w14:textId="77777777" w:rsidR="007B0263" w:rsidRPr="007B0263" w:rsidRDefault="007B0263" w:rsidP="007B0263">
            <w:r w:rsidRPr="007B0263">
              <w:t>20%</w:t>
            </w:r>
          </w:p>
        </w:tc>
        <w:tc>
          <w:tcPr>
            <w:tcW w:w="1559" w:type="dxa"/>
            <w:noWrap/>
            <w:hideMark/>
          </w:tcPr>
          <w:p w14:paraId="474C6359" w14:textId="77777777" w:rsidR="007B0263" w:rsidRPr="007B0263" w:rsidRDefault="007B0263" w:rsidP="007B0263">
            <w:r w:rsidRPr="007B0263">
              <w:t>~4,000–6,000</w:t>
            </w:r>
          </w:p>
        </w:tc>
      </w:tr>
      <w:tr w:rsidR="007B0263" w:rsidRPr="007B0263" w14:paraId="26B45A9B" w14:textId="77777777" w:rsidTr="0096142D">
        <w:trPr>
          <w:trHeight w:val="1201"/>
          <w:jc w:val="center"/>
        </w:trPr>
        <w:tc>
          <w:tcPr>
            <w:tcW w:w="2631" w:type="dxa"/>
            <w:noWrap/>
            <w:hideMark/>
          </w:tcPr>
          <w:p w14:paraId="11800EEA" w14:textId="77777777" w:rsidR="007B0263" w:rsidRPr="007B0263" w:rsidRDefault="007B0263" w:rsidP="007B0263">
            <w:r w:rsidRPr="007B0263">
              <w:t>Κεφάλαιο 5: Εμπειρική Αξιολόγηση της Απόδοσης</w:t>
            </w:r>
          </w:p>
        </w:tc>
        <w:tc>
          <w:tcPr>
            <w:tcW w:w="5591" w:type="dxa"/>
            <w:noWrap/>
            <w:hideMark/>
          </w:tcPr>
          <w:p w14:paraId="2A845CE3" w14:textId="31A1D238" w:rsidR="007B0263" w:rsidRDefault="007B0263" w:rsidP="007B0263">
            <w:pPr>
              <w:pStyle w:val="ListParagraph"/>
              <w:numPr>
                <w:ilvl w:val="0"/>
                <w:numId w:val="5"/>
              </w:numPr>
            </w:pPr>
            <w:r w:rsidRPr="007B0263">
              <w:t>Αξιολόγηση των αποτελεσμάτων μέσω ακροατηριακής κατηγοριοποίησης και προτίμησης</w:t>
            </w:r>
          </w:p>
          <w:p w14:paraId="2A210B87" w14:textId="280A700F" w:rsidR="007B0263" w:rsidRDefault="007B0263" w:rsidP="007B0263">
            <w:pPr>
              <w:pStyle w:val="ListParagraph"/>
              <w:numPr>
                <w:ilvl w:val="0"/>
                <w:numId w:val="5"/>
              </w:numPr>
            </w:pPr>
            <w:r w:rsidRPr="007B0263">
              <w:t>Στατιστική ανάλυση αποτελεσμάτων και ερμηνεία</w:t>
            </w:r>
          </w:p>
          <w:p w14:paraId="78C8D29D" w14:textId="6E9A2241" w:rsidR="007B0263" w:rsidRPr="007B0263" w:rsidRDefault="007B0263" w:rsidP="007B0263">
            <w:pPr>
              <w:pStyle w:val="ListParagraph"/>
              <w:numPr>
                <w:ilvl w:val="0"/>
                <w:numId w:val="5"/>
              </w:numPr>
            </w:pPr>
            <w:r w:rsidRPr="007B0263">
              <w:t>Συζήτηση των ευρημάτων</w:t>
            </w:r>
          </w:p>
        </w:tc>
        <w:tc>
          <w:tcPr>
            <w:tcW w:w="709" w:type="dxa"/>
            <w:noWrap/>
            <w:hideMark/>
          </w:tcPr>
          <w:p w14:paraId="4B44C64C" w14:textId="77777777" w:rsidR="007B0263" w:rsidRPr="007B0263" w:rsidRDefault="007B0263" w:rsidP="007B0263">
            <w:r w:rsidRPr="007B0263">
              <w:t>20%</w:t>
            </w:r>
          </w:p>
        </w:tc>
        <w:tc>
          <w:tcPr>
            <w:tcW w:w="1559" w:type="dxa"/>
            <w:noWrap/>
            <w:hideMark/>
          </w:tcPr>
          <w:p w14:paraId="287835CA" w14:textId="77777777" w:rsidR="007B0263" w:rsidRPr="007B0263" w:rsidRDefault="007B0263" w:rsidP="007B0263">
            <w:r w:rsidRPr="007B0263">
              <w:t>~4,000–6,000</w:t>
            </w:r>
          </w:p>
        </w:tc>
      </w:tr>
      <w:tr w:rsidR="007B0263" w:rsidRPr="007B0263" w14:paraId="2F5AFF72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7004A613" w14:textId="77777777" w:rsidR="007B0263" w:rsidRPr="007B0263" w:rsidRDefault="007B0263" w:rsidP="007B0263">
            <w:r w:rsidRPr="007B0263">
              <w:t>Κεφάλαιο 6: Συγκριτική Ανάλυση και Συζήτηση</w:t>
            </w:r>
          </w:p>
        </w:tc>
        <w:tc>
          <w:tcPr>
            <w:tcW w:w="5591" w:type="dxa"/>
            <w:noWrap/>
            <w:hideMark/>
          </w:tcPr>
          <w:p w14:paraId="09B46CF5" w14:textId="77777777" w:rsidR="007B0263" w:rsidRDefault="007B0263" w:rsidP="007B0263">
            <w:pPr>
              <w:pStyle w:val="ListParagraph"/>
              <w:numPr>
                <w:ilvl w:val="0"/>
                <w:numId w:val="6"/>
              </w:numPr>
            </w:pPr>
            <w:r w:rsidRPr="007B0263">
              <w:t xml:space="preserve">Σύγκριση του CHAMELEON με άλλα υπολογιστικά συστήματα; </w:t>
            </w:r>
          </w:p>
          <w:p w14:paraId="36C8DE17" w14:textId="5E23FBFB" w:rsidR="007B0263" w:rsidRDefault="007B0263" w:rsidP="007B0263">
            <w:pPr>
              <w:pStyle w:val="ListParagraph"/>
              <w:numPr>
                <w:ilvl w:val="0"/>
                <w:numId w:val="6"/>
              </w:numPr>
            </w:pPr>
            <w:r w:rsidRPr="007B0263">
              <w:t>Αξιολόγηση ισχυρών και αδύναμων σημείων</w:t>
            </w:r>
          </w:p>
          <w:p w14:paraId="7D6428D3" w14:textId="52FCE0F6" w:rsidR="007B0263" w:rsidRPr="007B0263" w:rsidRDefault="007B0263" w:rsidP="007B0263">
            <w:pPr>
              <w:pStyle w:val="ListParagraph"/>
              <w:numPr>
                <w:ilvl w:val="0"/>
                <w:numId w:val="6"/>
              </w:numPr>
            </w:pPr>
            <w:r>
              <w:t>Π</w:t>
            </w:r>
            <w:r w:rsidRPr="007B0263">
              <w:t>ροτάσεις για βελτιώσεις και μελλοντική έρευνα</w:t>
            </w:r>
          </w:p>
        </w:tc>
        <w:tc>
          <w:tcPr>
            <w:tcW w:w="709" w:type="dxa"/>
            <w:noWrap/>
            <w:hideMark/>
          </w:tcPr>
          <w:p w14:paraId="067F25A9" w14:textId="77777777" w:rsidR="007B0263" w:rsidRPr="007B0263" w:rsidRDefault="007B0263" w:rsidP="007B0263">
            <w:r w:rsidRPr="007B0263">
              <w:t>10%</w:t>
            </w:r>
          </w:p>
        </w:tc>
        <w:tc>
          <w:tcPr>
            <w:tcW w:w="1559" w:type="dxa"/>
            <w:noWrap/>
            <w:hideMark/>
          </w:tcPr>
          <w:p w14:paraId="56D47360" w14:textId="77777777" w:rsidR="007B0263" w:rsidRPr="007B0263" w:rsidRDefault="007B0263" w:rsidP="007B0263">
            <w:r w:rsidRPr="007B0263">
              <w:t>~2,000–3,000</w:t>
            </w:r>
          </w:p>
        </w:tc>
      </w:tr>
      <w:tr w:rsidR="007B0263" w:rsidRPr="007B0263" w14:paraId="69F5EF38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51067C86" w14:textId="77777777" w:rsidR="007B0263" w:rsidRPr="007B0263" w:rsidRDefault="007B0263" w:rsidP="007B0263">
            <w:r w:rsidRPr="007B0263">
              <w:t>Κεφάλαιο 7: Συμπεράσματα και Μελλοντικές Κατευθύνσεις</w:t>
            </w:r>
          </w:p>
        </w:tc>
        <w:tc>
          <w:tcPr>
            <w:tcW w:w="5591" w:type="dxa"/>
            <w:noWrap/>
            <w:hideMark/>
          </w:tcPr>
          <w:p w14:paraId="5893DB9B" w14:textId="179C5906" w:rsidR="007B0263" w:rsidRDefault="007B0263" w:rsidP="007B0263">
            <w:pPr>
              <w:pStyle w:val="ListParagraph"/>
              <w:numPr>
                <w:ilvl w:val="0"/>
                <w:numId w:val="7"/>
              </w:numPr>
            </w:pPr>
            <w:r w:rsidRPr="007B0263">
              <w:t xml:space="preserve">Περίληψη βασικών ευρημάτων </w:t>
            </w:r>
          </w:p>
          <w:p w14:paraId="6BFCF9B3" w14:textId="64100715" w:rsidR="007B0263" w:rsidRDefault="007B0263" w:rsidP="007B0263">
            <w:pPr>
              <w:pStyle w:val="ListParagraph"/>
              <w:numPr>
                <w:ilvl w:val="0"/>
                <w:numId w:val="7"/>
              </w:numPr>
            </w:pPr>
            <w:r w:rsidRPr="007B0263">
              <w:t>Συμβολή της έρευνας στην υπολογιστική δημιουργικότητα</w:t>
            </w:r>
          </w:p>
          <w:p w14:paraId="00E3FECB" w14:textId="63042F0D" w:rsidR="007B0263" w:rsidRPr="007B0263" w:rsidRDefault="007B0263" w:rsidP="007B0263">
            <w:pPr>
              <w:pStyle w:val="ListParagraph"/>
              <w:numPr>
                <w:ilvl w:val="0"/>
                <w:numId w:val="7"/>
              </w:numPr>
            </w:pPr>
            <w:r w:rsidRPr="007B0263">
              <w:t>Προτάσεις για μελλοντικές εξελίξεις</w:t>
            </w:r>
          </w:p>
        </w:tc>
        <w:tc>
          <w:tcPr>
            <w:tcW w:w="709" w:type="dxa"/>
            <w:noWrap/>
            <w:hideMark/>
          </w:tcPr>
          <w:p w14:paraId="45B26A9E" w14:textId="77777777" w:rsidR="007B0263" w:rsidRPr="007B0263" w:rsidRDefault="007B0263" w:rsidP="007B0263">
            <w:r w:rsidRPr="007B0263">
              <w:t>5%</w:t>
            </w:r>
          </w:p>
        </w:tc>
        <w:tc>
          <w:tcPr>
            <w:tcW w:w="1559" w:type="dxa"/>
            <w:noWrap/>
            <w:hideMark/>
          </w:tcPr>
          <w:p w14:paraId="68B10411" w14:textId="77777777" w:rsidR="007B0263" w:rsidRPr="007B0263" w:rsidRDefault="007B0263" w:rsidP="007B0263">
            <w:r w:rsidRPr="007B0263">
              <w:t>~1,000–1,500</w:t>
            </w:r>
          </w:p>
        </w:tc>
      </w:tr>
      <w:tr w:rsidR="007B0263" w:rsidRPr="007B0263" w14:paraId="3DD5B13B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1AE71887" w14:textId="4968AB5D" w:rsidR="007B0263" w:rsidRPr="007B0263" w:rsidRDefault="006F5B1A" w:rsidP="007B0263">
            <w:r>
              <w:t>Κεφάλαιο 8:</w:t>
            </w:r>
            <w:r>
              <w:br/>
            </w:r>
            <w:r w:rsidR="007B0263" w:rsidRPr="007B0263">
              <w:t>Βιβλιογραφία</w:t>
            </w:r>
          </w:p>
        </w:tc>
        <w:tc>
          <w:tcPr>
            <w:tcW w:w="5591" w:type="dxa"/>
            <w:noWrap/>
            <w:hideMark/>
          </w:tcPr>
          <w:p w14:paraId="2EA4BD13" w14:textId="77777777" w:rsidR="007B0263" w:rsidRPr="007B0263" w:rsidRDefault="007B0263" w:rsidP="007B0263">
            <w:r w:rsidRPr="007B0263">
              <w:t>Αναφορές με βάση το πρότυπο APA</w:t>
            </w:r>
          </w:p>
        </w:tc>
        <w:tc>
          <w:tcPr>
            <w:tcW w:w="709" w:type="dxa"/>
            <w:noWrap/>
            <w:hideMark/>
          </w:tcPr>
          <w:p w14:paraId="00F64711" w14:textId="77777777" w:rsidR="007B0263" w:rsidRPr="007B0263" w:rsidRDefault="007B0263" w:rsidP="007B0263">
            <w:r w:rsidRPr="007B0263">
              <w:t>---</w:t>
            </w:r>
          </w:p>
        </w:tc>
        <w:tc>
          <w:tcPr>
            <w:tcW w:w="1559" w:type="dxa"/>
            <w:noWrap/>
            <w:hideMark/>
          </w:tcPr>
          <w:p w14:paraId="0310FD65" w14:textId="77777777" w:rsidR="007B0263" w:rsidRPr="007B0263" w:rsidRDefault="007B0263" w:rsidP="007B0263">
            <w:r w:rsidRPr="007B0263">
              <w:t>---</w:t>
            </w:r>
          </w:p>
        </w:tc>
      </w:tr>
      <w:tr w:rsidR="007B0263" w:rsidRPr="007B0263" w14:paraId="1B220436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49FD09D9" w14:textId="7C433FC1" w:rsidR="007B0263" w:rsidRPr="007B0263" w:rsidRDefault="007B0263" w:rsidP="007B0263">
            <w:r w:rsidRPr="007B0263">
              <w:t>Παραρτήματα (</w:t>
            </w:r>
            <w:r w:rsidR="006F5B1A">
              <w:rPr>
                <w:lang w:val="en-US"/>
              </w:rPr>
              <w:t>optional</w:t>
            </w:r>
            <w:r w:rsidRPr="007B0263">
              <w:t>)</w:t>
            </w:r>
          </w:p>
        </w:tc>
        <w:tc>
          <w:tcPr>
            <w:tcW w:w="5591" w:type="dxa"/>
            <w:noWrap/>
            <w:hideMark/>
          </w:tcPr>
          <w:p w14:paraId="0B6F9A29" w14:textId="77777777" w:rsidR="007B0263" w:rsidRPr="007B0263" w:rsidRDefault="007B0263" w:rsidP="007B0263">
            <w:r w:rsidRPr="007B0263">
              <w:t>Συμπληρωματικό υλικό (π.χ., δεδομένα πειραμάτων, εικόνες, αποσπάσματα κώδικα)</w:t>
            </w:r>
          </w:p>
        </w:tc>
        <w:tc>
          <w:tcPr>
            <w:tcW w:w="709" w:type="dxa"/>
            <w:noWrap/>
            <w:hideMark/>
          </w:tcPr>
          <w:p w14:paraId="5379BF94" w14:textId="77777777" w:rsidR="007B0263" w:rsidRPr="007B0263" w:rsidRDefault="007B0263" w:rsidP="007B0263">
            <w:r w:rsidRPr="007B0263">
              <w:t>---</w:t>
            </w:r>
          </w:p>
        </w:tc>
        <w:tc>
          <w:tcPr>
            <w:tcW w:w="1559" w:type="dxa"/>
            <w:noWrap/>
            <w:hideMark/>
          </w:tcPr>
          <w:p w14:paraId="00B782D0" w14:textId="77777777" w:rsidR="007B0263" w:rsidRPr="007B0263" w:rsidRDefault="007B0263" w:rsidP="007B0263">
            <w:r w:rsidRPr="007B0263">
              <w:t>---</w:t>
            </w:r>
          </w:p>
        </w:tc>
      </w:tr>
    </w:tbl>
    <w:p w14:paraId="38ED5EB5" w14:textId="07E30910" w:rsidR="00100CBD" w:rsidRDefault="00DE799C"/>
    <w:p w14:paraId="2BDF51B4" w14:textId="314E2448" w:rsidR="0096142D" w:rsidRDefault="0096142D"/>
    <w:p w14:paraId="1DD2B959" w14:textId="381D40FB" w:rsidR="0096142D" w:rsidRPr="00B04C07" w:rsidRDefault="0096142D">
      <w:pPr>
        <w:rPr>
          <w:lang w:val="en-US"/>
        </w:rPr>
      </w:pPr>
    </w:p>
    <w:p w14:paraId="3DD6B2EE" w14:textId="709B1EF0" w:rsidR="0096142D" w:rsidRDefault="0096142D"/>
    <w:p w14:paraId="09FECC29" w14:textId="7AF759F2" w:rsidR="0096142D" w:rsidRDefault="0096142D" w:rsidP="0096142D">
      <w:pPr>
        <w:jc w:val="center"/>
        <w:rPr>
          <w:b/>
          <w:bCs/>
          <w:sz w:val="28"/>
          <w:szCs w:val="28"/>
        </w:rPr>
      </w:pPr>
      <w:r w:rsidRPr="0096142D">
        <w:rPr>
          <w:b/>
          <w:bCs/>
          <w:sz w:val="28"/>
          <w:szCs w:val="28"/>
        </w:rPr>
        <w:t>1.ΕΙΣΑΓΩΓΗ ΣΤΗΝ ΥΠΟΛΟΓΙΣΤΙΚΗ ΔΗΜΙΟΥΡΓΙΚΟΤΗΤΑ</w:t>
      </w:r>
    </w:p>
    <w:p w14:paraId="7E429AE9" w14:textId="5C3DE28A" w:rsidR="0096142D" w:rsidRDefault="0096142D" w:rsidP="0096142D">
      <w:pPr>
        <w:jc w:val="center"/>
        <w:rPr>
          <w:b/>
          <w:bCs/>
          <w:sz w:val="28"/>
          <w:szCs w:val="28"/>
        </w:rPr>
      </w:pPr>
    </w:p>
    <w:p w14:paraId="4D28B8C0" w14:textId="2D953AFA" w:rsidR="0096142D" w:rsidRDefault="0096142D" w:rsidP="0096142D">
      <w:r w:rsidRPr="0096142D">
        <w:rPr>
          <w:b/>
          <w:bCs/>
          <w:lang w:val="en-US"/>
        </w:rPr>
        <w:t>1.1</w:t>
      </w:r>
      <w:r>
        <w:rPr>
          <w:lang w:val="en-US"/>
        </w:rPr>
        <w:t xml:space="preserve"> </w:t>
      </w:r>
      <w:r w:rsidRPr="007B0263">
        <w:t>Ορισμός της υπολογιστικής δημιουργικότητας</w:t>
      </w:r>
    </w:p>
    <w:p w14:paraId="740ABE59" w14:textId="77777777" w:rsidR="0096142D" w:rsidRPr="0096142D" w:rsidRDefault="0096142D" w:rsidP="0096142D">
      <w:pPr>
        <w:rPr>
          <w:lang w:val="en-US"/>
        </w:rPr>
      </w:pPr>
      <w:r>
        <w:rPr>
          <w:lang w:val="en-US"/>
        </w:rPr>
        <w:tab/>
      </w:r>
      <w:r w:rsidRPr="0096142D">
        <w:rPr>
          <w:lang w:val="en-US"/>
        </w:rPr>
        <w:t xml:space="preserve">  </w:t>
      </w:r>
    </w:p>
    <w:p w14:paraId="495A367B" w14:textId="69949FFF" w:rsidR="000B6A7E" w:rsidRDefault="000B6A7E" w:rsidP="000B6A7E">
      <w:pPr>
        <w:ind w:firstLine="720"/>
      </w:pPr>
      <w:r w:rsidRPr="000B6A7E">
        <w:t>Η έννοια της "υπολογιστικής δημιουργικότητας" (</w:t>
      </w:r>
      <w:r w:rsidRPr="000B6A7E">
        <w:rPr>
          <w:lang w:val="en-US"/>
        </w:rPr>
        <w:t>computational</w:t>
      </w:r>
      <w:r w:rsidRPr="000B6A7E">
        <w:t xml:space="preserve"> </w:t>
      </w:r>
      <w:r w:rsidRPr="000B6A7E">
        <w:rPr>
          <w:lang w:val="en-US"/>
        </w:rPr>
        <w:t>creativity</w:t>
      </w:r>
      <w:r w:rsidRPr="000B6A7E">
        <w:t xml:space="preserve">) αναφέρεται στη διεπιστημονική μελέτη της δημιουργικής διαδικασίας μέσω υπολογιστικών μέσων, με στόχο την κατανόηση, προσομοίωση ή ακόμα και την ενίσχυση της ανθρώπινης δημιουργικότητας. Σύμφωνα με τον </w:t>
      </w:r>
      <w:r w:rsidRPr="000B6A7E">
        <w:rPr>
          <w:lang w:val="en-US"/>
        </w:rPr>
        <w:t>P</w:t>
      </w:r>
      <w:r w:rsidRPr="000B6A7E">
        <w:t>é</w:t>
      </w:r>
      <w:proofErr w:type="spellStart"/>
      <w:r w:rsidRPr="000B6A7E">
        <w:rPr>
          <w:lang w:val="en-US"/>
        </w:rPr>
        <w:t>rez</w:t>
      </w:r>
      <w:proofErr w:type="spellEnd"/>
      <w:r w:rsidRPr="000B6A7E">
        <w:t xml:space="preserve"> </w:t>
      </w:r>
      <w:r w:rsidRPr="000B6A7E">
        <w:rPr>
          <w:lang w:val="en-US"/>
        </w:rPr>
        <w:t>y</w:t>
      </w:r>
      <w:r w:rsidRPr="000B6A7E">
        <w:t xml:space="preserve"> </w:t>
      </w:r>
      <w:r w:rsidRPr="000B6A7E">
        <w:rPr>
          <w:lang w:val="en-US"/>
        </w:rPr>
        <w:t>P</w:t>
      </w:r>
      <w:r w:rsidRPr="000B6A7E">
        <w:t>é</w:t>
      </w:r>
      <w:proofErr w:type="spellStart"/>
      <w:r w:rsidRPr="000B6A7E">
        <w:rPr>
          <w:lang w:val="en-US"/>
        </w:rPr>
        <w:t>rez</w:t>
      </w:r>
      <w:proofErr w:type="spellEnd"/>
      <w:r w:rsidRPr="000B6A7E">
        <w:t xml:space="preserve"> (2012), ο τομέας αυτός χρησιμοποιεί υπολογιστικές μεθόδους για να αναλύσει και να αναπαραστήσει τη δημιουργική διαδικασία.</w:t>
      </w:r>
    </w:p>
    <w:p w14:paraId="40FEDCF3" w14:textId="3D5AC636" w:rsidR="000B6A7E" w:rsidRPr="000B6A7E" w:rsidRDefault="000B6A7E" w:rsidP="000B6A7E">
      <w:pPr>
        <w:ind w:firstLine="720"/>
      </w:pPr>
      <w:r w:rsidRPr="000B6A7E">
        <w:t xml:space="preserve">Μια από τις πρώτες προσπάθειες για την παροχή θεωρητικού πλαισίου στη μελέτη της δημιουργικότητας στην τεχνητή νοημοσύνη προέρχεται από τη </w:t>
      </w:r>
      <w:r w:rsidRPr="000B6A7E">
        <w:rPr>
          <w:lang w:val="en-US"/>
        </w:rPr>
        <w:t>Margaret</w:t>
      </w:r>
      <w:r w:rsidRPr="000B6A7E">
        <w:t xml:space="preserve"> </w:t>
      </w:r>
      <w:r w:rsidRPr="000B6A7E">
        <w:rPr>
          <w:lang w:val="en-US"/>
        </w:rPr>
        <w:t>Boden</w:t>
      </w:r>
      <w:r w:rsidRPr="000B6A7E">
        <w:t xml:space="preserve">(1978), η οποία συνεχίζει να έχει φιλοσοφική επιρροή στον τομέα της υπολογιστικής δημιουργικότητας. </w:t>
      </w:r>
    </w:p>
    <w:p w14:paraId="270D6E36" w14:textId="242DCA46" w:rsidR="006F5B1A" w:rsidRDefault="000B6A7E" w:rsidP="000B6A7E">
      <w:pPr>
        <w:ind w:firstLine="720"/>
      </w:pPr>
      <w:r w:rsidRPr="000B6A7E">
        <w:t xml:space="preserve">Σύμφωνα με τον </w:t>
      </w:r>
      <w:r w:rsidRPr="000B6A7E">
        <w:rPr>
          <w:lang w:val="en-US"/>
        </w:rPr>
        <w:t>Colton</w:t>
      </w:r>
      <w:r w:rsidRPr="000B6A7E">
        <w:t xml:space="preserve"> και τον </w:t>
      </w:r>
      <w:r w:rsidRPr="000B6A7E">
        <w:rPr>
          <w:lang w:val="en-US"/>
        </w:rPr>
        <w:t>Wiggins</w:t>
      </w:r>
      <w:r w:rsidRPr="000B6A7E">
        <w:t xml:space="preserve"> (2012), η υπολογιστική δημιουργικότητα ορίζεται ως "η φιλοσοφία, η επιστήμη και η μηχανική των υπολογιστικών συστημάτων που παρουσιάζουν συμπεριφορές που θα μπορούσαν ακριβώς να χαρακτηριστούν ως δημιουργικές αν παρατηρούνταν σε ανθρώπους.</w:t>
      </w:r>
    </w:p>
    <w:p w14:paraId="0BB5AC4F" w14:textId="77777777" w:rsidR="00F56CE2" w:rsidRPr="000B6A7E" w:rsidRDefault="00F56CE2" w:rsidP="000B6A7E">
      <w:pPr>
        <w:ind w:firstLine="720"/>
      </w:pPr>
    </w:p>
    <w:p w14:paraId="3F060426" w14:textId="5D410C46" w:rsidR="0096142D" w:rsidRDefault="006F5B1A" w:rsidP="00F56CE2">
      <w:pPr>
        <w:jc w:val="center"/>
      </w:pPr>
      <w:r w:rsidRPr="006F5B1A">
        <w:rPr>
          <w:b/>
          <w:bCs/>
        </w:rPr>
        <w:t>1</w:t>
      </w:r>
      <w:r w:rsidR="0096142D" w:rsidRPr="006F5B1A">
        <w:rPr>
          <w:b/>
          <w:bCs/>
        </w:rPr>
        <w:t>.2</w:t>
      </w:r>
      <w:r>
        <w:t xml:space="preserve"> Η υπολογιστική δημιουργικότητα στη μουσική μέχρι σήμερα (2015)</w:t>
      </w:r>
    </w:p>
    <w:p w14:paraId="2380C9D3" w14:textId="77777777" w:rsidR="006F5B1A" w:rsidRDefault="006F5B1A" w:rsidP="0096142D"/>
    <w:p w14:paraId="4EFF2EA4" w14:textId="012FD164" w:rsidR="00F3306A" w:rsidRDefault="00F3306A" w:rsidP="00F3306A">
      <w:pPr>
        <w:ind w:firstLine="720"/>
      </w:pPr>
      <w:r>
        <w:t>Η υπολογιστική δημιουργικότητα στη μουσική ξεκίνησε με τα πρώτα πειράματα αυτόματης σύνθεσης. Ένα από τα σημαντικά συστήματα ήταν το "Illiac Suite" (1957) των Lejaren Hiller και Leonard Isaacson, η πρώτη σύνθεση που δημιουργήθηκε με τη χρήση υπολογιστή (Hiller &amp; Isaacson, 1959).</w:t>
      </w:r>
      <w:r w:rsidRPr="00F3306A">
        <w:t xml:space="preserve"> </w:t>
      </w:r>
      <w:r>
        <w:t>Το έργο αυτό άνοιξε τον δρόμο για τη χρήση υπολογιστών στη μουσική ανάλυση και παραγωγή.</w:t>
      </w:r>
      <w:r w:rsidR="00F56CE2" w:rsidRPr="00F56CE2">
        <w:t xml:space="preserve"> </w:t>
      </w:r>
      <w:r w:rsidR="00F56CE2" w:rsidRPr="00F56CE2">
        <w:rPr>
          <w:rFonts w:hint="eastAsia"/>
        </w:rPr>
        <w:t>Η</w:t>
      </w:r>
      <w:r w:rsidR="00F56CE2" w:rsidRPr="00F56CE2">
        <w:t xml:space="preserve"> μουσική, ως δημιουργική έκφραση, αποτέλε</w:t>
      </w:r>
      <w:r w:rsidR="00F56CE2">
        <w:t>σε</w:t>
      </w:r>
      <w:r w:rsidR="00F56CE2" w:rsidRPr="00F56CE2">
        <w:t xml:space="preserve"> αντικείμενο υπολογιστικής ανάλυσης και πειραματισμού με στόχο τη δημιουργία νέων μουσικών</w:t>
      </w:r>
      <w:r>
        <w:t>.</w:t>
      </w:r>
    </w:p>
    <w:p w14:paraId="5B99F28A" w14:textId="4CBC969B" w:rsidR="00FF4A39" w:rsidRDefault="00F56CE2" w:rsidP="00FF4A39">
      <w:pPr>
        <w:ind w:firstLine="720"/>
      </w:pPr>
      <w:r>
        <w:t xml:space="preserve">Πολλά συστήματα έχουν συμβάλει στην ανάπτυξη της υπολογιστικής δημιουργικότητας στη μουσική. Συστήματα όπως το EMI (Experiments in Musical Intelligence) </w:t>
      </w:r>
      <w:r w:rsidR="00FF4A39">
        <w:t xml:space="preserve">του David Cope </w:t>
      </w:r>
      <w:r>
        <w:t>και το OMax έχουν εφαρμόσει τεχνικές βασισμένες σε Μαρκοβιανά μοντέλα και τεχνητή νοημοσύνη για τη σύνθεση νέων μουσικών έργων (Assayag &amp; Dubnov, 2004).</w:t>
      </w:r>
      <w:r w:rsidR="00FF4A39" w:rsidRPr="00FF4A39">
        <w:t xml:space="preserve"> </w:t>
      </w:r>
      <w:r w:rsidR="00FF4A39">
        <w:t>Το EMI, συγκεκριμένα, κατάφερε να παράγει νέες συνθέσεις που διατηρούσαν τα χαρακτηριστικά συγκεκριμένων συνθετών, προκαλώντας συζητήσεις σχετικά με την αυθεντικότητα και τη δημιουργικότητα στις υπολογιστικές τέχνες (Cope, 1991).</w:t>
      </w:r>
    </w:p>
    <w:p w14:paraId="33213BFC" w14:textId="44109F50" w:rsidR="00F56CE2" w:rsidRDefault="00FF4A39" w:rsidP="00FF4A39">
      <w:pPr>
        <w:ind w:firstLine="720"/>
      </w:pPr>
      <w:r>
        <w:t>Το O</w:t>
      </w:r>
      <w:r w:rsidR="00610A70">
        <w:t>m</w:t>
      </w:r>
      <w:r>
        <w:t>ax</w:t>
      </w:r>
      <w:r w:rsidR="00610A70">
        <w:t>,</w:t>
      </w:r>
      <w:r>
        <w:t xml:space="preserve"> </w:t>
      </w:r>
      <w:r w:rsidR="00610A70">
        <w:t>με τη χρήση</w:t>
      </w:r>
      <w:r>
        <w:t xml:space="preserve"> τεχνικ</w:t>
      </w:r>
      <w:r w:rsidR="00610A70">
        <w:t>ών</w:t>
      </w:r>
      <w:r>
        <w:t xml:space="preserve"> ανάλυσης ήχου σε πραγματικό χρόνο για αυτοσχεδιαστική μουσική, διε</w:t>
      </w:r>
      <w:r w:rsidR="00610A70">
        <w:t>ύρυνε</w:t>
      </w:r>
      <w:r>
        <w:t xml:space="preserve"> τις δυνατότητες της ζωντανής </w:t>
      </w:r>
      <w:r w:rsidR="00610A70">
        <w:t>εκτέλεσης και συνεργασίας</w:t>
      </w:r>
      <w:r>
        <w:t xml:space="preserve"> με την υποστήριξη της τεχνητής νοημοσύνης (Assayag &amp; Dubnov, 2004).</w:t>
      </w:r>
    </w:p>
    <w:p w14:paraId="75DA314C" w14:textId="79EA8A47" w:rsidR="00F56CE2" w:rsidRDefault="00F56CE2" w:rsidP="00F56CE2">
      <w:pPr>
        <w:ind w:firstLine="720"/>
      </w:pPr>
      <w:r>
        <w:t>Οι εξελίξεις αυτές έχουν ανοίξει τον δρόμο για νέες ερευνητικές κατευθύνσεις στην αυτοματοποιημένη δημιουργικότητα, προσφέροντας στους μουσικούς εργαλεία για σύνθεση και εναρμόνιση που επεκτείνουν τις δυνατότητες της ανθρώπινης φαντασίας.</w:t>
      </w:r>
    </w:p>
    <w:p w14:paraId="35C7BB0F" w14:textId="77777777" w:rsidR="00610A70" w:rsidRPr="00F56CE2" w:rsidRDefault="00610A70" w:rsidP="00F56CE2">
      <w:pPr>
        <w:ind w:firstLine="720"/>
      </w:pPr>
    </w:p>
    <w:p w14:paraId="6860B9D3" w14:textId="77777777" w:rsidR="006F5B1A" w:rsidRPr="006F5B1A" w:rsidRDefault="006F5B1A" w:rsidP="006F5B1A">
      <w:pPr>
        <w:rPr>
          <w:b/>
          <w:bCs/>
        </w:rPr>
      </w:pPr>
    </w:p>
    <w:p w14:paraId="1A382F4D" w14:textId="787B6B6B" w:rsidR="006F5B1A" w:rsidRPr="006F5B1A" w:rsidRDefault="006F5B1A" w:rsidP="0096142D"/>
    <w:p w14:paraId="31D4EEE5" w14:textId="77777777" w:rsidR="006F5B1A" w:rsidRPr="006F5B1A" w:rsidRDefault="006F5B1A" w:rsidP="0096142D"/>
    <w:p w14:paraId="462F8111" w14:textId="77777777" w:rsidR="006F5B1A" w:rsidRPr="006F5B1A" w:rsidRDefault="006F5B1A" w:rsidP="0096142D"/>
    <w:p w14:paraId="466BDF5C" w14:textId="77777777" w:rsidR="0096142D" w:rsidRPr="006F5B1A" w:rsidRDefault="0096142D" w:rsidP="0096142D">
      <w:pPr>
        <w:rPr>
          <w:b/>
          <w:bCs/>
          <w:sz w:val="28"/>
          <w:szCs w:val="28"/>
        </w:rPr>
      </w:pPr>
    </w:p>
    <w:p w14:paraId="2EE2ACC2" w14:textId="490A5BA7" w:rsidR="0096142D" w:rsidRPr="006F5B1A" w:rsidRDefault="0096142D" w:rsidP="0096142D">
      <w:pPr>
        <w:ind w:left="360"/>
        <w:jc w:val="center"/>
        <w:rPr>
          <w:b/>
          <w:bCs/>
          <w:sz w:val="28"/>
          <w:szCs w:val="28"/>
        </w:rPr>
      </w:pPr>
    </w:p>
    <w:p w14:paraId="2D6AF2F5" w14:textId="18A10EB2" w:rsidR="0096142D" w:rsidRDefault="0096142D" w:rsidP="0096142D">
      <w:pPr>
        <w:rPr>
          <w:b/>
          <w:bCs/>
        </w:rPr>
      </w:pPr>
    </w:p>
    <w:p w14:paraId="75BD892B" w14:textId="034433E8" w:rsidR="00F3306A" w:rsidRDefault="00F3306A" w:rsidP="0096142D">
      <w:pPr>
        <w:rPr>
          <w:b/>
          <w:bCs/>
        </w:rPr>
      </w:pPr>
    </w:p>
    <w:p w14:paraId="6A87F35E" w14:textId="7C903DCE" w:rsidR="00F3306A" w:rsidRDefault="00F3306A" w:rsidP="0096142D">
      <w:pPr>
        <w:rPr>
          <w:b/>
          <w:bCs/>
        </w:rPr>
      </w:pPr>
    </w:p>
    <w:p w14:paraId="44A004D1" w14:textId="49E59EDE" w:rsidR="00F3306A" w:rsidRDefault="00F3306A" w:rsidP="0096142D">
      <w:pPr>
        <w:rPr>
          <w:b/>
          <w:bCs/>
        </w:rPr>
      </w:pPr>
    </w:p>
    <w:p w14:paraId="090C756E" w14:textId="3E01BB14" w:rsidR="00F3306A" w:rsidRDefault="00F3306A" w:rsidP="0096142D">
      <w:pPr>
        <w:rPr>
          <w:b/>
          <w:bCs/>
        </w:rPr>
      </w:pPr>
    </w:p>
    <w:p w14:paraId="6372B7FE" w14:textId="7765C3AC" w:rsidR="00F3306A" w:rsidRDefault="00F3306A" w:rsidP="0096142D">
      <w:pPr>
        <w:rPr>
          <w:b/>
          <w:bCs/>
        </w:rPr>
      </w:pPr>
    </w:p>
    <w:p w14:paraId="1610A6E8" w14:textId="17DFCADB" w:rsidR="00DE799C" w:rsidRDefault="00DE799C" w:rsidP="0096142D">
      <w:pPr>
        <w:rPr>
          <w:b/>
          <w:bCs/>
        </w:rPr>
      </w:pPr>
    </w:p>
    <w:p w14:paraId="7F75EC5A" w14:textId="69F92CC2" w:rsidR="00DE799C" w:rsidRDefault="00DE799C" w:rsidP="0096142D">
      <w:pPr>
        <w:rPr>
          <w:b/>
          <w:bCs/>
        </w:rPr>
      </w:pPr>
    </w:p>
    <w:p w14:paraId="1736F641" w14:textId="3291E50B" w:rsidR="00DE799C" w:rsidRDefault="00DE799C" w:rsidP="0096142D">
      <w:pPr>
        <w:rPr>
          <w:b/>
          <w:bCs/>
        </w:rPr>
      </w:pPr>
    </w:p>
    <w:p w14:paraId="220CB123" w14:textId="5BF452E5" w:rsidR="00DE799C" w:rsidRDefault="00DE799C" w:rsidP="0096142D">
      <w:pPr>
        <w:rPr>
          <w:b/>
          <w:bCs/>
        </w:rPr>
      </w:pPr>
    </w:p>
    <w:p w14:paraId="471D0A76" w14:textId="40272097" w:rsidR="00DE799C" w:rsidRDefault="00DE799C" w:rsidP="0096142D">
      <w:pPr>
        <w:rPr>
          <w:b/>
          <w:bCs/>
        </w:rPr>
      </w:pPr>
    </w:p>
    <w:p w14:paraId="381A24E3" w14:textId="5E05DEBF" w:rsidR="00DE799C" w:rsidRDefault="00DE799C" w:rsidP="0096142D">
      <w:pPr>
        <w:rPr>
          <w:b/>
          <w:bCs/>
        </w:rPr>
      </w:pPr>
    </w:p>
    <w:p w14:paraId="223F2DC4" w14:textId="6CCB6CA7" w:rsidR="00DE799C" w:rsidRDefault="00DE799C" w:rsidP="0096142D">
      <w:pPr>
        <w:rPr>
          <w:b/>
          <w:bCs/>
        </w:rPr>
      </w:pPr>
    </w:p>
    <w:p w14:paraId="53142233" w14:textId="4670EF25" w:rsidR="00DE799C" w:rsidRDefault="00DE799C" w:rsidP="0096142D">
      <w:pPr>
        <w:rPr>
          <w:b/>
          <w:bCs/>
        </w:rPr>
      </w:pPr>
    </w:p>
    <w:p w14:paraId="75933881" w14:textId="2BEB9371" w:rsidR="00DE799C" w:rsidRDefault="00DE799C" w:rsidP="0096142D">
      <w:pPr>
        <w:rPr>
          <w:b/>
          <w:bCs/>
        </w:rPr>
      </w:pPr>
    </w:p>
    <w:p w14:paraId="07842328" w14:textId="7345657C" w:rsidR="00DE799C" w:rsidRDefault="00DE799C" w:rsidP="0096142D">
      <w:pPr>
        <w:rPr>
          <w:b/>
          <w:bCs/>
        </w:rPr>
      </w:pPr>
    </w:p>
    <w:p w14:paraId="4853297A" w14:textId="396B08A9" w:rsidR="00DE799C" w:rsidRDefault="00DE799C" w:rsidP="0096142D">
      <w:pPr>
        <w:rPr>
          <w:b/>
          <w:bCs/>
        </w:rPr>
      </w:pPr>
    </w:p>
    <w:p w14:paraId="5A37FEFB" w14:textId="313DB6E1" w:rsidR="00DE799C" w:rsidRDefault="00DE799C" w:rsidP="0096142D">
      <w:pPr>
        <w:rPr>
          <w:b/>
          <w:bCs/>
        </w:rPr>
      </w:pPr>
    </w:p>
    <w:p w14:paraId="279DAB75" w14:textId="66C7798C" w:rsidR="00DE799C" w:rsidRDefault="00DE799C" w:rsidP="0096142D">
      <w:pPr>
        <w:rPr>
          <w:b/>
          <w:bCs/>
        </w:rPr>
      </w:pPr>
    </w:p>
    <w:p w14:paraId="0D8EEC18" w14:textId="3F040E57" w:rsidR="00DE799C" w:rsidRDefault="00DE799C" w:rsidP="0096142D">
      <w:pPr>
        <w:rPr>
          <w:b/>
          <w:bCs/>
        </w:rPr>
      </w:pPr>
    </w:p>
    <w:p w14:paraId="19A6ED3C" w14:textId="33E7D12B" w:rsidR="00DE799C" w:rsidRDefault="00DE799C" w:rsidP="0096142D">
      <w:pPr>
        <w:rPr>
          <w:b/>
          <w:bCs/>
        </w:rPr>
      </w:pPr>
    </w:p>
    <w:p w14:paraId="5F502534" w14:textId="20B019C7" w:rsidR="00DE799C" w:rsidRDefault="00DE799C" w:rsidP="0096142D">
      <w:pPr>
        <w:rPr>
          <w:b/>
          <w:bCs/>
        </w:rPr>
      </w:pPr>
    </w:p>
    <w:p w14:paraId="1ED9B1A0" w14:textId="208001CC" w:rsidR="00DE799C" w:rsidRDefault="00DE799C" w:rsidP="0096142D">
      <w:pPr>
        <w:rPr>
          <w:b/>
          <w:bCs/>
        </w:rPr>
      </w:pPr>
    </w:p>
    <w:p w14:paraId="69D1AB33" w14:textId="77777777" w:rsidR="00DE799C" w:rsidRDefault="00DE799C" w:rsidP="0096142D">
      <w:pPr>
        <w:rPr>
          <w:b/>
          <w:bCs/>
        </w:rPr>
      </w:pPr>
      <w:bookmarkStart w:id="0" w:name="_GoBack"/>
      <w:bookmarkEnd w:id="0"/>
    </w:p>
    <w:p w14:paraId="5EB1AA94" w14:textId="4C7FF9A8" w:rsidR="00F3306A" w:rsidRDefault="00F3306A" w:rsidP="00F3306A">
      <w:pPr>
        <w:rPr>
          <w:lang w:val="en-US"/>
        </w:rPr>
      </w:pPr>
      <w:r w:rsidRPr="00F3306A">
        <w:rPr>
          <w:lang w:val="en-US"/>
        </w:rPr>
        <w:lastRenderedPageBreak/>
        <w:t>Hiller</w:t>
      </w:r>
      <w:r w:rsidRPr="00DE799C">
        <w:t xml:space="preserve">, </w:t>
      </w:r>
      <w:r w:rsidRPr="00F3306A">
        <w:rPr>
          <w:lang w:val="en-US"/>
        </w:rPr>
        <w:t>L</w:t>
      </w:r>
      <w:r w:rsidRPr="00DE799C">
        <w:t xml:space="preserve">. </w:t>
      </w:r>
      <w:r w:rsidRPr="00F3306A">
        <w:rPr>
          <w:lang w:val="en-US"/>
        </w:rPr>
        <w:t>A</w:t>
      </w:r>
      <w:r w:rsidRPr="00DE799C">
        <w:t xml:space="preserve">., &amp; </w:t>
      </w:r>
      <w:r w:rsidRPr="00F3306A">
        <w:rPr>
          <w:lang w:val="en-US"/>
        </w:rPr>
        <w:t>Isaacson</w:t>
      </w:r>
      <w:r w:rsidRPr="00DE799C">
        <w:t xml:space="preserve">, </w:t>
      </w:r>
      <w:r w:rsidRPr="00F3306A">
        <w:rPr>
          <w:lang w:val="en-US"/>
        </w:rPr>
        <w:t>L</w:t>
      </w:r>
      <w:r w:rsidRPr="00DE799C">
        <w:t xml:space="preserve">. </w:t>
      </w:r>
      <w:r w:rsidRPr="00F3306A">
        <w:rPr>
          <w:lang w:val="en-US"/>
        </w:rPr>
        <w:t>M</w:t>
      </w:r>
      <w:r w:rsidRPr="00DE799C">
        <w:t xml:space="preserve">. (1959). </w:t>
      </w:r>
      <w:r w:rsidRPr="00F3306A">
        <w:rPr>
          <w:lang w:val="en-US"/>
        </w:rPr>
        <w:t>Experimental music: Composition with an electronic computer</w:t>
      </w:r>
      <w:r>
        <w:rPr>
          <w:lang w:val="en-US"/>
        </w:rPr>
        <w:t>. (</w:t>
      </w:r>
      <w:r w:rsidRPr="00F3306A">
        <w:rPr>
          <w:lang w:val="en-US"/>
        </w:rPr>
        <w:t xml:space="preserve">First </w:t>
      </w:r>
      <w:r>
        <w:rPr>
          <w:lang w:val="en-US"/>
        </w:rPr>
        <w:t xml:space="preserve">   </w:t>
      </w:r>
      <w:r w:rsidRPr="00F3306A">
        <w:rPr>
          <w:lang w:val="en-US"/>
        </w:rPr>
        <w:t>Edition</w:t>
      </w:r>
      <w:r>
        <w:rPr>
          <w:lang w:val="en-US"/>
        </w:rPr>
        <w:t xml:space="preserve">) </w:t>
      </w:r>
      <w:r w:rsidRPr="00F3306A">
        <w:rPr>
          <w:lang w:val="en-US"/>
        </w:rPr>
        <w:t>McGraw Hill</w:t>
      </w:r>
      <w:r>
        <w:rPr>
          <w:lang w:val="en-US"/>
        </w:rPr>
        <w:t>.</w:t>
      </w:r>
    </w:p>
    <w:p w14:paraId="64997832" w14:textId="77777777" w:rsidR="00F3306A" w:rsidRPr="00F3306A" w:rsidRDefault="00F3306A" w:rsidP="00F3306A">
      <w:pPr>
        <w:rPr>
          <w:b/>
          <w:bCs/>
          <w:lang w:val="en-US"/>
        </w:rPr>
      </w:pPr>
    </w:p>
    <w:sectPr w:rsidR="00F3306A" w:rsidRPr="00F3306A" w:rsidSect="0096142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0341"/>
    <w:multiLevelType w:val="hybridMultilevel"/>
    <w:tmpl w:val="0D607D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0718"/>
    <w:multiLevelType w:val="hybridMultilevel"/>
    <w:tmpl w:val="97143E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E6DF2"/>
    <w:multiLevelType w:val="hybridMultilevel"/>
    <w:tmpl w:val="5FA21E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96725"/>
    <w:multiLevelType w:val="multilevel"/>
    <w:tmpl w:val="713ED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B0F6205"/>
    <w:multiLevelType w:val="hybridMultilevel"/>
    <w:tmpl w:val="6E6E02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5450D"/>
    <w:multiLevelType w:val="hybridMultilevel"/>
    <w:tmpl w:val="B9F680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12E48"/>
    <w:multiLevelType w:val="hybridMultilevel"/>
    <w:tmpl w:val="80A6CC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E5747"/>
    <w:multiLevelType w:val="hybridMultilevel"/>
    <w:tmpl w:val="25F482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5C6B"/>
    <w:multiLevelType w:val="hybridMultilevel"/>
    <w:tmpl w:val="934424A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2218C"/>
    <w:multiLevelType w:val="multilevel"/>
    <w:tmpl w:val="49B2B4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8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0"/>
    <w:rsid w:val="000B6A7E"/>
    <w:rsid w:val="005778F0"/>
    <w:rsid w:val="00610A70"/>
    <w:rsid w:val="006E00F8"/>
    <w:rsid w:val="006F5B1A"/>
    <w:rsid w:val="007007D1"/>
    <w:rsid w:val="007B0263"/>
    <w:rsid w:val="0096142D"/>
    <w:rsid w:val="00B04C07"/>
    <w:rsid w:val="00B11075"/>
    <w:rsid w:val="00DE799C"/>
    <w:rsid w:val="00F3306A"/>
    <w:rsid w:val="00F56CE2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08BB"/>
  <w15:chartTrackingRefBased/>
  <w15:docId w15:val="{A58E3990-538F-4DA7-870A-3FE7B4CC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5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697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667">
          <w:marLeft w:val="0"/>
          <w:marRight w:val="-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8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767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avenus BEATS</dc:creator>
  <cp:keywords/>
  <dc:description/>
  <cp:lastModifiedBy>avenus BEATS</cp:lastModifiedBy>
  <cp:revision>8</cp:revision>
  <dcterms:created xsi:type="dcterms:W3CDTF">2025-02-06T18:30:00Z</dcterms:created>
  <dcterms:modified xsi:type="dcterms:W3CDTF">2025-02-07T20:40:00Z</dcterms:modified>
</cp:coreProperties>
</file>