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60"/>
        <w:jc w:val="left"/>
        <w:rPr>
          <w:sz w:val="24"/>
        </w:rPr>
      </w:pPr>
      <w:r>
        <w:rPr>
          <w:sz w:val="24"/>
        </w:rPr>
        <w:t>* Please fill it out briefly with a total length l</w:t>
      </w:r>
      <w:r>
        <w:rPr>
          <w:b/>
          <w:sz w:val="24"/>
        </w:rPr>
        <w:t>ess than 14 pages</w:t>
      </w:r>
      <w:r>
        <w:rPr>
          <w:sz w:val="24"/>
        </w:rPr>
        <w:t xml:space="preserve"> in total (</w:t>
      </w:r>
      <w:r>
        <w:rPr>
          <w:b/>
          <w:sz w:val="24"/>
        </w:rPr>
        <w:t>font size 11</w:t>
      </w:r>
      <w:r>
        <w:rPr>
          <w:sz w:val="24"/>
        </w:rPr>
        <w:t xml:space="preserve"> at A4 size).</w:t>
      </w:r>
    </w:p>
    <w:p>
      <w:pPr>
        <w:pStyle w:val="Normal"/>
        <w:bidi w:val="0"/>
        <w:spacing w:lineRule="atLeast" w:line="360"/>
        <w:jc w:val="left"/>
        <w:rPr>
          <w:sz w:val="24"/>
        </w:rPr>
      </w:pPr>
      <w:r>
        <w:rPr>
          <w:sz w:val="24"/>
        </w:rPr>
      </w:r>
    </w:p>
    <w:p>
      <w:pPr>
        <w:pStyle w:val="Normal"/>
        <w:bidi w:val="0"/>
        <w:spacing w:lineRule="atLeast" w:line="360"/>
        <w:jc w:val="center"/>
        <w:rPr>
          <w:rFonts w:ascii="ＭＳ 明朝" w:hAnsi="ＭＳ 明朝"/>
          <w:b/>
          <w:b/>
          <w:bCs/>
          <w:sz w:val="28"/>
          <w:szCs w:val="28"/>
        </w:rPr>
      </w:pPr>
      <w:r>
        <w:rPr>
          <w:rFonts w:ascii="ＭＳ 明朝" w:hAnsi="ＭＳ 明朝"/>
          <w:b/>
          <w:bCs/>
          <w:sz w:val="28"/>
          <w:szCs w:val="28"/>
        </w:rPr>
        <w:t xml:space="preserve">For Standard Grant </w:t>
      </w:r>
    </w:p>
    <w:p>
      <w:pPr>
        <w:pStyle w:val="Normal"/>
        <w:bidi w:val="0"/>
        <w:spacing w:lineRule="atLeast" w:line="360"/>
        <w:jc w:val="center"/>
        <w:rPr>
          <w:rFonts w:ascii="ＭＳ 明朝" w:hAnsi="ＭＳ 明朝"/>
          <w:b/>
          <w:b/>
          <w:bCs/>
          <w:sz w:val="28"/>
          <w:szCs w:val="28"/>
        </w:rPr>
      </w:pPr>
      <w:r>
        <w:rPr>
          <w:rFonts w:ascii="ＭＳ 明朝" w:hAnsi="ＭＳ 明朝"/>
          <w:b/>
          <w:bCs/>
          <w:sz w:val="28"/>
          <w:szCs w:val="28"/>
        </w:rPr>
      </w:r>
    </w:p>
    <w:p>
      <w:pPr>
        <w:pStyle w:val="Normal"/>
        <w:bidi w:val="0"/>
        <w:spacing w:lineRule="atLeast" w:line="360"/>
        <w:jc w:val="left"/>
        <w:rPr>
          <w:sz w:val="24"/>
        </w:rPr>
      </w:pPr>
      <w:r>
        <w:rPr>
          <w:sz w:val="24"/>
        </w:rPr>
      </w:r>
    </w:p>
    <w:p>
      <w:pPr>
        <w:pStyle w:val="Normal"/>
        <w:numPr>
          <w:ilvl w:val="0"/>
          <w:numId w:val="1"/>
        </w:numPr>
        <w:bidi w:val="0"/>
        <w:spacing w:lineRule="atLeast" w:line="360"/>
        <w:jc w:val="left"/>
        <w:rPr>
          <w:b/>
          <w:b/>
          <w:sz w:val="28"/>
        </w:rPr>
      </w:pPr>
      <w:r>
        <w:rPr>
          <w:b/>
          <w:sz w:val="28"/>
        </w:rPr>
        <w:t>Project objective</w:t>
      </w:r>
      <w:r>
        <w:rPr>
          <w:b/>
          <w:sz w:val="28"/>
        </w:rPr>
        <w:t>　</w:t>
      </w:r>
      <w:r>
        <w:rPr>
          <w:bCs/>
          <w:sz w:val="24"/>
        </w:rPr>
        <w:t>(Explain which GBF goal project the applies to)</w:t>
      </w:r>
      <w:r>
        <w:rPr>
          <w:b/>
          <w:bCs/>
          <w:sz w:val="28"/>
        </w:rPr>
        <w:t xml:space="preserve"> </w:t>
        <w:br/>
        <w:br/>
        <w:t>The project, referred to as the NEW MAHAKAM project, aligns specifically with the objectives of the Global Biodiversity Framework (GBF) aimed at addressing biodiversity conservation and sustainable development. While the data doesn't mention a specific GBF goal directly, the project emphasizes several related objectives that can be associated with the global goals for biodiversity.</w:t>
        <w:br/>
        <w:br/>
        <w:t>### Primary Objectives of the NEW MAHAKAM Project</w:t>
        <w:br/>
        <w:br/>
        <w:t>1. **Enhancing Mangrove Conservation**:</w:t>
        <w:br/>
        <w:t xml:space="preserve">   The project aims to restore degraded mangrove forests in the Mahakam Delta and Adang Bay regions. This aligns with GBF goals to protect diverse ecosystems and promote sustainable management practices.</w:t>
        <w:br/>
        <w:br/>
        <w:t>2. **Promoting Gender and Social Equity**:</w:t>
        <w:br/>
        <w:t xml:space="preserve">   Another focus is on improving gender and social equity within the framework of environmental conservation and community development. This highlights a broader approach reflecting GBF commitments that intertwine biodiversity with social equity.</w:t>
        <w:br/>
        <w:br/>
        <w:t>3. **Capacity Building and Community Engagement**:</w:t>
        <w:br/>
        <w:t xml:space="preserve">   Engaging local communities through capacity building and training programs reinforces the goal of sustainable livelihoods while contributing to biodiversity conservation efforts. The project fosters participation in decision-making processes, ensuring local stakeholders have a voice in conservation activities.</w:t>
        <w:br/>
        <w:br/>
        <w:t>### Conclusion</w:t>
        <w:br/>
        <w:br/>
        <w:t>In summary, while the project does not specify a singular GBF goal, it strongly aligns with global frameworks aimed at biodiversity conservation, sustainable development, and enhancing equitable participation in environmental governance. These objectives are critical in addressing the urgent environmental challenges in East Kalimantan, Indonesia. The integration of community development with ecological restoration is a strategic approach to achieving the broader goals set forth in global biodiversity initiatives.</w:t>
      </w:r>
    </w:p>
    <w:p>
      <w:pPr>
        <w:pStyle w:val="Normal"/>
        <w:bidi w:val="0"/>
        <w:jc w:val="left"/>
        <w:rPr>
          <w:color w:val="000000"/>
          <w:sz w:val="22"/>
          <w:szCs w:val="22"/>
        </w:rPr>
      </w:pPr>
      <w:r>
        <w:rPr>
          <w:color w:val="000000"/>
          <w:sz w:val="22"/>
          <w:szCs w:val="22"/>
        </w:rPr>
        <w:t xml:space="preserve">Note: Please specify which target(s) your project contributes to the achievement of from </w:t>
      </w:r>
      <w:r>
        <w:rPr>
          <w:rFonts w:asciiTheme="minorHAnsi" w:hAnsiTheme="minorHAnsi"/>
          <w:color w:val="000000"/>
          <w:sz w:val="22"/>
          <w:szCs w:val="22"/>
        </w:rPr>
        <w:t>the 23 targets listed as the 2030 action targets proposed in “</w:t>
      </w:r>
      <w:r>
        <w:rPr>
          <w:rFonts w:eastAsia="游明朝" w:cs="Arial" w:asciiTheme="minorHAnsi" w:hAnsiTheme="minorHAnsi"/>
          <w:szCs w:val="22"/>
        </w:rPr>
        <w:t>Kunming-Montreal Global biodiversity framework (GBF)</w:t>
      </w:r>
      <w:r>
        <w:rPr>
          <w:color w:val="000000"/>
          <w:sz w:val="22"/>
          <w:szCs w:val="22"/>
        </w:rPr>
        <w:t xml:space="preserve"> .</w:t>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numPr>
          <w:ilvl w:val="0"/>
          <w:numId w:val="0"/>
        </w:numPr>
        <w:bidi w:val="0"/>
        <w:spacing w:lineRule="atLeast" w:line="360"/>
        <w:ind w:left="0" w:hanging="0"/>
        <w:jc w:val="left"/>
        <w:outlineLvl w:val="0"/>
        <w:rPr>
          <w:sz w:val="28"/>
        </w:rPr>
      </w:pPr>
      <w:r>
        <w:rPr>
          <w:b/>
          <w:sz w:val="28"/>
        </w:rPr>
        <w:t xml:space="preserve">2.  Project implementation plan </w:t>
        <w:br/>
        <w:br/>
        <w:t>The project implementation plan involves several key strategies and activities:</w:t>
        <w:br/>
        <w:br/>
        <w:t>1. **Collaboration with Local Education Offices**: The Project Team will work closely with the local education office in Kutai Kartanegara district and Paser district to select schools for participation in the activities.</w:t>
        <w:br/>
        <w:br/>
        <w:t>2. **Campaign on Environmental Awareness**: The objective is to raise awareness among school children about conserving the environment. This will involve two primary schools, one in Delta Mahakam and one in Adang.</w:t>
        <w:br/>
        <w:br/>
        <w:t>3. **Capacity Building**: The project aims to build the capacity of teachers to promote sustainable awareness among students. This includes training 25 primary school teachers in Mahakam Delta and 25 in Adang Bay, ensuring equal representation of male and female teachers.</w:t>
        <w:br/>
        <w:br/>
        <w:t>4. **Production Material Support**: The project will support the production of baby shrimp and organic fertilizer in collaboration with the Office of Marine and Fisheries.</w:t>
        <w:br/>
        <w:br/>
        <w:t>5. **Monitoring and Evaluation**: The plan includes monitoring and evaluations, quality assurance, reporting, and communication to ensure the effectiveness of the project.</w:t>
        <w:br/>
        <w:br/>
        <w:t>6. **Community Engagement**: The project will inform local communities about expected results and obtain their prior agreement through the Free, Prior, and Informed Consent (FPIC) process.</w:t>
        <w:br/>
        <w:br/>
        <w:t>7. **Training Workshops**: A one-day training/workshop will be developed based on the experiences of implementing activities, involving discussions between Planète Urgence, local partners, and educational offices.</w:t>
        <w:br/>
        <w:br/>
        <w:t>8. **Long-term Viability**: The project aims to ensure the long-term viability of plantations through a strategy that will be implemented in all future and new project intervention areas over the three-year project duration.</w:t>
        <w:br/>
        <w:br/>
        <w:t>Overall, the implementation plan focuses on collaboration, education, community involvement, and sustainability.</w:t>
      </w:r>
    </w:p>
    <w:p>
      <w:pPr>
        <w:pStyle w:val="Normal"/>
        <w:numPr>
          <w:ilvl w:val="0"/>
          <w:numId w:val="0"/>
        </w:numPr>
        <w:bidi w:val="0"/>
        <w:spacing w:lineRule="atLeast" w:line="360"/>
        <w:ind w:left="0" w:right="-237" w:firstLine="110"/>
        <w:jc w:val="left"/>
        <w:outlineLvl w:val="0"/>
        <w:rPr>
          <w:sz w:val="22"/>
          <w:szCs w:val="22"/>
        </w:rPr>
      </w:pPr>
      <w:r>
        <w:rPr>
          <w:sz w:val="22"/>
          <w:szCs w:val="22"/>
        </w:rPr>
        <w:t>(Please describe the projects by year and item</w:t>
      </w:r>
      <w:r>
        <w:rPr>
          <w:strike/>
          <w:sz w:val="22"/>
          <w:szCs w:val="22"/>
        </w:rPr>
        <w:t>s</w:t>
      </w:r>
      <w:r>
        <w:rPr>
          <w:sz w:val="22"/>
          <w:szCs w:val="22"/>
        </w:rPr>
        <w:t>.)</w:t>
      </w:r>
    </w:p>
    <w:p>
      <w:pPr>
        <w:pStyle w:val="Normal"/>
        <w:bidi w:val="0"/>
        <w:ind w:left="990" w:hanging="990"/>
        <w:jc w:val="left"/>
        <w:rPr>
          <w:sz w:val="22"/>
          <w:szCs w:val="22"/>
        </w:rPr>
      </w:pPr>
      <w:r>
        <w:rPr>
          <w:sz w:val="22"/>
          <w:szCs w:val="22"/>
        </w:rPr>
        <w:t>Note; For project, please describe not only fiscal year for which this application is being submitted (“applying FY”, hereafter) but also other FY(s).</w:t>
      </w:r>
    </w:p>
    <w:p>
      <w:pPr>
        <w:pStyle w:val="Normal"/>
        <w:bidi w:val="0"/>
        <w:jc w:val="left"/>
        <w:rPr>
          <w:sz w:val="22"/>
          <w:szCs w:val="22"/>
        </w:rPr>
      </w:pPr>
      <w:r>
        <w:rPr>
          <w:sz w:val="22"/>
          <w:szCs w:val="22"/>
        </w:rPr>
      </w:r>
    </w:p>
    <w:p>
      <w:pPr>
        <w:pStyle w:val="ListParagraph"/>
        <w:numPr>
          <w:ilvl w:val="0"/>
          <w:numId w:val="2"/>
        </w:numPr>
        <w:bidi w:val="0"/>
        <w:jc w:val="left"/>
        <w:rPr>
          <w:sz w:val="22"/>
          <w:szCs w:val="22"/>
        </w:rPr>
      </w:pPr>
      <w:r>
        <w:rPr>
          <w:sz w:val="22"/>
          <w:szCs w:val="22"/>
        </w:rPr>
        <w:t>Applying FY</w:t>
      </w:r>
    </w:p>
    <w:p>
      <w:pPr>
        <w:pStyle w:val="ListParagraph"/>
        <w:numPr>
          <w:ilvl w:val="0"/>
          <w:numId w:val="2"/>
        </w:numPr>
        <w:bidi w:val="0"/>
        <w:jc w:val="left"/>
        <w:rPr>
          <w:sz w:val="22"/>
          <w:szCs w:val="22"/>
        </w:rPr>
      </w:pPr>
      <w:bookmarkStart w:id="0" w:name="_Hlk82090981"/>
      <w:r>
        <w:rPr>
          <w:sz w:val="22"/>
          <w:szCs w:val="22"/>
        </w:rPr>
        <w:t>FY(s) before applying FY</w:t>
      </w:r>
      <w:bookmarkEnd w:id="0"/>
    </w:p>
    <w:p>
      <w:pPr>
        <w:pStyle w:val="ListParagraph"/>
        <w:numPr>
          <w:ilvl w:val="0"/>
          <w:numId w:val="2"/>
        </w:numPr>
        <w:bidi w:val="0"/>
        <w:jc w:val="left"/>
        <w:rPr>
          <w:sz w:val="22"/>
          <w:szCs w:val="22"/>
        </w:rPr>
      </w:pPr>
      <w:r>
        <w:rPr>
          <w:sz w:val="22"/>
          <w:szCs w:val="22"/>
        </w:rPr>
        <w:t xml:space="preserve">FY(s) after applying FY </w:t>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entury">
    <w:charset w:val="01"/>
    <w:family w:val="roman"/>
    <w:pitch w:val="variable"/>
  </w:font>
  <w:font w:name="ＭＳ 明朝">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2">
    <w:lvl w:ilvl="0">
      <w:start w:val="1"/>
      <w:numFmt w:val="decimalFullWidth"/>
      <w:lvlText w:val="（%1）"/>
      <w:lvlJc w:val="left"/>
      <w:pPr>
        <w:tabs>
          <w:tab w:val="num" w:pos="0"/>
        </w:tabs>
        <w:ind w:left="720" w:hanging="720"/>
      </w:pPr>
      <w:rPr/>
    </w:lvl>
    <w:lvl w:ilvl="1">
      <w:start w:val="1"/>
      <w:numFmt w:val="aiueoFullWidth"/>
      <w:lvlText w:val="(%2)"/>
      <w:lvlJc w:val="left"/>
      <w:pPr>
        <w:tabs>
          <w:tab w:val="num" w:pos="0"/>
        </w:tabs>
        <w:ind w:left="840" w:hanging="420"/>
      </w:pPr>
      <w:rPr/>
    </w:lvl>
    <w:lvl w:ilvl="2">
      <w:start w:val="1"/>
      <w:numFmt w:val="decimalEnclosedCircle"/>
      <w:lvlText w:val="%3"/>
      <w:lvlJc w:val="left"/>
      <w:pPr>
        <w:tabs>
          <w:tab w:val="num" w:pos="0"/>
        </w:tabs>
        <w:ind w:left="1260" w:hanging="420"/>
      </w:pPr>
      <w:rPr/>
    </w:lvl>
    <w:lvl w:ilvl="3">
      <w:start w:val="1"/>
      <w:numFmt w:val="decimal"/>
      <w:lvlText w:val="%4."/>
      <w:lvlJc w:val="left"/>
      <w:pPr>
        <w:tabs>
          <w:tab w:val="num" w:pos="0"/>
        </w:tabs>
        <w:ind w:left="1680" w:hanging="420"/>
      </w:pPr>
      <w:rPr/>
    </w:lvl>
    <w:lvl w:ilvl="4">
      <w:start w:val="1"/>
      <w:numFmt w:val="aiueoFullWidth"/>
      <w:lvlText w:val="(%5)"/>
      <w:lvlJc w:val="left"/>
      <w:pPr>
        <w:tabs>
          <w:tab w:val="num" w:pos="0"/>
        </w:tabs>
        <w:ind w:left="2100" w:hanging="420"/>
      </w:pPr>
      <w:rPr/>
    </w:lvl>
    <w:lvl w:ilvl="5">
      <w:start w:val="1"/>
      <w:numFmt w:val="decimalEnclosedCircle"/>
      <w:lvlText w:val="%6"/>
      <w:lvlJc w:val="left"/>
      <w:pPr>
        <w:tabs>
          <w:tab w:val="num" w:pos="0"/>
        </w:tabs>
        <w:ind w:left="2520" w:hanging="420"/>
      </w:pPr>
      <w:rPr/>
    </w:lvl>
    <w:lvl w:ilvl="6">
      <w:start w:val="1"/>
      <w:numFmt w:val="decimal"/>
      <w:lvlText w:val="%7."/>
      <w:lvlJc w:val="left"/>
      <w:pPr>
        <w:tabs>
          <w:tab w:val="num" w:pos="0"/>
        </w:tabs>
        <w:ind w:left="2940" w:hanging="420"/>
      </w:pPr>
      <w:rPr/>
    </w:lvl>
    <w:lvl w:ilvl="7">
      <w:start w:val="1"/>
      <w:numFmt w:val="aiueoFullWidth"/>
      <w:lvlText w:val="(%8)"/>
      <w:lvlJc w:val="left"/>
      <w:pPr>
        <w:tabs>
          <w:tab w:val="num" w:pos="0"/>
        </w:tabs>
        <w:ind w:left="3360" w:hanging="420"/>
      </w:pPr>
      <w:rPr/>
    </w:lvl>
    <w:lvl w:ilvl="8">
      <w:start w:val="1"/>
      <w:numFmt w:val="decimalEnclosedCircle"/>
      <w:lvlText w:val="%9"/>
      <w:lvlJc w:val="left"/>
      <w:pPr>
        <w:tabs>
          <w:tab w:val="num" w:pos="0"/>
        </w:tabs>
        <w:ind w:left="3780" w:hanging="4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840" w:hanging="0"/>
    </w:pPr>
    <w:rPr/>
  </w:style>
  <w:style w:type="paragraph" w:styleId="Retraitdecorpsdetexte">
    <w:name w:val="Body Text Indent"/>
    <w:basedOn w:val="Normal"/>
    <w:pPr>
      <w:spacing w:lineRule="atLeast" w:line="0"/>
      <w:ind w:left="380" w:hanging="380"/>
      <w:textAlignment w:val="baseline"/>
    </w:pPr>
    <w:rPr>
      <w:rFonts w:ascii="Times New Roman" w:hAnsi="Times New Roman" w:eastAsia="Mincho"/>
      <w:spacing w:val="22"/>
      <w:kern w:val="0"/>
      <w:sz w:val="18"/>
    </w:rPr>
  </w:style>
  <w:style w:type="paragraph" w:styleId="BodyTextFirstIndent2">
    <w:name w:val="Body Text First Indent 2"/>
    <w:basedOn w:val="Retraitdecorpsdetexte"/>
    <w:qFormat/>
    <w:pPr>
      <w:spacing w:lineRule="auto" w:line="240"/>
      <w:ind w:left="851" w:firstLine="210"/>
      <w:textAlignment w:val="auto"/>
    </w:pPr>
    <w:rPr>
      <w:rFonts w:ascii="Century" w:hAnsi="Century" w:eastAsia="ＭＳ 明朝"/>
      <w:spacing w:val="0"/>
      <w:kern w:val="2"/>
      <w:sz w:val="22"/>
    </w:rPr>
  </w:style>
  <w:style w:type="paragraph" w:styleId="ListContinue">
    <w:name w:val="List Continue"/>
    <w:basedOn w:val="Normal"/>
    <w:qFormat/>
    <w:pPr>
      <w:spacing w:before="0" w:after="180"/>
      <w:ind w:left="425" w:hanging="0"/>
    </w:pPr>
    <w:rPr>
      <w:sz w:val="22"/>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122</Words>
  <Characters>593</Characters>
  <CharactersWithSpaces>698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2025-04-12T20:23:38Z</dcterms:created>
  <dc:creator/>
  <dc:description/>
  <dc:language>fr-FR</dc:language>
  <cp:lastModifiedBy/>
  <dcterms:modified xsi:type="dcterms:W3CDTF">2025-05-03T17:28:31Z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