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5B2A86"/>
          <w:sz w:val="52"/>
          <w:szCs w:val="52"/>
        </w:rPr>
        <w:t xml:space="preserve">Gemini Enterprise Platform</w:t>
      </w:r>
    </w:p>
    <w:p>
      <w:pPr>
        <w:spacing w:after="240"/>
      </w:pPr>
      <w:r>
        <w:rPr>
          <w:rFonts w:ascii="Calibri" w:cs="Calibri" w:eastAsia="Calibri" w:hAnsi="Calibri"/>
          <w:b/>
          <w:bCs/>
          <w:color w:val="5B2A86"/>
          <w:sz w:val="52"/>
          <w:szCs w:val="52"/>
        </w:rPr>
        <w:t xml:space="preserve">Agentic Contract Lifecycle Management</w:t>
      </w:r>
    </w:p>
    <w:p>
      <w:pPr>
        <w:spacing w:after="600"/>
      </w:pPr>
      <w:r>
        <w:rPr>
          <w:rFonts w:ascii="Calibri" w:cs="Calibri" w:eastAsia="Calibri" w:hAnsi="Calibri"/>
          <w:color w:val="3B3B3B"/>
          <w:sz w:val="28"/>
          <w:szCs w:val="28"/>
        </w:rPr>
        <w:t xml:space="preserve">Technical Feasibility Assessment and Proof-of-Concept Architecture</w:t>
      </w:r>
    </w:p>
    <w:p>
      <w:pPr>
        <w:spacing w:after="40" w:before="0"/>
      </w:pPr>
      <w:r>
        <w:rPr>
          <w:rFonts w:ascii="Calibri" w:cs="Calibri" w:eastAsia="Calibri" w:hAnsi="Calibri"/>
          <w:b/>
          <w:bCs/>
          <w:color w:val="3B3B3B"/>
          <w:sz w:val="20"/>
          <w:szCs w:val="20"/>
        </w:rPr>
        <w:t xml:space="preserve">Domain</w:t>
      </w:r>
    </w:p>
    <w:p>
      <w:pPr>
        <w:spacing w:after="200" w:before="0"/>
      </w:pPr>
      <w:r>
        <w:rPr>
          <w:rFonts w:ascii="Calibri" w:cs="Calibri" w:eastAsia="Calibri" w:hAnsi="Calibri"/>
          <w:color w:val="3B3B3B"/>
          <w:sz w:val="20"/>
          <w:szCs w:val="20"/>
        </w:rPr>
        <w:t xml:space="preserve">Indirect Supply Chain / Procurement — Contract Review and Negotiation</w:t>
      </w:r>
    </w:p>
    <w:p>
      <w:pPr>
        <w:spacing w:after="40" w:before="0"/>
      </w:pPr>
      <w:r>
        <w:rPr>
          <w:rFonts w:ascii="Calibri" w:cs="Calibri" w:eastAsia="Calibri" w:hAnsi="Calibri"/>
          <w:b/>
          <w:bCs/>
          <w:color w:val="3B3B3B"/>
          <w:sz w:val="20"/>
          <w:szCs w:val="20"/>
        </w:rPr>
        <w:t xml:space="preserve">Scope</w:t>
      </w:r>
    </w:p>
    <w:p>
      <w:pPr>
        <w:spacing w:after="200" w:before="0"/>
      </w:pPr>
      <w:r>
        <w:rPr>
          <w:rFonts w:ascii="Calibri" w:cs="Calibri" w:eastAsia="Calibri" w:hAnsi="Calibri"/>
          <w:color w:val="3B3B3B"/>
          <w:sz w:val="20"/>
          <w:szCs w:val="20"/>
        </w:rPr>
        <w:t xml:space="preserve">Assessment of Gemini Enterprise and associated Google Cloud capabilities against an agentic contract review, redlining, multi-function review and version-control workflow. Ten-stage structured evaluation with a minimum viable proof-of-concept architecture.</w:t>
      </w:r>
    </w:p>
    <w:p>
      <w:pPr>
        <w:spacing w:after="40" w:before="0"/>
      </w:pPr>
      <w:r>
        <w:rPr>
          <w:rFonts w:ascii="Calibri" w:cs="Calibri" w:eastAsia="Calibri" w:hAnsi="Calibri"/>
          <w:b/>
          <w:bCs/>
          <w:color w:val="3B3B3B"/>
          <w:sz w:val="20"/>
          <w:szCs w:val="20"/>
        </w:rPr>
        <w:t xml:space="preserve">Source basis</w:t>
      </w:r>
    </w:p>
    <w:p>
      <w:pPr>
        <w:spacing w:after="200" w:before="0"/>
      </w:pPr>
      <w:r>
        <w:rPr>
          <w:rFonts w:ascii="Calibri" w:cs="Calibri" w:eastAsia="Calibri" w:hAnsi="Calibri"/>
          <w:color w:val="3B3B3B"/>
          <w:sz w:val="20"/>
          <w:szCs w:val="20"/>
        </w:rPr>
        <w:t xml:space="preserve">Current official Google Cloud documentation for Gemini Enterprise and Gemini Enterprise Agent Platform, Document AI, Google Workspace APIs, and Agent Development Kit documentation, as at August 2026. Capabilities not documented are not assumed.</w:t>
      </w:r>
    </w:p>
    <w:p>
      <w:pPr>
        <w:spacing w:after="40" w:before="0"/>
      </w:pPr>
      <w:r>
        <w:rPr>
          <w:rFonts w:ascii="Calibri" w:cs="Calibri" w:eastAsia="Calibri" w:hAnsi="Calibri"/>
          <w:b/>
          <w:bCs/>
          <w:color w:val="3B3B3B"/>
          <w:sz w:val="20"/>
          <w:szCs w:val="20"/>
        </w:rPr>
        <w:t xml:space="preserve">Status</w:t>
      </w:r>
    </w:p>
    <w:p>
      <w:pPr>
        <w:spacing w:after="200" w:before="0"/>
      </w:pPr>
      <w:r>
        <w:rPr>
          <w:rFonts w:ascii="Calibri" w:cs="Calibri" w:eastAsia="Calibri" w:hAnsi="Calibri"/>
          <w:color w:val="3B3B3B"/>
          <w:sz w:val="20"/>
          <w:szCs w:val="20"/>
        </w:rPr>
        <w:t xml:space="preserve">Draft for internal review prior to client and Google engineering engagement.</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Contents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860"/>
      </w:tblGrid>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Executive Summary</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2</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Assessment Approach</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3</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1 — Gemini Enterprise Capability Mapping</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4</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2 — End-to-End Technical Mapping</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5</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3 — Agentic Architecture</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6</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4 — Document and Clause Representation</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7</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5 — Parallel and Asynchronous Review</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8</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6 — Redlining and Version Control</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9</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7 — Reviewer Conflict Detection</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10</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8 — Security and Governance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11</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9 — Proof-of-Concept Technical Challenges  (landscape)</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12</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Stage 10 — Proof-of-Concept Architecture Recommendation</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13</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Consolidated Recommendations</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14</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Questions for Google Engineering</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15</w:t>
            </w:r>
          </w:p>
        </w:tc>
        <w:tc>
          <w:tcPr>
            <w:tcW w:type="dxa" w:w="7860"/>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Client-Side Dependencies and Critical Path</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16</w:t>
            </w:r>
          </w:p>
        </w:tc>
        <w:tc>
          <w:tcPr>
            <w:tcW w:type="dxa" w:w="78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20"/>
                <w:szCs w:val="20"/>
              </w:rPr>
              <w:t xml:space="preserve">Appendix — Classification Legend and Source Basis</w:t>
            </w:r>
          </w:p>
        </w:tc>
      </w:tr>
    </w:tbl>
    <w:p>
      <w:pPr>
        <w:spacing w:after="200" w:before="0"/>
      </w:pPr>
      <w:r>
        <w:rPr>
          <w:rFonts w:ascii="Calibri" w:cs="Calibri" w:eastAsia="Calibri" w:hAnsi="Calibri"/>
          <w:color w:val="3B3B3B"/>
          <w:sz w:val="20"/>
          <w:szCs w:val="20"/>
        </w:rPr>
        <w:t xml:space="preserve"/>
      </w:r>
    </w:p>
    <w:p>
      <w:pPr>
        <w:spacing w:after="60" w:before="0"/>
      </w:pPr>
      <w:r>
        <w:rPr>
          <w:rFonts w:ascii="Calibri" w:cs="Calibri" w:eastAsia="Calibri" w:hAnsi="Calibri"/>
          <w:b/>
          <w:bCs/>
          <w:color w:val="3B3B3B"/>
          <w:sz w:val="20"/>
          <w:szCs w:val="20"/>
        </w:rPr>
        <w:t xml:space="preserve">Reading guidance</w:t>
      </w:r>
    </w:p>
    <w:p>
      <w:pPr>
        <w:spacing w:after="200" w:before="0"/>
      </w:pPr>
      <w:r>
        <w:rPr>
          <w:rFonts w:ascii="Calibri" w:cs="Calibri" w:eastAsia="Calibri" w:hAnsi="Calibri"/>
          <w:color w:val="3B3B3B"/>
          <w:sz w:val="20"/>
          <w:szCs w:val="20"/>
        </w:rPr>
        <w:t xml:space="preserve">Section 1 stands alone for an executive audience. Sections 3 to 12 are the staged technical assessment and are cumulative — later stages depend on decisions taken in earlier ones. Section 13 consolidates every recommendation. Section 14 is the question set for the Google engineering session and section 14.7 in particular tests this assessment's negative findings. Section 15 lists the dependencies that sit outside Accenture's control.</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1. Executive Summary</w:t>
      </w:r>
    </w:p>
    <w:p>
      <w:pPr>
        <w:pStyle w:val="Heading2"/>
        <w:spacing w:after="120" w:before="260"/>
      </w:pPr>
      <w:r>
        <w:rPr>
          <w:rFonts w:ascii="Calibri" w:cs="Calibri" w:eastAsia="Calibri" w:hAnsi="Calibri"/>
          <w:b/>
          <w:bCs/>
          <w:color w:val="3B3B3B"/>
          <w:sz w:val="24"/>
          <w:szCs w:val="24"/>
        </w:rPr>
        <w:t xml:space="preserve">1.1 Overall conclusion</w:t>
      </w:r>
    </w:p>
    <w:p>
      <w:pPr>
        <w:spacing w:after="120" w:before="0"/>
      </w:pPr>
      <w:r>
        <w:rPr>
          <w:rFonts w:ascii="Calibri" w:cs="Calibri" w:eastAsia="Calibri" w:hAnsi="Calibri"/>
          <w:color w:val="3B3B3B"/>
          <w:sz w:val="20"/>
          <w:szCs w:val="20"/>
        </w:rPr>
        <w:t xml:space="preserve">The target workflow is technically achievable on Google Cloud, but Gemini Enterprise (GEP) covers substantially less of it than the product positioning suggests. The assessment finds an approximate 40 / 60 split: GEP supplies document understanding, retrieval, grounded semantic analysis, agent hosting, enterprise identity and platform governance; a deterministic custom layer on Google Cloud supplies the workflow control, the system of record, the audit trail, and the document artifact.</w:t>
      </w:r>
    </w:p>
    <w:p>
      <w:pPr>
        <w:spacing w:after="120" w:before="0"/>
      </w:pPr>
      <w:r>
        <w:rPr>
          <w:rFonts w:ascii="Calibri" w:cs="Calibri" w:eastAsia="Calibri" w:hAnsi="Calibri"/>
          <w:color w:val="3B3B3B"/>
          <w:sz w:val="20"/>
          <w:szCs w:val="20"/>
        </w:rPr>
        <w:t xml:space="preserve">This ratio is a property of what Gemini Enterprise is, not of how the solution is designed. GEP is a search-and-agent platform. It has no document of record, no version lineage, no task object, and no clause entity. Those four absences are precisely the load-bearing requirements of a contract lifecycle workflow.</w:t>
      </w:r>
    </w:p>
    <w:p>
      <w:pPr>
        <w:pStyle w:val="Heading2"/>
        <w:spacing w:after="120" w:before="260"/>
      </w:pPr>
      <w:r>
        <w:rPr>
          <w:rFonts w:ascii="Calibri" w:cs="Calibri" w:eastAsia="Calibri" w:hAnsi="Calibri"/>
          <w:b/>
          <w:bCs/>
          <w:color w:val="3B3B3B"/>
          <w:sz w:val="24"/>
          <w:szCs w:val="24"/>
        </w:rPr>
        <w:t xml:space="preserve">1.2 Key findings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Finding</w:t>
            </w:r>
          </w:p>
        </w:tc>
        <w:tc>
          <w:tcPr>
            <w:tcW w:type="dxa" w:w="6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Detail</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native task or assignment model</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Nothing in Gemini Enterprise or Agent Platform documentation exposes a task, work-queue or assignment object. Inbox is an agent-run notification surface categorised as Needs your input / Errors / Completed — it is not a reviewer work queue. Reviewer routing, assignment, status and escalation are entirely custom.</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document versioning</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store refresh replaces indexed content and creates no version. Contract version lineage, redline history and clause-to-clause traceability require an external relational model plus Cloud Storage object versioning.</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OOXML redlining capability</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Nothing in GEP, Agent Platform or Document AI writes Word tracked-changes markup. The Google Docs API supports suggestion-mode edits and assigned comments, with documented limits on format, header and footer changes. Supplier-facing tracked-changes .docx generation requires a custom containerised document service or a commercial engine.</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Clause-level access control does not exist</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GEP access control is document-level, inherited from source ACLs. The requirement that each reviewer sees only their clauses must be enforced in the application database, server-side, not in GEP and not in agent tool code.</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Coordination is not provided</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Runtime supplies duration (long-running agents holding state for days) and ADK supplies pausing. Neither supplies fan-out coordination, per-branch timers, reassignment or a completion barrier. Nine of eleven asynchronous-review capabilities assessed are custom.</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GEP's strongest contribution is advisory, not transactional</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Grounded, cited semantic analysis against contract playbooks — and a read-only reviewer assistant inside the Gemini Enterprise app — are genuine, high-value native capabilities. They are also the only components that should run inside GEP.</w:t>
            </w:r>
          </w:p>
        </w:tc>
      </w:tr>
    </w:tbl>
    <w:p>
      <w:pPr>
        <w:pStyle w:val="Heading2"/>
        <w:spacing w:after="120" w:before="260"/>
      </w:pPr>
      <w:r>
        <w:rPr>
          <w:rFonts w:ascii="Calibri" w:cs="Calibri" w:eastAsia="Calibri" w:hAnsi="Calibri"/>
          <w:b/>
          <w:bCs/>
          <w:color w:val="3B3B3B"/>
          <w:sz w:val="24"/>
          <w:szCs w:val="24"/>
        </w:rPr>
        <w:t xml:space="preserve">1.3 The architectural principle that resolves this</w:t>
      </w:r>
    </w:p>
    <w:p>
      <w:pPr>
        <w:spacing w:after="120" w:before="0"/>
      </w:pPr>
      <w:r>
        <w:rPr>
          <w:rFonts w:ascii="Calibri" w:cs="Calibri" w:eastAsia="Calibri" w:hAnsi="Calibri"/>
          <w:color w:val="3B3B3B"/>
          <w:sz w:val="20"/>
          <w:szCs w:val="20"/>
        </w:rPr>
        <w:t xml:space="preserve">The recommended design holds one rule throughout: the model proposes, deterministic code commits. No large language model output writes to workflow state, routing, clause status, version, access control or audit records. This is enforced by IAM — agent service accounts hold zero write grants on the decision, task-status, conflict, version and audit tables — rather than by prompt instruction or application convention.</w:t>
      </w:r>
    </w:p>
    <w:p>
      <w:pPr>
        <w:spacing w:after="120" w:before="0"/>
      </w:pPr>
      <w:r>
        <w:rPr>
          <w:rFonts w:ascii="Calibri" w:cs="Calibri" w:eastAsia="Calibri" w:hAnsi="Calibri"/>
          <w:color w:val="3B3B3B"/>
          <w:sz w:val="20"/>
          <w:szCs w:val="20"/>
        </w:rPr>
        <w:t xml:space="preserve">Nine explicit deterministic control points are identified in the Stage 10 architecture. Each is a location where a model could plausibly have been used and deliberately is not. Routing, conflict detection, severity banding, version increment, completion gating and delta scoping are all rule-based, versioned and reproducible.</w:t>
      </w:r>
    </w:p>
    <w:p>
      <w:pPr>
        <w:spacing w:after="120" w:before="0"/>
      </w:pPr>
      <w:r>
        <w:rPr>
          <w:rFonts w:ascii="Calibri" w:cs="Calibri" w:eastAsia="Calibri" w:hAnsi="Calibri"/>
          <w:color w:val="3B3B3B"/>
          <w:sz w:val="20"/>
          <w:szCs w:val="20"/>
        </w:rPr>
        <w:t xml:space="preserve">This is not conservatism for its own sake. Routing decides which function reviews which clause and is the audit-visible control; conflict detection must be provable to satisfy the requirement that conflicts are never silently resolved; and clause identity across versions must never be inferred, because a wrong match silently transfers a prior approval to changed language — the single worst failure mode in the system.</w:t>
      </w:r>
    </w:p>
    <w:p>
      <w:pPr>
        <w:pStyle w:val="Heading2"/>
        <w:spacing w:after="120" w:before="260"/>
      </w:pPr>
      <w:r>
        <w:rPr>
          <w:rFonts w:ascii="Calibri" w:cs="Calibri" w:eastAsia="Calibri" w:hAnsi="Calibri"/>
          <w:b/>
          <w:bCs/>
          <w:color w:val="3B3B3B"/>
          <w:sz w:val="24"/>
          <w:szCs w:val="24"/>
        </w:rPr>
        <w:t xml:space="preserve">1.4 Highest-leverage design decision</w:t>
      </w:r>
    </w:p>
    <w:p>
      <w:pPr>
        <w:spacing w:after="120" w:before="0"/>
      </w:pPr>
      <w:r>
        <w:rPr>
          <w:rFonts w:ascii="Calibri" w:cs="Calibri" w:eastAsia="Calibri" w:hAnsi="Calibri"/>
          <w:color w:val="3B3B3B"/>
          <w:sz w:val="20"/>
          <w:szCs w:val="20"/>
        </w:rPr>
        <w:t xml:space="preserve">Reviewers never receive a document. They receive an immutable clause packet and submit a decision against a single clause instance. This converts the hardest problem in the workflow — merging concurrent reviewer edits to a Word document — from an unsolved server-side OOXML merge problem into a database aggregation followed by regeneration from base plus manifest.</w:t>
      </w:r>
    </w:p>
    <w:p>
      <w:pPr>
        <w:spacing w:after="120" w:before="0"/>
      </w:pPr>
      <w:r>
        <w:rPr>
          <w:rFonts w:ascii="Calibri" w:cs="Calibri" w:eastAsia="Calibri" w:hAnsi="Calibri"/>
          <w:color w:val="3B3B3B"/>
          <w:sz w:val="20"/>
          <w:szCs w:val="20"/>
        </w:rPr>
        <w:t xml:space="preserve">The supporting model separates clause identity (contract-scoped, stable across versions) from clause text (version-scoped, immutable once written). This makes traceability between original and revised clauses a single join rather than a heuristic. It cannot be retrofitted once data exists.</w:t>
      </w:r>
    </w:p>
    <w:p>
      <w:pPr>
        <w:pStyle w:val="Heading2"/>
        <w:spacing w:after="120" w:before="260"/>
      </w:pPr>
      <w:r>
        <w:rPr>
          <w:rFonts w:ascii="Calibri" w:cs="Calibri" w:eastAsia="Calibri" w:hAnsi="Calibri"/>
          <w:b/>
          <w:bCs/>
          <w:color w:val="3B3B3B"/>
          <w:sz w:val="24"/>
          <w:szCs w:val="24"/>
        </w:rPr>
        <w:t xml:space="preserve">1.5 Recommended proof of concept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160"/>
      </w:tblGrid>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Duration</w:t>
            </w:r>
          </w:p>
        </w:tc>
        <w:tc>
          <w:tcPr>
            <w:tcW w:type="dxa" w:w="71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8–10 weeks</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Team</w:t>
            </w:r>
          </w:p>
        </w:tc>
        <w:tc>
          <w:tcPr>
            <w:tcW w:type="dxa" w:w="7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5–6: 1 architect, 2 backend, 1 data/ML, 1 frontend, 0.5 client legal SME</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Scope</w:t>
            </w:r>
          </w:p>
        </w:tc>
        <w:tc>
          <w:tcPr>
            <w:tcW w:type="dxa" w:w="71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One contract type with numbered clauses; three reviewer functions (Legal, Procurement, Finance); 15–20 clause types; one negotiation cycle plus one re-entry</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Full-strength controls</w:t>
            </w:r>
          </w:p>
        </w:tc>
        <w:tc>
          <w:tcPr>
            <w:tcW w:type="dxa" w:w="7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Provenance tagging, IAM-enforced agent write restrictions, append-only decisions, deterministic routing and conflict detection, immutable versions, comment-visibility filtering at document generation</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Viability gates</w:t>
            </w:r>
          </w:p>
        </w:tc>
        <w:tc>
          <w:tcPr>
            <w:tcW w:type="dxa" w:w="71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(1) clause classification accuracy on a lawyer-labelled golden set; (2) generated .docx renders correctly in Word across 20+ real supplier templates</w:t>
            </w:r>
          </w:p>
        </w:tc>
      </w:tr>
    </w:tbl>
    <w:p>
      <w:pPr>
        <w:spacing w:after="120" w:before="120"/>
      </w:pPr>
      <w:r>
        <w:rPr>
          <w:rFonts w:ascii="Calibri" w:cs="Calibri" w:eastAsia="Calibri" w:hAnsi="Calibri"/>
          <w:color w:val="3B3B3B"/>
          <w:sz w:val="20"/>
          <w:szCs w:val="20"/>
        </w:rPr>
        <w:t xml:space="preserve">Three of the six critical risks are not engineering problems. A machine-usable contract playbook, a signed clause-ownership and routing authority matrix, and labelled ground-truth documents are all client-side dependencies on the critical path. Each typically takes longer than the engineering it unblocks.</w:t>
      </w:r>
    </w:p>
    <w:p>
      <w:pPr>
        <w:pStyle w:val="Heading2"/>
        <w:spacing w:after="120" w:before="260"/>
      </w:pPr>
      <w:r>
        <w:rPr>
          <w:rFonts w:ascii="Calibri" w:cs="Calibri" w:eastAsia="Calibri" w:hAnsi="Calibri"/>
          <w:b/>
          <w:bCs/>
          <w:color w:val="3B3B3B"/>
          <w:sz w:val="24"/>
          <w:szCs w:val="24"/>
        </w:rPr>
        <w:t xml:space="preserve">1.6 Strategic recommendation</w:t>
      </w:r>
    </w:p>
    <w:p>
      <w:pPr>
        <w:spacing w:after="120" w:before="0"/>
      </w:pPr>
      <w:r>
        <w:rPr>
          <w:rFonts w:ascii="Calibri" w:cs="Calibri" w:eastAsia="Calibri" w:hAnsi="Calibri"/>
          <w:color w:val="3B3B3B"/>
          <w:sz w:val="20"/>
          <w:szCs w:val="20"/>
        </w:rPr>
        <w:t xml:space="preserve">If DocuSign CLM is the client's target contract system of record, the production architecture should let CLM own the document artifact, version ledger and status from the outset, with Gemini Enterprise and the custom layer supplying intelligence, routing and decision capture. Building a parallel version ledger to demonstrate faster creates work that is subsequently discarded and introduces reconciliation debt between two systems of record.</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2. Assessment Approach</w:t>
      </w:r>
    </w:p>
    <w:p>
      <w:pPr>
        <w:spacing w:after="120" w:before="0"/>
      </w:pPr>
      <w:r>
        <w:rPr>
          <w:rFonts w:ascii="Calibri" w:cs="Calibri" w:eastAsia="Calibri" w:hAnsi="Calibri"/>
          <w:color w:val="3B3B3B"/>
          <w:sz w:val="20"/>
          <w:szCs w:val="20"/>
        </w:rPr>
        <w:t xml:space="preserve">The assessment was conducted in ten sequential stages, each building on the prior. Every capability claim is classified against one of five categories, and capabilities not present in official Google documentation are treated as unsupported rather than inferred from general large-language-model behaviour.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60"/>
      </w:tblGrid>
      <w:tr>
        <w:trPr>
          <w:tblHeader/>
        </w:trPr>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6"/>
                <w:szCs w:val="16"/>
              </w:rPr>
              <w:t xml:space="preserve">Classification</w:t>
            </w:r>
          </w:p>
        </w:tc>
        <w:tc>
          <w:tcPr>
            <w:tcW w:type="dxa" w:w="69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6"/>
                <w:szCs w:val="16"/>
              </w:rPr>
              <w:t xml:space="preserve">Meaning</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Native GEP</w:t>
            </w:r>
          </w:p>
        </w:tc>
        <w:tc>
          <w:tcPr>
            <w:tcW w:type="dxa" w:w="69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Provided directly by Gemini Enterprise as documented product capability</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Google Cloud Integration (GCI)</w:t>
            </w:r>
          </w:p>
        </w:tc>
        <w:tc>
          <w:tcPr>
            <w:tcW w:type="dxa" w:w="6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Achievable using another documented Google Cloud or Workspace service</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Custom Implementation</w:t>
            </w:r>
          </w:p>
        </w:tc>
        <w:tc>
          <w:tcPr>
            <w:tcW w:type="dxa" w:w="69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Requires development specific to this solution</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External System Required</w:t>
            </w:r>
          </w:p>
        </w:tc>
        <w:tc>
          <w:tcPr>
            <w:tcW w:type="dxa" w:w="6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Requires a third-party enterprise system</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Not Clearly Supported</w:t>
            </w:r>
          </w:p>
        </w:tc>
        <w:tc>
          <w:tcPr>
            <w:tcW w:type="dxa" w:w="69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No documented capability; represents a material implementation risk</w:t>
            </w:r>
          </w:p>
        </w:tc>
      </w:tr>
    </w:tbl>
    <w:p>
      <w:pPr>
        <w:spacing w:after="120" w:before="120"/>
      </w:pPr>
      <w:r>
        <w:rPr>
          <w:rFonts w:ascii="Calibri" w:cs="Calibri" w:eastAsia="Calibri" w:hAnsi="Calibri"/>
          <w:color w:val="3B3B3B"/>
          <w:sz w:val="20"/>
          <w:szCs w:val="20"/>
        </w:rPr>
        <w:t xml:space="preserve">A note on product naming. Gemini Enterprise is now two products: the Gemini Enterprise app (search, assistant, Agent Designer, Inbox, agent registration) and Gemini Enterprise Agent Platform (the build, deploy, govern and optimise platform positioned as the evolution of Vertex AI). Almost no requirement in this workflow is satisfied entirely within the first. Both are referenced by their correct names throughout.</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3. Stage 1 — Gemini Enterprise Capability Mapping</w:t>
      </w:r>
    </w:p>
    <w:p>
      <w:pPr>
        <w:spacing w:after="120" w:before="0"/>
      </w:pPr>
      <w:r>
        <w:rPr>
          <w:rFonts w:ascii="Calibri" w:cs="Calibri" w:eastAsia="Calibri" w:hAnsi="Calibri"/>
          <w:color w:val="3B3B3B"/>
          <w:sz w:val="20"/>
          <w:szCs w:val="20"/>
        </w:rPr>
        <w:t xml:space="preserve">Twenty-five platform capabilities assessed against the workflow. Four are substantially native; two are Not Clearly Supported and represent the largest gaps.</w:t>
      </w:r>
    </w:p>
    <w:p>
      <w:pPr>
        <w:pStyle w:val="Heading2"/>
        <w:spacing w:after="120" w:before="260"/>
      </w:pPr>
      <w:r>
        <w:rPr>
          <w:rFonts w:ascii="Calibri" w:cs="Calibri" w:eastAsia="Calibri" w:hAnsi="Calibri"/>
          <w:b/>
          <w:bCs/>
          <w:color w:val="3B3B3B"/>
          <w:sz w:val="24"/>
          <w:szCs w:val="24"/>
        </w:rPr>
        <w:t xml:space="preserve">3.1 Capability assessment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50"/>
        <w:gridCol w:w="1650"/>
        <w:gridCol w:w="5960"/>
      </w:tblGrid>
      <w:tr>
        <w:trPr>
          <w:tblHeader/>
        </w:trPr>
        <w:tc>
          <w:tcPr>
            <w:tcW w:type="dxa" w:w="175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65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Classification</w:t>
            </w:r>
          </w:p>
        </w:tc>
        <w:tc>
          <w:tcPr>
            <w:tcW w:type="dxa" w:w="59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Basis and constraint</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Enterprise agents</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Designer is a no-code / low-code platform for single and multi-step agents, with a visual flow canvas, subagents, connection to Google and third-party data sources and tools, and scheduled executions. Core Assistant and Deep Research also available.</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 / agent orchestration</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Development Kit is a modular, model-agnostic framework. ADK agents hosted on Agent Runtime can be registered by an administrator and surfaced in the web app. Deterministic sequential and parallel orchestration is an ADK code concern, not GEP configuration.</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models</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 GCI</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Platform provides reasoning-first models including Gemini 3.1 Pro and Gemini 3 Flash, plus curated third-party managed APIs. Answer-generation model version is configurable on the app.</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ingestion (retrieval)</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Connectors for Cloud Storage, Drive, SharePoint Online, OneDrive, Box, iManage, NetDocuments and notably Docusign. A separate data store is created per source entity type.</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ingestion (transactional)</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Indexing for search is not admission to a processing pipeline. Upload, parse, extract and route requires Cloud Storage plus Eventarc / Pub/Sub plus a custom intake service.</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understanding / parsing</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(limited)</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Layout parser detects text blocks, tables, lists, titles, headings, headers and footnotes; covers PDF and HTML with DOCX in Preview, and is available only with RAG chunking enabled. OCR processor caps at the first 500 pages of a PDF.</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High-fidelity structure extraction</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AI layout parser combines Google OCR with Gemini, preserving contextual relationships and producing context-aware chunks carrying ancestral headings. Required in place of the GEP built-in parser where clause boundaries must be reliable.</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Structured extraction (clause fields)</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AI Custom Extractor with generative AI. Three levels of schema nesting supported only with generative-AI foundation model types. Derived fields and signature detection are in public preview on specific model versions.</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Multimodal document processing</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The assistant can analyse and summarise uploaded content such as PDFs and images and answer follow-up questions.</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Grounding</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Grounded answers with citations over data stores, with optional grounding and citations from external public web data.</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Enterprise search</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Blended search across multiple data stores connected to one app; access-controlled results and generative answers enforced at scale.</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Retrieval / knowledge sources</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 GCI</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Data stores for playbooks; RAG Engine and Vector Search on Agent Platform for tighter control. Design caution: approved-clause lookup must be deterministic and keyed on clause type, not vector similarity.</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Tool / function invocation</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 GCI</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Designer attaches data sources and tools; function tools supported. Native assistant Actions are limited to Gmail and Google Calendar, Jira Cloud, Outlook email and calendar, and ServiceNow — nothing contract-specific. Custom MCP server data stores extend this.</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Workflow orchestration</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Split: Native GEP (agentic) / Custom (process)</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Designer subagents and ADK workflow agents handle reasoning orchestration. A gated, multi-party, resumable review process with SLAs is not a GEP object. GEP is not a business process management engine.</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Human-in-the-loop</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 + Custom</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 LongRunningFunctionTool can initiate an operation and return an id; the runner pauses the run and the client decides whether to continue or wait. Mechanically sound for one approver in one session; clause-level fan-out to multiple functions in parallel is custom.</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Asynchronous agent execution</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 GCI</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Runtime supports long-running agents maintaining state for days, backed by Memory Bank. Agent Designer supports schedule- and trigger-based agents, including triggering by another business application via a partner connector.</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State persistence (agent context)</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Platform Sessions manages state within a single interaction; Memory Bank enables persistent memory across sessions, with TTL expiry, memory revisions and IAM conditions restricting read/write by scope.</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State persistence (system of record)</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Sessions and Memory Bank are agent-context stores. Decision bound to contract, version, clause, reviewer, status, timestamp and proposed change is a relational entity model. Memory Bank must not be used for this.</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Long-running workflows</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 Custom</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Runtime persistence is covered. Escalation, reassignment, SLA breach and negotiation-cycle re-entry are not.</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Role-based access</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(platform) + Custom (record)</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IAM roles, app-level access controls, ACL-enforced search, agent sharing with optional admin approval. Function-based clause visibility on review records is custom authorisation.</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Identity and authorisation</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Google Identity or third-party IdP configuration, Workforce Identity Federation, external identity mapping for custom data sources, VPC Service Controls, CMEK, Access Transparency, Model Armor. Agent identity exposed as a SPIFFE ID where published, with Agent Registry resource ID as fallback.</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Notifications</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(partial) + Custom</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Inbox is a central location to monitor and manage agent activity, with notifications categorised as Needs your input, Errors and Completed, and real-time status alerts by email and chat. This is agent-centric, not reviewer-task-centric.</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Reviewer task assignment</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 CLEARLY SUPPORTED</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documented task, work-queue or assignment object anywhere in Gemini Enterprise or Agent Platform documentation. Either custom or an external system. The single largest gap in the mapping.</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Integration APIs</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Discovery Engine API surface (apps/engines, data stores, StreamAssist and answer APIs), Managed Agents API and Interactions API, A2A protocol, MCP, Terraform for data stores.</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Audit logging</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(platform) + Custom (business)</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Audit Logs, usage audit logs and connector error logs via Cloud Logging record platform actions. A business audit trail — which reviewer approved which clause on which version — must be written and retained separately.</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Observability</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 GCI</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Traces and spans, metrics, observability settings, Looker-powered analytics. Agent Simulation, Agent Evaluation and Agent Observability provide full execution traces and a view into agent reasoning.</w:t>
            </w:r>
          </w:p>
        </w:tc>
      </w:tr>
      <w:tr>
        <w:tc>
          <w:tcPr>
            <w:tcW w:type="dxa" w:w="17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storage</w:t>
            </w:r>
          </w:p>
        </w:tc>
        <w:tc>
          <w:tcPr>
            <w:tcW w:type="dxa" w:w="165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External / GCI</w:t>
            </w:r>
          </w:p>
        </w:tc>
        <w:tc>
          <w:tcPr>
            <w:tcW w:type="dxa" w:w="59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Data stores are an index plus ACL layer, not a repository. Blobs live in Cloud Storage or the source system.</w:t>
            </w:r>
          </w:p>
        </w:tc>
      </w:tr>
      <w:tr>
        <w:tc>
          <w:tcPr>
            <w:tcW w:type="dxa" w:w="17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Version management</w:t>
            </w:r>
          </w:p>
        </w:tc>
        <w:tc>
          <w:tcPr>
            <w:tcW w:type="dxa" w:w="16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 CLEARLY SUPPORTED</w:t>
            </w:r>
          </w:p>
        </w:tc>
        <w:tc>
          <w:tcPr>
            <w:tcW w:type="dxa" w:w="5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contract-version lineage construct. Refreshing a data store replaces indexed content; it does not create a version. Requires Cloud Storage object versioning plus a custom version model, or an external CLM as system of record.</w:t>
            </w:r>
          </w:p>
        </w:tc>
      </w:tr>
    </w:tbl>
    <w:p>
      <w:pPr>
        <w:pStyle w:val="Heading2"/>
        <w:spacing w:after="120" w:before="260"/>
      </w:pPr>
      <w:r>
        <w:rPr>
          <w:rFonts w:ascii="Calibri" w:cs="Calibri" w:eastAsia="Calibri" w:hAnsi="Calibri"/>
          <w:b/>
          <w:bCs/>
          <w:color w:val="3B3B3B"/>
          <w:sz w:val="24"/>
          <w:szCs w:val="24"/>
        </w:rPr>
        <w:t xml:space="preserve">3.2 Workflow requirements with no corresponding GEP capability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550"/>
        <w:gridCol w:w="5410"/>
      </w:tblGrid>
      <w:tr>
        <w:trPr>
          <w:tblHeader/>
        </w:trPr>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Requirement</w:t>
            </w:r>
          </w:p>
        </w:tc>
        <w:tc>
          <w:tcPr>
            <w:tcW w:type="dxa" w:w="155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Classification</w:t>
            </w:r>
          </w:p>
        </w:tc>
        <w:tc>
          <w:tcPr>
            <w:tcW w:type="dxa" w:w="541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Note</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identification and segmentation</w:t>
            </w:r>
          </w:p>
        </w:tc>
        <w:tc>
          <w:tcPr>
            <w:tcW w:type="dxa" w:w="155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GCI + Custom</w:t>
            </w:r>
          </w:p>
        </w:tc>
        <w:tc>
          <w:tcPr>
            <w:tcW w:type="dxa" w:w="541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Layout tree gives structure; clause boundary logic is custom.</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classification into review domains</w:t>
            </w:r>
          </w:p>
        </w:tc>
        <w:tc>
          <w:tcPr>
            <w:tcW w:type="dxa" w:w="15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Custom</w:t>
            </w:r>
          </w:p>
        </w:tc>
        <w:tc>
          <w:tcPr>
            <w:tcW w:type="dxa" w:w="541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classification against a controlled taxonomy. Requires a golden-set evaluation harness — this is the accuracy gate for the whole routing layer.</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Playbook comparison / deviation detection</w:t>
            </w:r>
          </w:p>
        </w:tc>
        <w:tc>
          <w:tcPr>
            <w:tcW w:type="dxa" w:w="155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Custom</w:t>
            </w:r>
          </w:p>
        </w:tc>
        <w:tc>
          <w:tcPr>
            <w:tcW w:type="dxa" w:w="541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clause-type lookup plus model diff reasoning. Retrieval similarity alone is insufficient.</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Redline artefact generation</w:t>
            </w:r>
          </w:p>
        </w:tc>
        <w:tc>
          <w:tcPr>
            <w:tcW w:type="dxa" w:w="15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GCI, constrained</w:t>
            </w:r>
          </w:p>
        </w:tc>
        <w:tc>
          <w:tcPr>
            <w:tcW w:type="dxa" w:w="541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Google Docs API supports suggestion-mode batch updates and comments assigned to a specific user, but certain request types error in that mode and format, header and footer settings cannot be suggested. Native DOCX revision markup generation is custom.</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detection between reviewers</w:t>
            </w:r>
          </w:p>
        </w:tc>
        <w:tc>
          <w:tcPr>
            <w:tcW w:type="dxa" w:w="155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Custom</w:t>
            </w:r>
          </w:p>
        </w:tc>
        <w:tc>
          <w:tcPr>
            <w:tcW w:type="dxa" w:w="541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platform construct. A deterministic rule layer is required to satisfy the prohibition on silent automatic resolution.</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UI (clause diff, comment capture)</w:t>
            </w:r>
          </w:p>
        </w:tc>
        <w:tc>
          <w:tcPr>
            <w:tcW w:type="dxa" w:w="155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GCI, constrained</w:t>
            </w:r>
          </w:p>
        </w:tc>
        <w:tc>
          <w:tcPr>
            <w:tcW w:type="dxa" w:w="541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Enterprise supports standard A2UI components rendered with built-in styling, at A2UI version v0.8 only. A2UI rendering currently requires agents registered via the A2A path, excluding managed agents registered via the ADK definition.</w:t>
            </w:r>
          </w:p>
        </w:tc>
      </w:tr>
    </w:tbl>
    <w:p>
      <w:pPr>
        <w:pStyle w:val="Heading2"/>
        <w:spacing w:after="120" w:before="260"/>
      </w:pPr>
      <w:r>
        <w:rPr>
          <w:rFonts w:ascii="Calibri" w:cs="Calibri" w:eastAsia="Calibri" w:hAnsi="Calibri"/>
          <w:b/>
          <w:bCs/>
          <w:color w:val="3B3B3B"/>
          <w:sz w:val="24"/>
          <w:szCs w:val="24"/>
        </w:rPr>
        <w:t xml:space="preserve">3.3 Material implementation risks identified at Stage 1</w:t>
      </w:r>
    </w:p>
    <w:p>
      <w:pPr>
        <w:pStyle w:val="ListParagraph"/>
        <w:numPr>
          <w:ilvl w:val="0"/>
          <w:numId w:val="2"/>
        </w:numPr>
        <w:spacing w:after="60"/>
      </w:pPr>
      <w:r>
        <w:rPr>
          <w:rFonts w:ascii="Calibri" w:cs="Calibri" w:eastAsia="Calibri" w:hAnsi="Calibri"/>
          <w:color w:val="3B3B3B"/>
          <w:sz w:val="20"/>
          <w:szCs w:val="20"/>
        </w:rPr>
        <w:t xml:space="preserve">No task model. The workflow spine — assign, queue, track, escalate — has no platform primitive.</w:t>
      </w:r>
    </w:p>
    <w:p>
      <w:pPr>
        <w:pStyle w:val="ListParagraph"/>
        <w:numPr>
          <w:ilvl w:val="0"/>
          <w:numId w:val="2"/>
        </w:numPr>
        <w:spacing w:after="60"/>
      </w:pPr>
      <w:r>
        <w:rPr>
          <w:rFonts w:ascii="Calibri" w:cs="Calibri" w:eastAsia="Calibri" w:hAnsi="Calibri"/>
          <w:color w:val="3B3B3B"/>
          <w:sz w:val="20"/>
          <w:szCs w:val="20"/>
        </w:rPr>
        <w:t xml:space="preserve">No version model. Versioning, redline history, traceability between original and revised clauses, and repeated negotiation cycles all depend on a version entity GEP does not have.</w:t>
      </w:r>
    </w:p>
    <w:p>
      <w:pPr>
        <w:pStyle w:val="ListParagraph"/>
        <w:numPr>
          <w:ilvl w:val="0"/>
          <w:numId w:val="2"/>
        </w:numPr>
        <w:spacing w:after="60"/>
      </w:pPr>
      <w:r>
        <w:rPr>
          <w:rFonts w:ascii="Calibri" w:cs="Calibri" w:eastAsia="Calibri" w:hAnsi="Calibri"/>
          <w:color w:val="3B3B3B"/>
          <w:sz w:val="20"/>
          <w:szCs w:val="20"/>
        </w:rPr>
        <w:t xml:space="preserve">Inbox is not a review queue. It is a prioritised notification surface over agent runs.</w:t>
      </w:r>
    </w:p>
    <w:p>
      <w:pPr>
        <w:pStyle w:val="ListParagraph"/>
        <w:numPr>
          <w:ilvl w:val="0"/>
          <w:numId w:val="2"/>
        </w:numPr>
        <w:spacing w:after="60"/>
      </w:pPr>
      <w:r>
        <w:rPr>
          <w:rFonts w:ascii="Calibri" w:cs="Calibri" w:eastAsia="Calibri" w:hAnsi="Calibri"/>
          <w:color w:val="3B3B3B"/>
          <w:sz w:val="20"/>
          <w:szCs w:val="20"/>
        </w:rPr>
        <w:t xml:space="preserve">Chat-first surface versus clause-diff task. Three-pane clause comparison with inline comment capture is a poor fit for a conversational surface, and the A2UI component catalogue and version pin limit how far that gap can be closed.</w:t>
      </w:r>
    </w:p>
    <w:p>
      <w:pPr>
        <w:pStyle w:val="ListParagraph"/>
        <w:numPr>
          <w:ilvl w:val="0"/>
          <w:numId w:val="2"/>
        </w:numPr>
        <w:spacing w:after="60"/>
      </w:pPr>
      <w:r>
        <w:rPr>
          <w:rFonts w:ascii="Calibri" w:cs="Calibri" w:eastAsia="Calibri" w:hAnsi="Calibri"/>
          <w:color w:val="3B3B3B"/>
          <w:sz w:val="20"/>
          <w:szCs w:val="20"/>
        </w:rPr>
        <w:t xml:space="preserve">A2UI and ADK registration mismatch may force the reviewer agent onto the A2A path, changing hosting and identity design.</w:t>
      </w:r>
    </w:p>
    <w:p>
      <w:pPr>
        <w:pStyle w:val="ListParagraph"/>
        <w:numPr>
          <w:ilvl w:val="0"/>
          <w:numId w:val="2"/>
        </w:numPr>
        <w:spacing w:after="60"/>
      </w:pPr>
      <w:r>
        <w:rPr>
          <w:rFonts w:ascii="Calibri" w:cs="Calibri" w:eastAsia="Calibri" w:hAnsi="Calibri"/>
          <w:color w:val="3B3B3B"/>
          <w:sz w:val="20"/>
          <w:szCs w:val="20"/>
        </w:rPr>
        <w:t xml:space="preserve">Parser ceilings: 500-page OCR cap and DOCX layout parsing in Preview. Long master agreements with exhibits will hit both.</w:t>
      </w:r>
    </w:p>
    <w:p>
      <w:pPr>
        <w:pStyle w:val="ListParagraph"/>
        <w:numPr>
          <w:ilvl w:val="0"/>
          <w:numId w:val="2"/>
        </w:numPr>
        <w:spacing w:after="60"/>
      </w:pPr>
      <w:r>
        <w:rPr>
          <w:rFonts w:ascii="Calibri" w:cs="Calibri" w:eastAsia="Calibri" w:hAnsi="Calibri"/>
          <w:color w:val="3B3B3B"/>
          <w:sz w:val="20"/>
          <w:szCs w:val="20"/>
        </w:rPr>
        <w:t xml:space="preserve">Preview and GA volatility. Agent Platform launched April 2026; several relevant components are Preview or recently GA.</w:t>
      </w:r>
    </w:p>
    <w:p>
      <w:pPr>
        <w:pStyle w:val="ListParagraph"/>
        <w:numPr>
          <w:ilvl w:val="0"/>
          <w:numId w:val="2"/>
        </w:numPr>
        <w:spacing w:after="60"/>
      </w:pPr>
      <w:r>
        <w:rPr>
          <w:rFonts w:ascii="Calibri" w:cs="Calibri" w:eastAsia="Calibri" w:hAnsi="Calibri"/>
          <w:color w:val="3B3B3B"/>
          <w:sz w:val="20"/>
          <w:szCs w:val="20"/>
        </w:rPr>
        <w:t xml:space="preserve">Extraction accuracy is the project's real risk, not orchestration. If clause classification is materially inaccurate, routing is wrong and reviewers stop trusting the system.</w:t>
      </w:r>
    </w:p>
    <w:p>
      <w:pPr>
        <w:pStyle w:val="Heading2"/>
        <w:spacing w:after="120" w:before="260"/>
      </w:pPr>
      <w:r>
        <w:rPr>
          <w:rFonts w:ascii="Calibri" w:cs="Calibri" w:eastAsia="Calibri" w:hAnsi="Calibri"/>
          <w:b/>
          <w:bCs/>
          <w:color w:val="3B3B3B"/>
          <w:sz w:val="24"/>
          <w:szCs w:val="24"/>
        </w:rPr>
        <w:t xml:space="preserve">3.4 Stage 1 verdict</w:t>
      </w:r>
    </w:p>
    <w:p>
      <w:pPr>
        <w:spacing w:after="120" w:before="0"/>
      </w:pPr>
      <w:r>
        <w:rPr>
          <w:rFonts w:ascii="Calibri" w:cs="Calibri" w:eastAsia="Calibri" w:hAnsi="Calibri"/>
          <w:color w:val="3B3B3B"/>
          <w:sz w:val="20"/>
          <w:szCs w:val="20"/>
        </w:rPr>
        <w:t xml:space="preserve">Gemini Enterprise is a strong fit for ingestion, parsing, retrieval, grounded clause analysis, playbook comparison, agent hosting, identity, governance and observability. It is not a fit for the workflow state machine, the task and assignment layer, the version and redline ledger, or the reviewer work surface.</w:t>
      </w:r>
    </w:p>
    <w:p>
      <w:pPr>
        <w:spacing w:after="120" w:before="0"/>
      </w:pPr>
      <w:r>
        <w:rPr>
          <w:rFonts w:ascii="Calibri" w:cs="Calibri" w:eastAsia="Calibri" w:hAnsi="Calibri"/>
          <w:color w:val="3B3B3B"/>
          <w:sz w:val="20"/>
          <w:szCs w:val="20"/>
        </w:rPr>
        <w:t xml:space="preserve">The architectural implication is that Gemini Enterprise wants to be the intelligence and interaction layer over a contract system of record, not a replacement for one. Positioning it as the latter would require rebuilding a CLM.</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4. Stage 2 — End-to-End Technical Mapping</w:t>
      </w:r>
    </w:p>
    <w:p>
      <w:pPr>
        <w:pStyle w:val="Heading2"/>
        <w:spacing w:after="120" w:before="260"/>
      </w:pPr>
      <w:r>
        <w:rPr>
          <w:rFonts w:ascii="Calibri" w:cs="Calibri" w:eastAsia="Calibri" w:hAnsi="Calibri"/>
          <w:b/>
          <w:bCs/>
          <w:color w:val="3B3B3B"/>
          <w:sz w:val="24"/>
          <w:szCs w:val="24"/>
        </w:rPr>
        <w:t xml:space="preserve">4.1 Prerequisite: the identifier spine</w:t>
      </w:r>
    </w:p>
    <w:p>
      <w:pPr>
        <w:spacing w:after="120" w:before="0"/>
      </w:pPr>
      <w:r>
        <w:rPr>
          <w:rFonts w:ascii="Calibri" w:cs="Calibri" w:eastAsia="Calibri" w:hAnsi="Calibri"/>
          <w:color w:val="3B3B3B"/>
          <w:sz w:val="20"/>
          <w:szCs w:val="20"/>
        </w:rPr>
        <w:t xml:space="preserve">Traceability is unsatisfiable unless identifiers are minted deterministically at ingestion and never regenerated by a model.</w:t>
      </w:r>
    </w:p>
    <w:p>
      <w:pPr>
        <w:spacing w:after="0" w:line="200"/>
      </w:pPr>
      <w:r>
        <w:rPr>
          <w:rFonts w:ascii="Consolas" w:cs="Consolas" w:eastAsia="Consolas" w:hAnsi="Consolas"/>
          <w:color w:val="3B3B3B"/>
          <w:sz w:val="15"/>
          <w:szCs w:val="15"/>
        </w:rPr>
        <w:t xml:space="preserve">contract_id      ULID, minted once at intake, immutable</w:t>
      </w:r>
    </w:p>
    <w:p>
      <w:pPr>
        <w:spacing w:after="0" w:line="200"/>
      </w:pPr>
      <w:r>
        <w:rPr>
          <w:rFonts w:ascii="Consolas" w:cs="Consolas" w:eastAsia="Consolas" w:hAnsi="Consolas"/>
          <w:color w:val="3B3B3B"/>
          <w:sz w:val="15"/>
          <w:szCs w:val="15"/>
        </w:rPr>
        <w:t xml:space="preserve">version_id       contract_id + monotonic integer (v1, v2, v3...)</w:t>
      </w:r>
    </w:p>
    <w:p>
      <w:pPr>
        <w:spacing w:after="0" w:line="200"/>
      </w:pPr>
      <w:r>
        <w:rPr>
          <w:rFonts w:ascii="Consolas" w:cs="Consolas" w:eastAsia="Consolas" w:hAnsi="Consolas"/>
          <w:color w:val="3B3B3B"/>
          <w:sz w:val="15"/>
          <w:szCs w:val="15"/>
        </w:rPr>
        <w:t xml:space="preserve">clause_id        contract_id + stable clause key (type + ordinal)</w:t>
      </w:r>
    </w:p>
    <w:p>
      <w:pPr>
        <w:spacing w:after="0" w:line="200"/>
      </w:pPr>
      <w:r>
        <w:rPr>
          <w:rFonts w:ascii="Consolas" w:cs="Consolas" w:eastAsia="Consolas" w:hAnsi="Consolas"/>
          <w:color w:val="3B3B3B"/>
          <w:sz w:val="15"/>
          <w:szCs w:val="15"/>
        </w:rPr>
        <w:t xml:space="preserve">                 NOT tied to version - this is what makes v1&lt;-&gt;v3</w:t>
      </w:r>
    </w:p>
    <w:p>
      <w:pPr>
        <w:spacing w:after="0" w:line="200"/>
      </w:pPr>
      <w:r>
        <w:rPr>
          <w:rFonts w:ascii="Consolas" w:cs="Consolas" w:eastAsia="Consolas" w:hAnsi="Consolas"/>
          <w:color w:val="3B3B3B"/>
          <w:sz w:val="15"/>
          <w:szCs w:val="15"/>
        </w:rPr>
        <w:t xml:space="preserve">                 clause lineage possible</w:t>
      </w:r>
    </w:p>
    <w:p>
      <w:pPr>
        <w:spacing w:after="0" w:line="200"/>
      </w:pPr>
      <w:r>
        <w:rPr>
          <w:rFonts w:ascii="Consolas" w:cs="Consolas" w:eastAsia="Consolas" w:hAnsi="Consolas"/>
          <w:color w:val="3B3B3B"/>
          <w:sz w:val="15"/>
          <w:szCs w:val="15"/>
        </w:rPr>
        <w:t xml:space="preserve">clause_instance  version_id + clause_id - the versioned text</w:t>
      </w:r>
    </w:p>
    <w:p>
      <w:pPr>
        <w:spacing w:after="0" w:line="200"/>
      </w:pPr>
      <w:r>
        <w:rPr>
          <w:rFonts w:ascii="Consolas" w:cs="Consolas" w:eastAsia="Consolas" w:hAnsi="Consolas"/>
          <w:color w:val="3B3B3B"/>
          <w:sz w:val="15"/>
          <w:szCs w:val="15"/>
        </w:rPr>
        <w:t xml:space="preserve">review_task_id   clause_instance + reviewer_function</w:t>
      </w:r>
    </w:p>
    <w:p>
      <w:pPr>
        <w:spacing w:after="0" w:line="200"/>
      </w:pPr>
      <w:r>
        <w:rPr>
          <w:rFonts w:ascii="Consolas" w:cs="Consolas" w:eastAsia="Consolas" w:hAnsi="Consolas"/>
          <w:color w:val="3B3B3B"/>
          <w:sz w:val="15"/>
          <w:szCs w:val="15"/>
        </w:rPr>
        <w:t xml:space="preserve">decision_id      review_task_id + reviewer_identity + timestamp</w:t>
      </w:r>
    </w:p>
    <w:p>
      <w:pPr>
        <w:spacing w:after="120" w:before="120"/>
      </w:pPr>
      <w:r>
        <w:rPr>
          <w:rFonts w:ascii="Calibri" w:cs="Calibri" w:eastAsia="Calibri" w:hAnsi="Calibri"/>
          <w:color w:val="3B3B3B"/>
          <w:sz w:val="20"/>
          <w:szCs w:val="20"/>
        </w:rPr>
        <w:t xml:space="preserve">Stability of clause_id across versions is the hardest element and is deterministic with limited model assistance only.</w:t>
      </w:r>
    </w:p>
    <w:p>
      <w:pPr>
        <w:pStyle w:val="Heading2"/>
        <w:spacing w:after="120" w:before="260"/>
      </w:pPr>
      <w:r>
        <w:rPr>
          <w:rFonts w:ascii="Calibri" w:cs="Calibri" w:eastAsia="Calibri" w:hAnsi="Calibri"/>
          <w:b/>
          <w:bCs/>
          <w:color w:val="3B3B3B"/>
          <w:sz w:val="24"/>
          <w:szCs w:val="24"/>
        </w:rPr>
        <w:t xml:space="preserve">4.2 Phase 1 — Intake (workflow steps 1 to 3)</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GEP / Google 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 and output</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 Supplier submits by email</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 native. Gmail and Outlook connectors are index-only data stores, not transactional triggers</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Gmail API users.watch to Pub/Sub; Cloud Run intake service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Sender allowlist, attachment validation, malware scan, DLP pre-scan. Raw blob to Cloud Storage (versioned, CMEK); envelope row persisted</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2. PA receives and triages</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assistant can search mail; cannot own a triage queue</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intake API plus PA queue view</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Supplier match against vendor master, contract-type pre-classification, duplicate detection by content hash. Status AWAITING_PA</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(or External if CLM owns intake)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3. PA uploads through UI</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A2UI agent in GEP web app, or external web app</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A2UI agent on Cloud Run via A2A registration; or custom app on Cloud Run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Mint contract_id and version_id, write intake event, enqueue processing job</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 constrained — A2UI v0.8 catalogue is fixed; a clause grid likely needs the external app</w:t>
            </w:r>
          </w:p>
        </w:tc>
      </w:tr>
    </w:tbl>
    <w:p>
      <w:pPr>
        <w:pStyle w:val="Heading2"/>
        <w:spacing w:after="120" w:before="260"/>
      </w:pPr>
      <w:r>
        <w:rPr>
          <w:rFonts w:ascii="Calibri" w:cs="Calibri" w:eastAsia="Calibri" w:hAnsi="Calibri"/>
          <w:b/>
          <w:bCs/>
          <w:color w:val="3B3B3B"/>
          <w:sz w:val="24"/>
          <w:szCs w:val="24"/>
        </w:rPr>
        <w:t xml:space="preserve">4.3 Phase 2 — Document processing (step 4a to 4b)</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GEP / Google 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 and output</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4a. Document ingestion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data store import for retrieval; Cloud Storage for the processing path</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Eventarc to Cloud Run worker; Discovery Engine documents.import</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Idempotency on content hash; branch to processing pipeline and to GEP index import</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(index) + Custom (pipeline)</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4b. Parse and structure extraction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AI Layout Parser — not the GEP built-in parser</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AI processor (async batch)</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OCR plus layout tree; heading hierarchy, tables and lists preserved with ancestral heading context. DocumentLayout proto with page and offset anchors</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r>
    </w:tbl>
    <w:p>
      <w:pPr>
        <w:spacing w:after="120" w:before="100"/>
      </w:pPr>
      <w:r>
        <w:rPr>
          <w:rFonts w:ascii="Calibri" w:cs="Calibri" w:eastAsia="Calibri" w:hAnsi="Calibri"/>
          <w:color w:val="3B3B3B"/>
          <w:sz w:val="20"/>
          <w:szCs w:val="20"/>
        </w:rPr>
        <w:t xml:space="preserve">The standalone Document AI layout parser is required rather than the in-product parser because clause boundary detection needs the addressable block tree with page and offset anchors. Those anchors are what make clause-level citation back to the source document possible in the reviewer interface.</w:t>
      </w:r>
    </w:p>
    <w:p>
      <w:pPr>
        <w:pStyle w:val="Heading2"/>
        <w:spacing w:after="120" w:before="260"/>
      </w:pPr>
      <w:r>
        <w:rPr>
          <w:rFonts w:ascii="Calibri" w:cs="Calibri" w:eastAsia="Calibri" w:hAnsi="Calibri"/>
          <w:b/>
          <w:bCs/>
          <w:color w:val="3B3B3B"/>
          <w:sz w:val="24"/>
          <w:szCs w:val="24"/>
        </w:rPr>
        <w:t xml:space="preserve">4.4 Phase 3 — Clause intelligence (step 4c to 4g)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4c. Clause identification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Layout tree plus Gemini</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segmentation service; Gemini structured output</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first: heading pattern, numbering regex, TOC anchors. Model only for unnumbered or prose contracts and boundary ambiguity</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(deterministic-first)</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4d. Clause classification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structured output against a closed taxonomy</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 classification agent on Agent Runtime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Constrained classification to controlled vocabulary; returns type, confidence and rationale</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4e. Playbook comparison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data store for corpus; deterministic lookup for the standard clause</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comparison service; Gemini; approved-clause table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fetch approved clause by clause_type key, not vector similarity. Model: semantic delta reasoning against the fetched standard and fallback ladder</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Native GEP (grounding for reviewer Q&amp;A only)</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4f. Deviation and redline identification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for drafting; deterministic for severity</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redline service; Gemini</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token diff for the visual redline; severity band assigned by rule table on clause type and deviation category; model drafts proposed counter-language</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4g. Routing to reviewers</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native construct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routing service; routing matrix</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Pure deterministic lookup. Fan-out task creation, one review task per clause instance and function</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bl>
    <w:p>
      <w:pPr>
        <w:spacing w:after="120" w:before="100"/>
      </w:pPr>
      <w:r>
        <w:rPr>
          <w:rFonts w:ascii="Calibri" w:cs="Calibri" w:eastAsia="Calibri" w:hAnsi="Calibri"/>
          <w:color w:val="3B3B3B"/>
          <w:sz w:val="20"/>
          <w:szCs w:val="20"/>
        </w:rPr>
        <w:t xml:space="preserve">Step 4g contains zero model inference. Routing is the audit-visible control point. If a model decides that Tax does not need to see a withholding clause, that decision is unexplainable to an auditor and unreproducible across runs. The matrix is a versioned configuration artefact and its version is stamped on every task.</w:t>
      </w:r>
    </w:p>
    <w:p>
      <w:pPr>
        <w:pStyle w:val="Heading2"/>
        <w:spacing w:after="120" w:before="260"/>
      </w:pPr>
      <w:r>
        <w:rPr>
          <w:rFonts w:ascii="Calibri" w:cs="Calibri" w:eastAsia="Calibri" w:hAnsi="Calibri"/>
          <w:b/>
          <w:bCs/>
          <w:color w:val="3B3B3B"/>
          <w:sz w:val="24"/>
          <w:szCs w:val="24"/>
        </w:rPr>
        <w:t xml:space="preserve">4.5 Phase 4 — Reviewer packet and delivery (steps 5 to 6)</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5. Function-scoped access</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IAM and app access controls for platform access; record-level ACL is custom</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authz middleware; groups per function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Filter tasks by reviewer function; enforce clause-level visibility server-side, not in the UI</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(identity) + Custom (record ACL)</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6. Packet assembly</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for the analysis panel; deterministic assembly of the five required elements</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packet service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assembly of original language, proposed language, applicable policy clause and prior-version decisions. Model generates the advisory analysis, labelled as AI-generated</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6b. Notification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Inbox surfaces agent status; per-task reviewer notification is custom</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Gmail API / Google Chat API; Cloud Tasks for reminders</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Digest batching — one message per reviewer per contract, not per clause — with deep link</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(partial) + Custom</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6c. Reviewer work surface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A2UI agent, or external app</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A2UI on Cloud Run (A2A path) or custom app</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Render three-pane clause diff; capture decision, comment and proposed edit</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 constrained</w:t>
            </w:r>
          </w:p>
        </w:tc>
      </w:tr>
    </w:tbl>
    <w:p>
      <w:pPr>
        <w:spacing w:after="120" w:before="100"/>
      </w:pPr>
      <w:r>
        <w:rPr>
          <w:rFonts w:ascii="Calibri" w:cs="Calibri" w:eastAsia="Calibri" w:hAnsi="Calibri"/>
          <w:color w:val="3B3B3B"/>
          <w:sz w:val="20"/>
          <w:szCs w:val="20"/>
        </w:rPr>
        <w:t xml:space="preserve">The packet is snapshotted at task creation. If the playbook or approved clause library changes mid-review, an already-issued packet must not change underneath a reviewer — that would break the audit chain between what was reviewed and what was decided.</w:t>
      </w:r>
    </w:p>
    <w:p>
      <w:pPr>
        <w:pStyle w:val="Heading2"/>
        <w:spacing w:after="120" w:before="260"/>
      </w:pPr>
      <w:r>
        <w:rPr>
          <w:rFonts w:ascii="Calibri" w:cs="Calibri" w:eastAsia="Calibri" w:hAnsi="Calibri"/>
          <w:b/>
          <w:bCs/>
          <w:color w:val="3B3B3B"/>
          <w:sz w:val="24"/>
          <w:szCs w:val="24"/>
        </w:rPr>
        <w:t xml:space="preserve">4.6 Phase 5 — Asynchronous review and decision capture (steps 7 to 8)</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7. Async and parallel execution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Runtime long-running agents; ADK LongRunningFunctionTool pause and resume</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Workflows plus Cloud Tasks (recommended) over Agent Runtime as engine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Fan-out; await completion per branch; SLA timers via scheduled callbacks; escalation on breach</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 (runtime) + Custom (process state)</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8. Decision and comment capture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 native</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decision API</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Validate reviewer authorisation and decision enum; write immutable decision record with full binding tuple</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bl>
    <w:p>
      <w:pPr>
        <w:spacing w:after="120" w:before="100"/>
      </w:pPr>
      <w:r>
        <w:rPr>
          <w:rFonts w:ascii="Calibri" w:cs="Calibri" w:eastAsia="Calibri" w:hAnsi="Calibri"/>
          <w:color w:val="3B3B3B"/>
          <w:sz w:val="20"/>
          <w:szCs w:val="20"/>
        </w:rPr>
        <w:t xml:space="preserve">Recommendation: Cloud Workflows or Application Integration owns the process state machine and ADK agents are invoked as stateless steps within it. Using the agent runtime as the workflow engine inverts the responsibility and places the audit trail inside agent session events. Decisions must not be stored in Memory Bank, which has TTL-based expiry and model-driven memory generation — both disqualifying for a legal audit record.</w:t>
      </w:r>
    </w:p>
    <w:p>
      <w:pPr>
        <w:pStyle w:val="Heading2"/>
        <w:spacing w:after="120" w:before="260"/>
      </w:pPr>
      <w:r>
        <w:rPr>
          <w:rFonts w:ascii="Calibri" w:cs="Calibri" w:eastAsia="Calibri" w:hAnsi="Calibri"/>
          <w:b/>
          <w:bCs/>
          <w:color w:val="3B3B3B"/>
          <w:sz w:val="24"/>
          <w:szCs w:val="24"/>
        </w:rPr>
        <w:t xml:space="preserve">4.7 Phase 6 — Conflict detection and consolidation (steps 9 to 10)</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10a. Conflict detection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native construct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conflict evaluator — rule-based</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predicate: two or more decisions with divergent polarity, or mutually exclusive proposed language on the same clause. Both positions retained</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10b. Conflict characterisation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 analysis agent</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Model describes the nature of the disagreement and options; explicitly does not resolve it</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(advisory only)</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10c. Resolution routing</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native construct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routing; escalation matrix</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escalation lookup to a named human resolver</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9. PA consolidation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for drafting; deterministic for gating</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consolidation service; Gemini; Docs API</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Gate check: every task terminal, zero open conflicts. Then model assembles the consolidated revision draft</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bl>
    <w:p>
      <w:pPr>
        <w:spacing w:after="120" w:before="100"/>
      </w:pPr>
      <w:r>
        <w:rPr>
          <w:rFonts w:ascii="Calibri" w:cs="Calibri" w:eastAsia="Calibri" w:hAnsi="Calibri"/>
          <w:color w:val="3B3B3B"/>
          <w:sz w:val="20"/>
          <w:szCs w:val="20"/>
        </w:rPr>
        <w:t xml:space="preserve">The prohibition on silent automatic resolution is a hard architectural constraint. Conflict detection is a rule, not an inference; the model has no write path to clause status; and status can only leave the conflict state via an authenticated human resolution decision. This is enforced in the state machine, not in a prompt.</w:t>
      </w:r>
    </w:p>
    <w:p>
      <w:pPr>
        <w:pStyle w:val="Heading2"/>
        <w:spacing w:after="120" w:before="260"/>
      </w:pPr>
      <w:r>
        <w:rPr>
          <w:rFonts w:ascii="Calibri" w:cs="Calibri" w:eastAsia="Calibri" w:hAnsi="Calibri"/>
          <w:b/>
          <w:bCs/>
          <w:color w:val="3B3B3B"/>
          <w:sz w:val="24"/>
          <w:szCs w:val="24"/>
        </w:rPr>
        <w:t xml:space="preserve">4.8 Phase 7 — Version materialisation and audit (step 11)</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11a. Redline generation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Google Docs API suggestion mode; DOCX round-trip</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document service; Docs API; or OOXML library</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Apply accepted edits as suggestions; attach reviewer comments assigned to specific users</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 constrained — suggestion mode rejects certain request types and cannot suggest format, header or footer changes</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11b. Version increment</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version service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Mint next version_id; carry clause_id lineage; snapshot immutable</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11c. Audit ledger</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Audit Logs cover platform; business events are custom</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BigQuery append-only event table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Write-once event stream: who, what, which clause, which version, when, prior value</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(platform) + Custom (business)</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11d. Traceability across versions</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 lineage table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Join on stable clause_id; diff clause instance text between versions</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11e. Re-index for search</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data store refresh</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Discovery Engine documents.import</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Import with version metadata for filtered retrieval</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w:t>
            </w:r>
          </w:p>
        </w:tc>
      </w:tr>
    </w:tbl>
    <w:p>
      <w:pPr>
        <w:pStyle w:val="Heading2"/>
        <w:spacing w:after="120" w:before="260"/>
      </w:pPr>
      <w:r>
        <w:rPr>
          <w:rFonts w:ascii="Calibri" w:cs="Calibri" w:eastAsia="Calibri" w:hAnsi="Calibri"/>
          <w:b/>
          <w:bCs/>
          <w:color w:val="3B3B3B"/>
          <w:sz w:val="24"/>
          <w:szCs w:val="24"/>
        </w:rPr>
        <w:t xml:space="preserve">4.9 Phase 8 — Negotiation cycle and final approval (step 12)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100"/>
        <w:gridCol w:w="1900"/>
        <w:gridCol w:w="2100"/>
        <w:gridCol w:w="176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Business step</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Service</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Processing</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Type</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12a. Issue revision to supplier</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Docusign connector is index-only</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plus Gmail API, or CLM / Ariba API</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Package and transmit; record outbound event; increment cycle counter</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or External</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12b. Supplier counter-revision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Re-enters Phase 1</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Same pipeline at next version_id with clause_id preserved</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12c. Delta-scoped re-review</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Run scoping service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Only clauses whose text changed, or whose prior decision was conditional, generate new tasks. Unchanged clauses inherit prior decisions with explicit carry-forward provenance</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must be deterministic</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12d. Final approval</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native construct</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Workflows terminal gate; eSignature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gate: all functions terminal, zero conflicts, delegation-of-authority thresholds met</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 + External</w:t>
            </w:r>
          </w:p>
        </w:tc>
      </w:tr>
    </w:tbl>
    <w:p>
      <w:pPr>
        <w:spacing w:after="120" w:before="100"/>
      </w:pPr>
      <w:r>
        <w:rPr>
          <w:rFonts w:ascii="Calibri" w:cs="Calibri" w:eastAsia="Calibri" w:hAnsi="Calibri"/>
          <w:color w:val="3B3B3B"/>
          <w:sz w:val="20"/>
          <w:szCs w:val="20"/>
        </w:rPr>
        <w:t xml:space="preserve">Step 12c is the highest-value optimisation in the design and the most dangerous place to use a model. Deciding that a clause did not materially change and can skip re-review by inference means a materially altered indemnity cap can silently inherit a prior approval. Exact text diff plus a normalisation allowlist for whitespace and non-substantive formatting only — nothing semantic.</w:t>
      </w:r>
    </w:p>
    <w:p>
      <w:pPr>
        <w:pStyle w:val="Heading2"/>
        <w:spacing w:after="120" w:before="260"/>
      </w:pPr>
      <w:r>
        <w:rPr>
          <w:rFonts w:ascii="Calibri" w:cs="Calibri" w:eastAsia="Calibri" w:hAnsi="Calibri"/>
          <w:b/>
          <w:bCs/>
          <w:color w:val="3B3B3B"/>
          <w:sz w:val="24"/>
          <w:szCs w:val="24"/>
        </w:rPr>
        <w:t xml:space="preserve">4.10 The deterministic / generative boundary</w:t>
      </w:r>
    </w:p>
    <w:p>
      <w:pPr>
        <w:spacing w:after="120" w:before="0"/>
      </w:pPr>
      <w:r>
        <w:rPr>
          <w:rFonts w:ascii="Calibri" w:cs="Calibri" w:eastAsia="Calibri" w:hAnsi="Calibri"/>
          <w:color w:val="3B3B3B"/>
          <w:sz w:val="20"/>
          <w:szCs w:val="20"/>
        </w:rPr>
        <w:t xml:space="preserve">Governing pattern: the model proposes, deterministic code commits. No model output writes directly to workflow state, routing, status, version, access control or audit records.</w:t>
      </w:r>
    </w:p>
    <w:p>
      <w:pPr>
        <w:pStyle w:val="Heading3"/>
        <w:spacing w:after="100" w:before="200"/>
      </w:pPr>
      <w:r>
        <w:rPr>
          <w:rFonts w:ascii="Calibri" w:cs="Calibri" w:eastAsia="Calibri" w:hAnsi="Calibri"/>
          <w:b/>
          <w:bCs/>
          <w:color w:val="5B2A86"/>
          <w:sz w:val="21"/>
          <w:szCs w:val="21"/>
        </w:rPr>
        <w:t xml:space="preserve">Must be deterministic — no model in the path</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300"/>
        <w:gridCol w:w="5460"/>
      </w:tblGrid>
      <w:tr>
        <w:trPr>
          <w:tblHeader/>
        </w:trPr>
        <w:tc>
          <w:tcPr>
            <w:tcW w:type="dxa" w:w="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33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Logic</w:t>
            </w:r>
          </w:p>
        </w:tc>
        <w:tc>
          <w:tcPr>
            <w:tcW w:type="dxa" w:w="54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Rationale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to reviewer routing matrix</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Audit-visible control; must be reproducible and explainable to a regulator</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Workflow state transitions</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Non-reproducible state machines are unauditable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identity lineage across versions</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Traceability collapses if identity is inferred; use anchor matching with thresholds plus human confirmation on ambiguity</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detection predicate</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rule can be proven; an inference cannot</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escalation routing</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As routing</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6</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 increment and immutability</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record integrity</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7</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Record-level ACL and clause visibility enforcement</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Security control; server-side, never by prompt instruction</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8</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Approved clause retrieval by clause type key</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Vector similarity returns a similar clause, not the governing standard; a non-deterministic baseline makes deviation findings unreproducible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9</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Completion gates and delegation-of-authority thresholds</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Financial control</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10</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SLA timers, escalation triggers, reminder scheduling</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Time logic is arithmetic</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11</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Delta scoping between negotiation cycles</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Prevents silent inheritance of prior approvals on changed language</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12</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Audit event emission</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Must be exhaustive and unconditional</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13</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Idempotency and duplicate suppression</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Content hashes, not judgement</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14</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Text-level diff for the visual redline</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Character-accurate diff is a solved deterministic problem; a model restating it will drift</w:t>
            </w:r>
          </w:p>
        </w:tc>
      </w:tr>
    </w:tbl>
    <w:p>
      <w:pPr>
        <w:pStyle w:val="Heading3"/>
        <w:spacing w:after="100" w:before="200"/>
      </w:pPr>
      <w:r>
        <w:rPr>
          <w:rFonts w:ascii="Calibri" w:cs="Calibri" w:eastAsia="Calibri" w:hAnsi="Calibri"/>
          <w:b/>
          <w:bCs/>
          <w:color w:val="5B2A86"/>
          <w:sz w:val="21"/>
          <w:szCs w:val="21"/>
        </w:rPr>
        <w:t xml:space="preserve">Appropriate for model reasoning — advisory, human-adjudicated or gated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300"/>
        <w:gridCol w:w="5460"/>
      </w:tblGrid>
      <w:tr>
        <w:trPr>
          <w:tblHeader/>
        </w:trPr>
        <w:tc>
          <w:tcPr>
            <w:tcW w:type="dxa" w:w="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33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Task</w:t>
            </w:r>
          </w:p>
        </w:tc>
        <w:tc>
          <w:tcPr>
            <w:tcW w:type="dxa" w:w="54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Guardrail</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segmentation on unnumbered or prose contracts</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pass first; model on residual ambiguity only; confidence threshold routes to exception queue</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classification into taxonomy</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Closed vocabulary, structured output, confidence score; low confidence to human adjudication. Golden-set evaluation harness required before go-live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Semantic deviation reasoning</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Grounded on the deterministically retrieved standard clause; output is advisory text, not a status</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Proposed counter-language drafting</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Always human-approved before entering a version; drafts derived from the approved fallback ladder</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analysis panel</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Labelled as AI-generated in the interface</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6</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characterisation</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Describes the disagreement; no write path to resolution</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7</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Consolidation drafting</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PA approves every accepted change individually</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8</w:t>
            </w:r>
          </w:p>
        </w:tc>
        <w:tc>
          <w:tcPr>
            <w:tcW w:type="dxa" w:w="3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Q&amp;A against playbooks</w:t>
            </w:r>
          </w:p>
        </w:tc>
        <w:tc>
          <w:tcPr>
            <w:tcW w:type="dxa" w:w="5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Read-only; no workflow side effects</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9</w:t>
            </w:r>
          </w:p>
        </w:tc>
        <w:tc>
          <w:tcPr>
            <w:tcW w:type="dxa" w:w="3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Contract-type pre-classification at intake</w:t>
            </w:r>
          </w:p>
        </w:tc>
        <w:tc>
          <w:tcPr>
            <w:tcW w:type="dxa" w:w="5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PA confirms</w:t>
            </w:r>
          </w:p>
        </w:tc>
      </w:tr>
    </w:tbl>
    <w:p>
      <w:pPr>
        <w:spacing w:after="120" w:before="100"/>
      </w:pPr>
      <w:r>
        <w:rPr>
          <w:rFonts w:ascii="Calibri" w:cs="Calibri" w:eastAsia="Calibri" w:hAnsi="Calibri"/>
          <w:color w:val="3B3B3B"/>
          <w:sz w:val="20"/>
          <w:szCs w:val="20"/>
        </w:rPr>
        <w:t xml:space="preserve">Materiality severity sits on the boundary. Because it affects routing, it cannot be a raw model output. Recommended split: the model extracts structured deviation features (does the liability cap change, in which direction, by what magnitude, does governing law shift jurisdiction class) and a deterministic rule table maps feature vectors to severity bands.</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5. Stage 3 — Agentic Architecture</w:t>
      </w:r>
    </w:p>
    <w:p>
      <w:pPr>
        <w:pStyle w:val="Heading2"/>
        <w:spacing w:after="120" w:before="260"/>
      </w:pPr>
      <w:r>
        <w:rPr>
          <w:rFonts w:ascii="Calibri" w:cs="Calibri" w:eastAsia="Calibri" w:hAnsi="Calibri"/>
          <w:b/>
          <w:bCs/>
          <w:color w:val="3B3B3B"/>
          <w:sz w:val="24"/>
          <w:szCs w:val="24"/>
        </w:rPr>
        <w:t xml:space="preserve">5.1 Design principle</w:t>
      </w:r>
    </w:p>
    <w:p>
      <w:pPr>
        <w:spacing w:after="120" w:before="0"/>
      </w:pPr>
      <w:r>
        <w:rPr>
          <w:rFonts w:ascii="Calibri" w:cs="Calibri" w:eastAsia="Calibri" w:hAnsi="Calibri"/>
          <w:color w:val="3B3B3B"/>
          <w:sz w:val="20"/>
          <w:szCs w:val="20"/>
        </w:rPr>
        <w:t xml:space="preserve">An agent is justified only when a task requires iterative reasoning over tool results. If a component takes input, calls one model or one API and returns output, it is a service — wrapping it in an agent runtime adds latency, non-determinism, session state and a governance surface for no benefit. If a component routes, gates or persists, it must not be an agent at all.</w:t>
      </w:r>
    </w:p>
    <w:p>
      <w:pPr>
        <w:spacing w:after="120" w:before="0"/>
      </w:pPr>
      <w:r>
        <w:rPr>
          <w:rFonts w:ascii="Calibri" w:cs="Calibri" w:eastAsia="Calibri" w:hAnsi="Calibri"/>
          <w:color w:val="3B3B3B"/>
          <w:sz w:val="20"/>
          <w:szCs w:val="20"/>
        </w:rPr>
        <w:t xml:space="preserve">Applying that test to eleven candidate agents: four survive; seven are reassigned.</w:t>
      </w:r>
    </w:p>
    <w:p>
      <w:pPr>
        <w:pStyle w:val="Heading2"/>
        <w:spacing w:after="120" w:before="260"/>
      </w:pPr>
      <w:r>
        <w:rPr>
          <w:rFonts w:ascii="Calibri" w:cs="Calibri" w:eastAsia="Calibri" w:hAnsi="Calibri"/>
          <w:b/>
          <w:bCs/>
          <w:color w:val="3B3B3B"/>
          <w:sz w:val="24"/>
          <w:szCs w:val="24"/>
        </w:rPr>
        <w:t xml:space="preserve">5.2 Agent inventory verdict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900"/>
        <w:gridCol w:w="5260"/>
      </w:tblGrid>
      <w:tr>
        <w:trPr>
          <w:tblHeader/>
        </w:trPr>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Candidate</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Verdict</w:t>
            </w:r>
          </w:p>
        </w:tc>
        <w:tc>
          <w:tcPr>
            <w:tcW w:type="dxa" w:w="52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Reasoning</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Intake Agent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 event-driven service</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Gmail push to Pub/Sub to Cloud Run. Validation, hashing, allowlist, dedupe. No reasoning. Contract-type pre-classification is one bounded model call inside the service.</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Parsing Agent</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 managed API call</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AI Layout Parser is a single async processor invocation. No tools, no iteration, no decisions.</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Extraction Agent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Merge into Agent 1</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Needs a fallback loop for unnumbered contracts and shares document context with classification. Two agents would re-read the same layout tree twice.</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Classification Agent</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Merge into Agent 1</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Same document context, same call boundary.</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Contract Playbook Retrieval Agent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 tool plus deterministic lookup</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approved clause is fetched by clause_type key, not similarity. Making retrieval agentic reintroduces the non-determinism deliberately removed. It becomes a tool exposed to Agent 2.</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Redline Analysis Agent</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KEEP — Agent 2</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Genuine agent. Multi-step and tool-using: fetch standard clause, fetch fallback ladder, fetch prior-cycle decisions, reason about the delta, extract deviation features, draft counter-language. The core intelligence.</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Routing Agent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 deterministic matrix</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Routing is the audit-visible control point. Non-negotiable.</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 Coordination Agent</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 workflow engine</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This is Cloud Workflows or Application Integration. A state machine that must be inspectable, resumable and replayable is not an agent.</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Detection Agent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detection; fold characterisation into Agent 3</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Detection is a boolean over decision polarity. The advisory characterisation is a capability of the consolidation agent, not a separate deployment.</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Consolidation Agent</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KEEP — Agent 3</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Genuine agent. Assembles accepted changes, resolves textual integration order, calls the document tool, describes conflicts. Human-gated on output.</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Approval Agent</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 deterministic gate</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Completion predicate plus threshold lookup plus human signature. A model in an approval gate is an audit finding.</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Assistant Agent (addition)</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KEEP — Agent 4</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 on the original list and should be. Read-only, conversational, GEP-native, grounded on the playbook corpus with citations. The clearest justification for the Gemini Enterprise licence; without it GEP is reduced to an ADK hosting substrate.</w:t>
            </w:r>
          </w:p>
        </w:tc>
      </w:tr>
    </w:tbl>
    <w:p>
      <w:pPr>
        <w:spacing w:after="120" w:before="100"/>
      </w:pPr>
      <w:r>
        <w:rPr>
          <w:rFonts w:ascii="Calibri" w:cs="Calibri" w:eastAsia="Calibri" w:hAnsi="Calibri"/>
          <w:b/>
          <w:bCs/>
          <w:color w:val="3B3B3B"/>
          <w:sz w:val="20"/>
          <w:szCs w:val="20"/>
        </w:rPr>
        <w:t xml:space="preserve">Net reduction: eleven candidates to four agents.</w:t>
      </w:r>
    </w:p>
    <w:p>
      <w:pPr>
        <w:pStyle w:val="Heading2"/>
        <w:spacing w:after="120" w:before="260"/>
      </w:pPr>
      <w:r>
        <w:rPr>
          <w:rFonts w:ascii="Calibri" w:cs="Calibri" w:eastAsia="Calibri" w:hAnsi="Calibri"/>
          <w:b/>
          <w:bCs/>
          <w:color w:val="3B3B3B"/>
          <w:sz w:val="24"/>
          <w:szCs w:val="24"/>
        </w:rPr>
        <w:t xml:space="preserve">5.3 The four proof-of-concept agents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1940"/>
        <w:gridCol w:w="1940"/>
        <w:gridCol w:w="1940"/>
        <w:gridCol w:w="1940"/>
      </w:tblGrid>
      <w:tr>
        <w:trPr>
          <w:tblHeader/>
        </w:trPr>
        <w:tc>
          <w:tcPr>
            <w:tcW w:type="dxa" w:w="1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
            </w:r>
          </w:p>
        </w:tc>
        <w:tc>
          <w:tcPr>
            <w:tcW w:type="dxa" w:w="194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Agent 1 — clause analysis</w:t>
            </w:r>
          </w:p>
        </w:tc>
        <w:tc>
          <w:tcPr>
            <w:tcW w:type="dxa" w:w="194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Agent 2 — redline analysis</w:t>
            </w:r>
          </w:p>
        </w:tc>
        <w:tc>
          <w:tcPr>
            <w:tcW w:type="dxa" w:w="194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Agent 3 — consolidation</w:t>
            </w:r>
          </w:p>
        </w:tc>
        <w:tc>
          <w:tcPr>
            <w:tcW w:type="dxa" w:w="194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Agent 4 — reviewer assistant</w:t>
            </w:r>
          </w:p>
        </w:tc>
      </w:tr>
      <w:tr>
        <w:tc>
          <w:tcPr>
            <w:tcW w:type="dxa" w:w="16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Framework</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Designer (GEP-native)</w:t>
            </w:r>
          </w:p>
        </w:tc>
      </w:tr>
      <w:tr>
        <w:tc>
          <w:tcPr>
            <w:tcW w:type="dxa" w:w="1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Host</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Runtime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Runtime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Runtime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Enterprise app</w:t>
            </w:r>
          </w:p>
        </w:tc>
      </w:tr>
      <w:tr>
        <w:tc>
          <w:tcPr>
            <w:tcW w:type="dxa" w:w="16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Cardinality</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One per version</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One per clause (parallel fan-out)</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One per consolidation attempt</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One per reviewer conversation</w:t>
            </w:r>
          </w:p>
        </w:tc>
      </w:tr>
      <w:tr>
        <w:tc>
          <w:tcPr>
            <w:tcW w:type="dxa" w:w="1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Model</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3 Flash (volume)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3.1 Pro (reasoning)</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Gemini 3.1 Pro</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assistant model</w:t>
            </w:r>
          </w:p>
        </w:tc>
      </w:tr>
      <w:tr>
        <w:tc>
          <w:tcPr>
            <w:tcW w:type="dxa" w:w="16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Tools</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get_layout_tree, get_clause_taxonomy</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get_approved_clause, get_fallback_ladder, get_prior_decisions</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get_decisions, docs_api_suggest, get_clause_lineage</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data stores, packet read API</w:t>
            </w:r>
          </w:p>
        </w:tc>
      </w:tr>
      <w:tr>
        <w:tc>
          <w:tcPr>
            <w:tcW w:type="dxa" w:w="1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Output</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Structured JSON: clause list, type, confidence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Structured JSON: deviation features, severity inputs, draft language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Draft revision plus change manifest</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Grounded answer with citations</w:t>
            </w:r>
          </w:p>
        </w:tc>
      </w:tr>
      <w:tr>
        <w:tc>
          <w:tcPr>
            <w:tcW w:type="dxa" w:w="16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Writes to state?</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 returns to conductor</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 returns to conductor</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 returns draft only</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 read-only</w:t>
            </w:r>
          </w:p>
        </w:tc>
      </w:tr>
      <w:tr>
        <w:tc>
          <w:tcPr>
            <w:tcW w:type="dxa" w:w="1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Human gate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Low confidence to PA adjudication</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 (output consumed by routing)</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PA approves every change</w:t>
            </w:r>
          </w:p>
        </w:tc>
        <w:tc>
          <w:tcPr>
            <w:tcW w:type="dxa" w:w="194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 applicable</w:t>
            </w:r>
          </w:p>
        </w:tc>
      </w:tr>
      <w:tr>
        <w:tc>
          <w:tcPr>
            <w:tcW w:type="dxa" w:w="16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Session / memory</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Stateless</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Stateless</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Stateless</w:t>
            </w:r>
          </w:p>
        </w:tc>
        <w:tc>
          <w:tcPr>
            <w:tcW w:type="dxa" w:w="194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session</w:t>
            </w:r>
          </w:p>
        </w:tc>
      </w:tr>
    </w:tbl>
    <w:p>
      <w:pPr>
        <w:spacing w:after="120" w:before="100"/>
      </w:pPr>
      <w:r>
        <w:rPr>
          <w:rFonts w:ascii="Calibri" w:cs="Calibri" w:eastAsia="Calibri" w:hAnsi="Calibri"/>
          <w:color w:val="3B3B3B"/>
          <w:sz w:val="20"/>
          <w:szCs w:val="20"/>
        </w:rPr>
        <w:t xml:space="preserve">The critical row is 'Writes to state'. All four agents are stateless and side-effect-free. Only the conductor and the deterministic services write to the database, object storage or the audit stream. This is what makes the audit trail defensible: no domain record has a model in its write path.</w:t>
      </w:r>
    </w:p>
    <w:p>
      <w:pPr>
        <w:pStyle w:val="Heading2"/>
        <w:spacing w:after="120" w:before="260"/>
      </w:pPr>
      <w:r>
        <w:rPr>
          <w:rFonts w:ascii="Calibri" w:cs="Calibri" w:eastAsia="Calibri" w:hAnsi="Calibri"/>
          <w:b/>
          <w:bCs/>
          <w:color w:val="3B3B3B"/>
          <w:sz w:val="24"/>
          <w:szCs w:val="24"/>
        </w:rPr>
        <w:t xml:space="preserve">5.4 Reassigned responsibilities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3200"/>
        <w:gridCol w:w="2960"/>
      </w:tblGrid>
      <w:tr>
        <w:trPr>
          <w:tblHeader/>
        </w:trPr>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Responsibility</w:t>
            </w:r>
          </w:p>
        </w:tc>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Mechanism</w:t>
            </w:r>
          </w:p>
        </w:tc>
        <w:tc>
          <w:tcPr>
            <w:tcW w:type="dxa" w:w="29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Component</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Email receipt, validation, dedupe</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Event-driven processing</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Gmail API users.watch, Pub/Sub, Cloud Run</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parsing</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API</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AI Layout Parser</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Process sequencing, fan-out and fan-in, retry, SLA timers</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Workflow / state machine</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Workflows plus Cloud Tasks</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Approved clause retrieval</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Database operation</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Keyed read by clause type</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Severity banding</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application logic</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Rule table over deviation features</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to reviewer routing</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application logic</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Versioned routing matrix, version stamped on every task</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Task creation, assignment, status</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Database operation</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review_tasks table</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Decision capture</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API plus database operation</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Run decision API, append-only writes</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detection</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application logic</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Boolean predicate over decision polarity</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escalation target</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application logic</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Escalation matrix lookup</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 increment, immutability, lineage</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Database operation</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Storage object versioning plus version and lineage tables</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Completion gates, authority thresholds</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application logic</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Predicate evaluated by conductor</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Business audit trail</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Event-driven processing</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Domain events to BigQuery, append-only</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Notifications</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API</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Gmail / Google Chat API, digest-batched</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decisions, PA approval, conflict resolution, final approval</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Human approval gates</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Four distinct gates</w:t>
            </w:r>
          </w:p>
        </w:tc>
      </w:tr>
    </w:tbl>
    <w:p>
      <w:pPr>
        <w:pStyle w:val="Heading2"/>
        <w:spacing w:after="120" w:before="260"/>
      </w:pPr>
      <w:r>
        <w:rPr>
          <w:rFonts w:ascii="Calibri" w:cs="Calibri" w:eastAsia="Calibri" w:hAnsi="Calibri"/>
          <w:b/>
          <w:bCs/>
          <w:color w:val="3B3B3B"/>
          <w:sz w:val="24"/>
          <w:szCs w:val="24"/>
        </w:rPr>
        <w:t xml:space="preserve">5.5 Orchestration tiers</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  CLOUD WORKFLOWS CONDUCTOR  (deterministic)             |</w:t>
      </w:r>
    </w:p>
    <w:p>
      <w:pPr>
        <w:spacing w:after="0" w:line="200"/>
      </w:pPr>
      <w:r>
        <w:rPr>
          <w:rFonts w:ascii="Consolas" w:cs="Consolas" w:eastAsia="Consolas" w:hAnsi="Consolas"/>
          <w:color w:val="3B3B3B"/>
          <w:sz w:val="15"/>
          <w:szCs w:val="15"/>
        </w:rPr>
        <w:t xml:space="preserve">   |  owns all state transitions                             |</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               |               |</w:t>
      </w:r>
    </w:p>
    <w:p>
      <w:pPr>
        <w:spacing w:after="0" w:line="200"/>
      </w:pPr>
      <w:r>
        <w:rPr>
          <w:rFonts w:ascii="Consolas" w:cs="Consolas" w:eastAsia="Consolas" w:hAnsi="Consolas"/>
          <w:color w:val="3B3B3B"/>
          <w:sz w:val="15"/>
          <w:szCs w:val="15"/>
        </w:rPr>
        <w:t xml:space="preserve">              v               v               v</w:t>
      </w:r>
    </w:p>
    <w:p>
      <w:pPr>
        <w:spacing w:after="0" w:line="200"/>
      </w:pPr>
      <w:r>
        <w:rPr>
          <w:rFonts w:ascii="Consolas" w:cs="Consolas" w:eastAsia="Consolas" w:hAnsi="Consolas"/>
          <w:color w:val="3B3B3B"/>
          <w:sz w:val="15"/>
          <w:szCs w:val="15"/>
        </w:rPr>
        <w:t xml:space="preserve">   +----------------+ +----------------+ +----------------+</w:t>
      </w:r>
    </w:p>
    <w:p>
      <w:pPr>
        <w:spacing w:after="0" w:line="200"/>
      </w:pPr>
      <w:r>
        <w:rPr>
          <w:rFonts w:ascii="Consolas" w:cs="Consolas" w:eastAsia="Consolas" w:hAnsi="Consolas"/>
          <w:color w:val="3B3B3B"/>
          <w:sz w:val="15"/>
          <w:szCs w:val="15"/>
        </w:rPr>
        <w:t xml:space="preserve">   | AGENT 1        | | AGENT 2        | | AGENT 3        |</w:t>
      </w:r>
    </w:p>
    <w:p>
      <w:pPr>
        <w:spacing w:after="0" w:line="200"/>
      </w:pPr>
      <w:r>
        <w:rPr>
          <w:rFonts w:ascii="Consolas" w:cs="Consolas" w:eastAsia="Consolas" w:hAnsi="Consolas"/>
          <w:color w:val="3B3B3B"/>
          <w:sz w:val="15"/>
          <w:szCs w:val="15"/>
        </w:rPr>
        <w:t xml:space="preserve">   | clause analysis| | redline        | | consolidation  |</w:t>
      </w:r>
    </w:p>
    <w:p>
      <w:pPr>
        <w:spacing w:after="0" w:line="200"/>
      </w:pPr>
      <w:r>
        <w:rPr>
          <w:rFonts w:ascii="Consolas" w:cs="Consolas" w:eastAsia="Consolas" w:hAnsi="Consolas"/>
          <w:color w:val="3B3B3B"/>
          <w:sz w:val="15"/>
          <w:szCs w:val="15"/>
        </w:rPr>
        <w:t xml:space="preserve">   | segment,       | | analysis       | | assemble       |</w:t>
      </w:r>
    </w:p>
    <w:p>
      <w:pPr>
        <w:spacing w:after="0" w:line="200"/>
      </w:pPr>
      <w:r>
        <w:rPr>
          <w:rFonts w:ascii="Consolas" w:cs="Consolas" w:eastAsia="Consolas" w:hAnsi="Consolas"/>
          <w:color w:val="3B3B3B"/>
          <w:sz w:val="15"/>
          <w:szCs w:val="15"/>
        </w:rPr>
        <w:t xml:space="preserve">   | classify       | | deviation,     | | revision       |</w:t>
      </w:r>
    </w:p>
    <w:p>
      <w:pPr>
        <w:spacing w:after="0" w:line="200"/>
      </w:pPr>
      <w:r>
        <w:rPr>
          <w:rFonts w:ascii="Consolas" w:cs="Consolas" w:eastAsia="Consolas" w:hAnsi="Consolas"/>
          <w:color w:val="3B3B3B"/>
          <w:sz w:val="15"/>
          <w:szCs w:val="15"/>
        </w:rPr>
        <w:t xml:space="preserve">   |                | | drafting       | |                |</w:t>
      </w:r>
    </w:p>
    <w:p>
      <w:pPr>
        <w:spacing w:after="0" w:line="200"/>
      </w:pPr>
      <w:r>
        <w:rPr>
          <w:rFonts w:ascii="Consolas" w:cs="Consolas" w:eastAsia="Consolas" w:hAnsi="Consolas"/>
          <w:color w:val="3B3B3B"/>
          <w:sz w:val="15"/>
          <w:szCs w:val="15"/>
        </w:rPr>
        <w:t xml:space="preserve">   +--------+-------+ +-------+--------+ +-------+--------+</w:t>
      </w:r>
    </w:p>
    <w:p>
      <w:pPr>
        <w:spacing w:after="0" w:line="200"/>
      </w:pPr>
      <w:r>
        <w:rPr>
          <w:rFonts w:ascii="Consolas" w:cs="Consolas" w:eastAsia="Consolas" w:hAnsi="Consolas"/>
          <w:color w:val="3B3B3B"/>
          <w:sz w:val="15"/>
          <w:szCs w:val="15"/>
        </w:rPr>
        <w:t xml:space="preserve">            |                 |                 |</w:t>
      </w:r>
    </w:p>
    <w:p>
      <w:pPr>
        <w:spacing w:after="0" w:line="200"/>
      </w:pPr>
      <w:r>
        <w:rPr>
          <w:rFonts w:ascii="Consolas" w:cs="Consolas" w:eastAsia="Consolas" w:hAnsi="Consolas"/>
          <w:color w:val="3B3B3B"/>
          <w:sz w:val="15"/>
          <w:szCs w:val="15"/>
        </w:rPr>
        <w:t xml:space="preserve">            v                 v                 v</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  DETERMINISTIC SERVICES                                 |</w:t>
      </w:r>
    </w:p>
    <w:p>
      <w:pPr>
        <w:spacing w:after="0" w:line="200"/>
      </w:pPr>
      <w:r>
        <w:rPr>
          <w:rFonts w:ascii="Consolas" w:cs="Consolas" w:eastAsia="Consolas" w:hAnsi="Consolas"/>
          <w:color w:val="3B3B3B"/>
          <w:sz w:val="15"/>
          <w:szCs w:val="15"/>
        </w:rPr>
        <w:t xml:space="preserve">   |  routing | conflict rules | versioning | audit          |</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                 |</w:t>
      </w:r>
    </w:p>
    <w:p>
      <w:pPr>
        <w:spacing w:after="0" w:line="200"/>
      </w:pPr>
      <w:r>
        <w:rPr>
          <w:rFonts w:ascii="Consolas" w:cs="Consolas" w:eastAsia="Consolas" w:hAnsi="Consolas"/>
          <w:color w:val="3B3B3B"/>
          <w:sz w:val="15"/>
          <w:szCs w:val="15"/>
        </w:rPr>
        <w:t xml:space="preserve">                        v                 v</w:t>
      </w:r>
    </w:p>
    <w:p>
      <w:pPr>
        <w:spacing w:after="0" w:line="200"/>
      </w:pPr>
      <w:r>
        <w:rPr>
          <w:rFonts w:ascii="Consolas" w:cs="Consolas" w:eastAsia="Consolas" w:hAnsi="Consolas"/>
          <w:color w:val="3B3B3B"/>
          <w:sz w:val="15"/>
          <w:szCs w:val="15"/>
        </w:rPr>
        <w:t xml:space="preserve">   +------------------------+   +--------------------------+</w:t>
      </w:r>
    </w:p>
    <w:p>
      <w:pPr>
        <w:spacing w:after="0" w:line="200"/>
      </w:pPr>
      <w:r>
        <w:rPr>
          <w:rFonts w:ascii="Consolas" w:cs="Consolas" w:eastAsia="Consolas" w:hAnsi="Consolas"/>
          <w:color w:val="3B3B3B"/>
          <w:sz w:val="15"/>
          <w:szCs w:val="15"/>
        </w:rPr>
        <w:t xml:space="preserve">   | HUMAN APPROVAL GATES   |   | AGENT 4 reviewer         |</w:t>
      </w:r>
    </w:p>
    <w:p>
      <w:pPr>
        <w:spacing w:after="0" w:line="200"/>
      </w:pPr>
      <w:r>
        <w:rPr>
          <w:rFonts w:ascii="Consolas" w:cs="Consolas" w:eastAsia="Consolas" w:hAnsi="Consolas"/>
          <w:color w:val="3B3B3B"/>
          <w:sz w:val="15"/>
          <w:szCs w:val="15"/>
        </w:rPr>
        <w:t xml:space="preserve">   | reviewers, PA,         |   | assistant - read-only    |</w:t>
      </w:r>
    </w:p>
    <w:p>
      <w:pPr>
        <w:spacing w:after="0" w:line="200"/>
      </w:pPr>
      <w:r>
        <w:rPr>
          <w:rFonts w:ascii="Consolas" w:cs="Consolas" w:eastAsia="Consolas" w:hAnsi="Consolas"/>
          <w:color w:val="3B3B3B"/>
          <w:sz w:val="15"/>
          <w:szCs w:val="15"/>
        </w:rPr>
        <w:t xml:space="preserve">   | conflict resolver      |   | Q&amp;A inside GEP           |</w:t>
      </w:r>
    </w:p>
    <w:p>
      <w:pPr>
        <w:spacing w:after="0" w:line="200"/>
      </w:pPr>
      <w:r>
        <w:rPr>
          <w:rFonts w:ascii="Consolas" w:cs="Consolas" w:eastAsia="Consolas" w:hAnsi="Consolas"/>
          <w:color w:val="3B3B3B"/>
          <w:sz w:val="15"/>
          <w:szCs w:val="15"/>
        </w:rPr>
        <w:t xml:space="preserve">   +------------------------+   +--------------------------+</w:t>
      </w:r>
    </w:p>
    <w:p>
      <w:pPr>
        <w:spacing w:after="120" w:before="140"/>
      </w:pPr>
      <w:r>
        <w:rPr>
          <w:rFonts w:ascii="Calibri" w:cs="Calibri" w:eastAsia="Calibri" w:hAnsi="Calibri"/>
          <w:color w:val="3B3B3B"/>
          <w:sz w:val="20"/>
          <w:szCs w:val="20"/>
        </w:rPr>
        <w:t xml:space="preserve">Agents hang off the conductor as callable, replaceable functions. Any one can be swapped, re-prompted or replaced with a different model without touching process state, routing or the audit trail. That property is what makes the proof of concept extensible into production rather than a demonstration that must be rebuilt.</w:t>
      </w:r>
    </w:p>
    <w:p>
      <w:pPr>
        <w:pStyle w:val="Heading2"/>
        <w:spacing w:after="120" w:before="260"/>
      </w:pPr>
      <w:r>
        <w:rPr>
          <w:rFonts w:ascii="Calibri" w:cs="Calibri" w:eastAsia="Calibri" w:hAnsi="Calibri"/>
          <w:b/>
          <w:bCs/>
          <w:color w:val="3B3B3B"/>
          <w:sz w:val="24"/>
          <w:szCs w:val="24"/>
        </w:rPr>
        <w:t xml:space="preserve">5.6 Data flow</w:t>
      </w:r>
    </w:p>
    <w:p>
      <w:pPr>
        <w:spacing w:after="0" w:line="200"/>
      </w:pPr>
      <w:r>
        <w:rPr>
          <w:rFonts w:ascii="Consolas" w:cs="Consolas" w:eastAsia="Consolas" w:hAnsi="Consolas"/>
          <w:color w:val="3B3B3B"/>
          <w:sz w:val="15"/>
          <w:szCs w:val="15"/>
        </w:rPr>
        <w:t xml:space="preserve">1   Gmail push -&gt; Pub/Sub -&gt; intake service</w:t>
      </w:r>
    </w:p>
    <w:p>
      <w:pPr>
        <w:spacing w:after="0" w:line="200"/>
      </w:pPr>
      <w:r>
        <w:rPr>
          <w:rFonts w:ascii="Consolas" w:cs="Consolas" w:eastAsia="Consolas" w:hAnsi="Consolas"/>
          <w:color w:val="3B3B3B"/>
          <w:sz w:val="15"/>
          <w:szCs w:val="15"/>
        </w:rPr>
        <w:t xml:space="preserve">      mint contract_id, hash, dedupe, DLP scan</w:t>
      </w:r>
    </w:p>
    <w:p>
      <w:pPr>
        <w:spacing w:after="0" w:line="200"/>
      </w:pPr>
      <w:r>
        <w:rPr>
          <w:rFonts w:ascii="Consolas" w:cs="Consolas" w:eastAsia="Consolas" w:hAnsi="Consolas"/>
          <w:color w:val="3B3B3B"/>
          <w:sz w:val="15"/>
          <w:szCs w:val="15"/>
        </w:rPr>
        <w:t xml:space="preserve">      Cloud Storage write (versioned)   -&gt;  intake queue</w:t>
      </w:r>
    </w:p>
    <w:p>
      <w:pPr>
        <w:spacing w:after="0" w:line="200"/>
      </w:pPr>
      <w:r>
        <w:rPr>
          <w:rFonts w:ascii="Consolas" w:cs="Consolas" w:eastAsia="Consolas" w:hAnsi="Consolas"/>
          <w:color w:val="3B3B3B"/>
          <w:sz w:val="15"/>
          <w:szCs w:val="15"/>
        </w:rPr>
        <w:t xml:space="preserve">                                     == GATE 1: PA triage ==</w:t>
      </w:r>
    </w:p>
    <w:p>
      <w:pPr>
        <w:spacing w:after="0" w:line="200"/>
      </w:pPr>
      <w:r>
        <w:rPr>
          <w:rFonts w:ascii="Consolas" w:cs="Consolas" w:eastAsia="Consolas" w:hAnsi="Consolas"/>
          <w:color w:val="3B3B3B"/>
          <w:sz w:val="15"/>
          <w:szCs w:val="15"/>
        </w:rPr>
        <w:t xml:space="preserve">2   PA confirms supplier and type, uploads; mint version_id</w:t>
      </w:r>
    </w:p>
    <w:p>
      <w:pPr>
        <w:spacing w:after="0" w:line="200"/>
      </w:pPr>
      <w:r>
        <w:rPr>
          <w:rFonts w:ascii="Consolas" w:cs="Consolas" w:eastAsia="Consolas" w:hAnsi="Consolas"/>
          <w:color w:val="3B3B3B"/>
          <w:sz w:val="15"/>
          <w:szCs w:val="15"/>
        </w:rPr>
        <w:t xml:space="preserve">      Workflows execution starts, keyed on version_id</w:t>
      </w:r>
    </w:p>
    <w:p>
      <w:pPr>
        <w:spacing w:after="0" w:line="200"/>
      </w:pPr>
      <w:r>
        <w:rPr>
          <w:rFonts w:ascii="Consolas" w:cs="Consolas" w:eastAsia="Consolas" w:hAnsi="Consolas"/>
          <w:color w:val="3B3B3B"/>
          <w:sz w:val="15"/>
          <w:szCs w:val="15"/>
        </w:rPr>
        <w:t xml:space="preserve">3   Conductor -&gt; Document AI Layout Parser (async)</w:t>
      </w:r>
    </w:p>
    <w:p>
      <w:pPr>
        <w:spacing w:after="0" w:line="200"/>
      </w:pPr>
      <w:r>
        <w:rPr>
          <w:rFonts w:ascii="Consolas" w:cs="Consolas" w:eastAsia="Consolas" w:hAnsi="Consolas"/>
          <w:color w:val="3B3B3B"/>
          <w:sz w:val="15"/>
          <w:szCs w:val="15"/>
        </w:rPr>
        <w:t xml:space="preserve">      DocumentLayout proto -&gt; artefact plus section records</w:t>
      </w:r>
    </w:p>
    <w:p>
      <w:pPr>
        <w:spacing w:after="0" w:line="200"/>
      </w:pPr>
      <w:r>
        <w:rPr>
          <w:rFonts w:ascii="Consolas" w:cs="Consolas" w:eastAsia="Consolas" w:hAnsi="Consolas"/>
          <w:color w:val="3B3B3B"/>
          <w:sz w:val="15"/>
          <w:szCs w:val="15"/>
        </w:rPr>
        <w:t xml:space="preserve">4   Conductor -&gt; AGENT 1 (clause analysis)</w:t>
      </w:r>
    </w:p>
    <w:p>
      <w:pPr>
        <w:spacing w:after="0" w:line="200"/>
      </w:pPr>
      <w:r>
        <w:rPr>
          <w:rFonts w:ascii="Consolas" w:cs="Consolas" w:eastAsia="Consolas" w:hAnsi="Consolas"/>
          <w:color w:val="3B3B3B"/>
          <w:sz w:val="15"/>
          <w:szCs w:val="15"/>
        </w:rPr>
        <w:t xml:space="preserve">      returns clause list, type, confidence</w:t>
      </w:r>
    </w:p>
    <w:p>
      <w:pPr>
        <w:spacing w:after="0" w:line="200"/>
      </w:pPr>
      <w:r>
        <w:rPr>
          <w:rFonts w:ascii="Consolas" w:cs="Consolas" w:eastAsia="Consolas" w:hAnsi="Consolas"/>
          <w:color w:val="3B3B3B"/>
          <w:sz w:val="15"/>
          <w:szCs w:val="15"/>
        </w:rPr>
        <w:t xml:space="preserve">      conductor writes clause_instances</w:t>
      </w:r>
    </w:p>
    <w:p>
      <w:pPr>
        <w:spacing w:after="0" w:line="200"/>
      </w:pPr>
      <w:r>
        <w:rPr>
          <w:rFonts w:ascii="Consolas" w:cs="Consolas" w:eastAsia="Consolas" w:hAnsi="Consolas"/>
          <w:color w:val="3B3B3B"/>
          <w:sz w:val="15"/>
          <w:szCs w:val="15"/>
        </w:rPr>
        <w:t xml:space="preserve">      low confidence -&gt; PA adjudication subflow</w:t>
      </w:r>
    </w:p>
    <w:p>
      <w:pPr>
        <w:spacing w:after="0" w:line="200"/>
      </w:pPr>
      <w:r>
        <w:rPr>
          <w:rFonts w:ascii="Consolas" w:cs="Consolas" w:eastAsia="Consolas" w:hAnsi="Consolas"/>
          <w:color w:val="3B3B3B"/>
          <w:sz w:val="15"/>
          <w:szCs w:val="15"/>
        </w:rPr>
        <w:t xml:space="preserve">5   Conductor -&gt; AGENT 2, parallel fan-out per clause</w:t>
      </w:r>
    </w:p>
    <w:p>
      <w:pPr>
        <w:spacing w:after="0" w:line="200"/>
      </w:pPr>
      <w:r>
        <w:rPr>
          <w:rFonts w:ascii="Consolas" w:cs="Consolas" w:eastAsia="Consolas" w:hAnsi="Consolas"/>
          <w:color w:val="3B3B3B"/>
          <w:sz w:val="15"/>
          <w:szCs w:val="15"/>
        </w:rPr>
        <w:t xml:space="preserve">      tools: approved clause, fallback ladder, prior decisions</w:t>
      </w:r>
    </w:p>
    <w:p>
      <w:pPr>
        <w:spacing w:after="0" w:line="200"/>
      </w:pPr>
      <w:r>
        <w:rPr>
          <w:rFonts w:ascii="Consolas" w:cs="Consolas" w:eastAsia="Consolas" w:hAnsi="Consolas"/>
          <w:color w:val="3B3B3B"/>
          <w:sz w:val="15"/>
          <w:szCs w:val="15"/>
        </w:rPr>
        <w:t xml:space="preserve">      returns deviation features plus draft counter-language</w:t>
      </w:r>
    </w:p>
    <w:p>
      <w:pPr>
        <w:spacing w:after="0" w:line="200"/>
      </w:pPr>
      <w:r>
        <w:rPr>
          <w:rFonts w:ascii="Consolas" w:cs="Consolas" w:eastAsia="Consolas" w:hAnsi="Consolas"/>
          <w:color w:val="3B3B3B"/>
          <w:sz w:val="15"/>
          <w:szCs w:val="15"/>
        </w:rPr>
        <w:t xml:space="preserve">      severity assigned by RULE TABLE, not by the agent</w:t>
      </w:r>
    </w:p>
    <w:p>
      <w:pPr>
        <w:spacing w:after="0" w:line="200"/>
      </w:pPr>
      <w:r>
        <w:rPr>
          <w:rFonts w:ascii="Consolas" w:cs="Consolas" w:eastAsia="Consolas" w:hAnsi="Consolas"/>
          <w:color w:val="3B3B3B"/>
          <w:sz w:val="15"/>
          <w:szCs w:val="15"/>
        </w:rPr>
        <w:t xml:space="preserve">6   Conductor -&gt; routing service   [DETERMINISTIC]</w:t>
      </w:r>
    </w:p>
    <w:p>
      <w:pPr>
        <w:spacing w:after="0" w:line="200"/>
      </w:pPr>
      <w:r>
        <w:rPr>
          <w:rFonts w:ascii="Consolas" w:cs="Consolas" w:eastAsia="Consolas" w:hAnsi="Consolas"/>
          <w:color w:val="3B3B3B"/>
          <w:sz w:val="15"/>
          <w:szCs w:val="15"/>
        </w:rPr>
        <w:t xml:space="preserve">      matrix(clause_type, severity, thresholds) -&gt; functions</w:t>
      </w:r>
    </w:p>
    <w:p>
      <w:pPr>
        <w:spacing w:after="0" w:line="200"/>
      </w:pPr>
      <w:r>
        <w:rPr>
          <w:rFonts w:ascii="Consolas" w:cs="Consolas" w:eastAsia="Consolas" w:hAnsi="Consolas"/>
          <w:color w:val="3B3B3B"/>
          <w:sz w:val="15"/>
          <w:szCs w:val="15"/>
        </w:rPr>
        <w:t xml:space="preserve">      create review_task per clause instance and function</w:t>
      </w:r>
    </w:p>
    <w:p>
      <w:pPr>
        <w:spacing w:after="0" w:line="200"/>
      </w:pPr>
      <w:r>
        <w:rPr>
          <w:rFonts w:ascii="Consolas" w:cs="Consolas" w:eastAsia="Consolas" w:hAnsi="Consolas"/>
          <w:color w:val="3B3B3B"/>
          <w:sz w:val="15"/>
          <w:szCs w:val="15"/>
        </w:rPr>
        <w:t xml:space="preserve">      snapshot immutable review packet per task</w:t>
      </w:r>
    </w:p>
    <w:p>
      <w:pPr>
        <w:spacing w:after="0" w:line="200"/>
      </w:pPr>
      <w:r>
        <w:rPr>
          <w:rFonts w:ascii="Consolas" w:cs="Consolas" w:eastAsia="Consolas" w:hAnsi="Consolas"/>
          <w:color w:val="3B3B3B"/>
          <w:sz w:val="15"/>
          <w:szCs w:val="15"/>
        </w:rPr>
        <w:t xml:space="preserve">7   Conductor -&gt; notification service; digest per reviewer</w:t>
      </w:r>
    </w:p>
    <w:p>
      <w:pPr>
        <w:spacing w:after="0" w:line="200"/>
      </w:pPr>
      <w:r>
        <w:rPr>
          <w:rFonts w:ascii="Consolas" w:cs="Consolas" w:eastAsia="Consolas" w:hAnsi="Consolas"/>
          <w:color w:val="3B3B3B"/>
          <w:sz w:val="15"/>
          <w:szCs w:val="15"/>
        </w:rPr>
        <w:t xml:space="preserve">      Cloud Tasks schedules SLA and reminder callbacks</w:t>
      </w:r>
    </w:p>
    <w:p>
      <w:pPr>
        <w:spacing w:after="0" w:line="200"/>
      </w:pPr>
      <w:r>
        <w:rPr>
          <w:rFonts w:ascii="Consolas" w:cs="Consolas" w:eastAsia="Consolas" w:hAnsi="Consolas"/>
          <w:color w:val="3B3B3B"/>
          <w:sz w:val="15"/>
          <w:szCs w:val="15"/>
        </w:rPr>
        <w:t xml:space="preserve">8   Conductor waits (parallel branches, days)</w:t>
      </w:r>
    </w:p>
    <w:p>
      <w:pPr>
        <w:spacing w:after="0" w:line="200"/>
      </w:pPr>
      <w:r>
        <w:rPr>
          <w:rFonts w:ascii="Consolas" w:cs="Consolas" w:eastAsia="Consolas" w:hAnsi="Consolas"/>
          <w:color w:val="3B3B3B"/>
          <w:sz w:val="15"/>
          <w:szCs w:val="15"/>
        </w:rPr>
        <w:t xml:space="preserve">      reviewers work in the review UI</w:t>
      </w:r>
    </w:p>
    <w:p>
      <w:pPr>
        <w:spacing w:after="0" w:line="200"/>
      </w:pPr>
      <w:r>
        <w:rPr>
          <w:rFonts w:ascii="Consolas" w:cs="Consolas" w:eastAsia="Consolas" w:hAnsi="Consolas"/>
          <w:color w:val="3B3B3B"/>
          <w:sz w:val="15"/>
          <w:szCs w:val="15"/>
        </w:rPr>
        <w:t xml:space="preserve">      AGENT 4 available in GEP for grounded Q&amp;A</w:t>
      </w:r>
    </w:p>
    <w:p>
      <w:pPr>
        <w:spacing w:after="0" w:line="200"/>
      </w:pPr>
      <w:r>
        <w:rPr>
          <w:rFonts w:ascii="Consolas" w:cs="Consolas" w:eastAsia="Consolas" w:hAnsi="Consolas"/>
          <w:color w:val="3B3B3B"/>
          <w:sz w:val="15"/>
          <w:szCs w:val="15"/>
        </w:rPr>
        <w:t xml:space="preserve">                              == GATE 2: reviewer decisions ==</w:t>
      </w:r>
    </w:p>
    <w:p>
      <w:pPr>
        <w:spacing w:after="0" w:line="200"/>
      </w:pPr>
      <w:r>
        <w:rPr>
          <w:rFonts w:ascii="Consolas" w:cs="Consolas" w:eastAsia="Consolas" w:hAnsi="Consolas"/>
          <w:color w:val="3B3B3B"/>
          <w:sz w:val="15"/>
          <w:szCs w:val="15"/>
        </w:rPr>
        <w:t xml:space="preserve">      decision API -&gt; append-only records plus audit event</w:t>
      </w:r>
    </w:p>
    <w:p>
      <w:pPr>
        <w:spacing w:after="0" w:line="200"/>
      </w:pPr>
      <w:r>
        <w:rPr>
          <w:rFonts w:ascii="Consolas" w:cs="Consolas" w:eastAsia="Consolas" w:hAnsi="Consolas"/>
          <w:color w:val="3B3B3B"/>
          <w:sz w:val="15"/>
          <w:szCs w:val="15"/>
        </w:rPr>
        <w:t xml:space="preserve">9   Conductor -&gt; conflict evaluator   [DETERMINISTIC]</w:t>
      </w:r>
    </w:p>
    <w:p>
      <w:pPr>
        <w:spacing w:after="0" w:line="200"/>
      </w:pPr>
      <w:r>
        <w:rPr>
          <w:rFonts w:ascii="Consolas" w:cs="Consolas" w:eastAsia="Consolas" w:hAnsi="Consolas"/>
          <w:color w:val="3B3B3B"/>
          <w:sz w:val="15"/>
          <w:szCs w:val="15"/>
        </w:rPr>
        <w:t xml:space="preserve">      divergent polarity on same clause -&gt; CONFLICT</w:t>
      </w:r>
    </w:p>
    <w:p>
      <w:pPr>
        <w:spacing w:after="0" w:line="200"/>
      </w:pPr>
      <w:r>
        <w:rPr>
          <w:rFonts w:ascii="Consolas" w:cs="Consolas" w:eastAsia="Consolas" w:hAnsi="Consolas"/>
          <w:color w:val="3B3B3B"/>
          <w:sz w:val="15"/>
          <w:szCs w:val="15"/>
        </w:rPr>
        <w:t xml:space="preserve">      both positions retained; exit requires human resolution</w:t>
      </w:r>
    </w:p>
    <w:p>
      <w:pPr>
        <w:spacing w:after="0" w:line="200"/>
      </w:pPr>
      <w:r>
        <w:rPr>
          <w:rFonts w:ascii="Consolas" w:cs="Consolas" w:eastAsia="Consolas" w:hAnsi="Consolas"/>
          <w:color w:val="3B3B3B"/>
          <w:sz w:val="15"/>
          <w:szCs w:val="15"/>
        </w:rPr>
        <w:t xml:space="preserve">      escalation matrix -&gt; resolver task</w:t>
      </w:r>
    </w:p>
    <w:p>
      <w:pPr>
        <w:spacing w:after="0" w:line="200"/>
      </w:pPr>
      <w:r>
        <w:rPr>
          <w:rFonts w:ascii="Consolas" w:cs="Consolas" w:eastAsia="Consolas" w:hAnsi="Consolas"/>
          <w:color w:val="3B3B3B"/>
          <w:sz w:val="15"/>
          <w:szCs w:val="15"/>
        </w:rPr>
        <w:t xml:space="preserve">                            == GATE 3: conflict resolution ==</w:t>
      </w:r>
    </w:p>
    <w:p>
      <w:pPr>
        <w:spacing w:after="0" w:line="200"/>
      </w:pPr>
      <w:r>
        <w:rPr>
          <w:rFonts w:ascii="Consolas" w:cs="Consolas" w:eastAsia="Consolas" w:hAnsi="Consolas"/>
          <w:color w:val="3B3B3B"/>
          <w:sz w:val="15"/>
          <w:szCs w:val="15"/>
        </w:rPr>
        <w:t xml:space="preserve">10  Conductor completion predicate   [DETERMINISTIC]</w:t>
      </w:r>
    </w:p>
    <w:p>
      <w:pPr>
        <w:spacing w:after="0" w:line="200"/>
      </w:pPr>
      <w:r>
        <w:rPr>
          <w:rFonts w:ascii="Consolas" w:cs="Consolas" w:eastAsia="Consolas" w:hAnsi="Consolas"/>
          <w:color w:val="3B3B3B"/>
          <w:sz w:val="15"/>
          <w:szCs w:val="15"/>
        </w:rPr>
        <w:t xml:space="preserve">      all tasks terminal AND zero conflicts -&gt; proceed</w:t>
      </w:r>
    </w:p>
    <w:p>
      <w:pPr>
        <w:spacing w:after="0" w:line="200"/>
      </w:pPr>
      <w:r>
        <w:rPr>
          <w:rFonts w:ascii="Consolas" w:cs="Consolas" w:eastAsia="Consolas" w:hAnsi="Consolas"/>
          <w:color w:val="3B3B3B"/>
          <w:sz w:val="15"/>
          <w:szCs w:val="15"/>
        </w:rPr>
        <w:t xml:space="preserve">11  Conductor -&gt; AGENT 3 (consolidation)</w:t>
      </w:r>
    </w:p>
    <w:p>
      <w:pPr>
        <w:spacing w:after="0" w:line="200"/>
      </w:pPr>
      <w:r>
        <w:rPr>
          <w:rFonts w:ascii="Consolas" w:cs="Consolas" w:eastAsia="Consolas" w:hAnsi="Consolas"/>
          <w:color w:val="3B3B3B"/>
          <w:sz w:val="15"/>
          <w:szCs w:val="15"/>
        </w:rPr>
        <w:t xml:space="preserve">      tool: docs_api_suggest; returns draft plus manifest</w:t>
      </w:r>
    </w:p>
    <w:p>
      <w:pPr>
        <w:spacing w:after="0" w:line="200"/>
      </w:pPr>
      <w:r>
        <w:rPr>
          <w:rFonts w:ascii="Consolas" w:cs="Consolas" w:eastAsia="Consolas" w:hAnsi="Consolas"/>
          <w:color w:val="3B3B3B"/>
          <w:sz w:val="15"/>
          <w:szCs w:val="15"/>
        </w:rPr>
        <w:t xml:space="preserve">                       == GATE 4: PA approves each change ==</w:t>
      </w:r>
    </w:p>
    <w:p>
      <w:pPr>
        <w:spacing w:after="0" w:line="200"/>
      </w:pPr>
      <w:r>
        <w:rPr>
          <w:rFonts w:ascii="Consolas" w:cs="Consolas" w:eastAsia="Consolas" w:hAnsi="Consolas"/>
          <w:color w:val="3B3B3B"/>
          <w:sz w:val="15"/>
          <w:szCs w:val="15"/>
        </w:rPr>
        <w:t xml:space="preserve">12  Conductor -&gt; version service   [DETERMINISTIC]</w:t>
      </w:r>
    </w:p>
    <w:p>
      <w:pPr>
        <w:spacing w:after="0" w:line="200"/>
      </w:pPr>
      <w:r>
        <w:rPr>
          <w:rFonts w:ascii="Consolas" w:cs="Consolas" w:eastAsia="Consolas" w:hAnsi="Consolas"/>
          <w:color w:val="3B3B3B"/>
          <w:sz w:val="15"/>
          <w:szCs w:val="15"/>
        </w:rPr>
        <w:t xml:space="preserve">      mint next version_id, carry clause_id lineage, snapshot</w:t>
      </w:r>
    </w:p>
    <w:p>
      <w:pPr>
        <w:spacing w:after="0" w:line="200"/>
      </w:pPr>
      <w:r>
        <w:rPr>
          <w:rFonts w:ascii="Consolas" w:cs="Consolas" w:eastAsia="Consolas" w:hAnsi="Consolas"/>
          <w:color w:val="3B3B3B"/>
          <w:sz w:val="15"/>
          <w:szCs w:val="15"/>
        </w:rPr>
        <w:t xml:space="preserve">      GEP data store re-import for search</w:t>
      </w:r>
    </w:p>
    <w:p>
      <w:pPr>
        <w:spacing w:after="0" w:line="200"/>
      </w:pPr>
      <w:r>
        <w:rPr>
          <w:rFonts w:ascii="Consolas" w:cs="Consolas" w:eastAsia="Consolas" w:hAnsi="Consolas"/>
          <w:color w:val="3B3B3B"/>
          <w:sz w:val="15"/>
          <w:szCs w:val="15"/>
        </w:rPr>
        <w:t xml:space="preserve">      -&gt; issue to supplier -&gt; cycle repeats, delta-scoped</w:t>
      </w:r>
    </w:p>
    <w:p>
      <w:pPr>
        <w:spacing w:after="120" w:before="140"/>
      </w:pPr>
      <w:r>
        <w:rPr>
          <w:rFonts w:ascii="Calibri" w:cs="Calibri" w:eastAsia="Calibri" w:hAnsi="Calibri"/>
          <w:color w:val="3B3B3B"/>
          <w:sz w:val="20"/>
          <w:szCs w:val="20"/>
        </w:rPr>
        <w:t xml:space="preserve">Four human gates, and only four. Each is a workflow state the conductor cannot leave without an authenticated decision record. Anything the model produces enters the process as a proposal in front of one of these gates.</w:t>
      </w:r>
    </w:p>
    <w:p>
      <w:pPr>
        <w:pStyle w:val="Heading2"/>
        <w:spacing w:after="120" w:before="260"/>
      </w:pPr>
      <w:r>
        <w:rPr>
          <w:rFonts w:ascii="Calibri" w:cs="Calibri" w:eastAsia="Calibri" w:hAnsi="Calibri"/>
          <w:b/>
          <w:bCs/>
          <w:color w:val="3B3B3B"/>
          <w:sz w:val="24"/>
          <w:szCs w:val="24"/>
        </w:rPr>
        <w:t xml:space="preserve">5.7 Failure semantics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160"/>
      </w:tblGrid>
      <w:tr>
        <w:trPr>
          <w:tblHeader/>
        </w:trPr>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Failure</w:t>
            </w:r>
          </w:p>
        </w:tc>
        <w:tc>
          <w:tcPr>
            <w:tcW w:type="dxa" w:w="6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Handling</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timeout or malformed structured output</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Conductor retries with backoff (maximum three), then routes the clause to a manual-analysis queue. Never proceeds with partial output.</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AI parse failure</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Exception queue; PA notified; version remains in parse-failed state.</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Classification confidence below threshold</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PA adjudication subflow before routing. Routing never fires on unadjudicated clauses.</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Duplicate submission</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Content hash idempotency at intake; second execution short-circuits.</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SLA breach</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Tasks callback to escalation matrix to reassignment task. The process does not silently stall.</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Playbook changed mid-review</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Packets are immutable snapshots. The change affects the next cycle only.</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Workflows execution lost</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State is in the database, not in the execution. Re-drive from persisted workflow state.</w:t>
            </w:r>
          </w:p>
        </w:tc>
      </w:tr>
    </w:tbl>
    <w:p>
      <w:pPr>
        <w:pStyle w:val="Heading2"/>
        <w:spacing w:after="120" w:before="260"/>
      </w:pPr>
      <w:r>
        <w:rPr>
          <w:rFonts w:ascii="Calibri" w:cs="Calibri" w:eastAsia="Calibri" w:hAnsi="Calibri"/>
          <w:b/>
          <w:bCs/>
          <w:color w:val="3B3B3B"/>
          <w:sz w:val="24"/>
          <w:szCs w:val="24"/>
        </w:rPr>
        <w:t xml:space="preserve">5.8 Proof-of-concept scope boundary</w:t>
      </w:r>
    </w:p>
    <w:p>
      <w:pPr>
        <w:pStyle w:val="Heading3"/>
        <w:spacing w:after="100" w:before="200"/>
      </w:pPr>
      <w:r>
        <w:rPr>
          <w:rFonts w:ascii="Calibri" w:cs="Calibri" w:eastAsia="Calibri" w:hAnsi="Calibri"/>
          <w:b/>
          <w:bCs/>
          <w:color w:val="5B2A86"/>
          <w:sz w:val="21"/>
          <w:szCs w:val="21"/>
        </w:rPr>
        <w:t xml:space="preserve">In scope</w:t>
      </w:r>
    </w:p>
    <w:p>
      <w:pPr>
        <w:pStyle w:val="ListParagraph"/>
        <w:numPr>
          <w:ilvl w:val="0"/>
          <w:numId w:val="3"/>
        </w:numPr>
        <w:spacing w:after="60"/>
      </w:pPr>
      <w:r>
        <w:rPr>
          <w:rFonts w:ascii="Calibri" w:cs="Calibri" w:eastAsia="Calibri" w:hAnsi="Calibri"/>
          <w:color w:val="3B3B3B"/>
          <w:sz w:val="20"/>
          <w:szCs w:val="20"/>
        </w:rPr>
        <w:t xml:space="preserve">One contract type — a supplier NDA or standard goods-purchase terms; high volume, bounded clause set</w:t>
      </w:r>
    </w:p>
    <w:p>
      <w:pPr>
        <w:pStyle w:val="ListParagraph"/>
        <w:numPr>
          <w:ilvl w:val="0"/>
          <w:numId w:val="3"/>
        </w:numPr>
        <w:spacing w:after="60"/>
      </w:pPr>
      <w:r>
        <w:rPr>
          <w:rFonts w:ascii="Calibri" w:cs="Calibri" w:eastAsia="Calibri" w:hAnsi="Calibri"/>
          <w:color w:val="3B3B3B"/>
          <w:sz w:val="20"/>
          <w:szCs w:val="20"/>
        </w:rPr>
        <w:t xml:space="preserve">15 to 20 clause types in the taxonomy</w:t>
      </w:r>
    </w:p>
    <w:p>
      <w:pPr>
        <w:pStyle w:val="ListParagraph"/>
        <w:numPr>
          <w:ilvl w:val="0"/>
          <w:numId w:val="3"/>
        </w:numPr>
        <w:spacing w:after="60"/>
      </w:pPr>
      <w:r>
        <w:rPr>
          <w:rFonts w:ascii="Calibri" w:cs="Calibri" w:eastAsia="Calibri" w:hAnsi="Calibri"/>
          <w:color w:val="3B3B3B"/>
          <w:sz w:val="20"/>
          <w:szCs w:val="20"/>
        </w:rPr>
        <w:t xml:space="preserve">Three reviewer functions (Legal, Procurement, Finance) — sufficient to exercise fan-out, parallelism and conflict without eight-way complexity</w:t>
      </w:r>
    </w:p>
    <w:p>
      <w:pPr>
        <w:pStyle w:val="ListParagraph"/>
        <w:numPr>
          <w:ilvl w:val="0"/>
          <w:numId w:val="3"/>
        </w:numPr>
        <w:spacing w:after="60"/>
      </w:pPr>
      <w:r>
        <w:rPr>
          <w:rFonts w:ascii="Calibri" w:cs="Calibri" w:eastAsia="Calibri" w:hAnsi="Calibri"/>
          <w:color w:val="3B3B3B"/>
          <w:sz w:val="20"/>
          <w:szCs w:val="20"/>
        </w:rPr>
        <w:t xml:space="preserve">Single negotiation cycle end to end, plus one re-entry to prove delta scoping</w:t>
      </w:r>
    </w:p>
    <w:p>
      <w:pPr>
        <w:pStyle w:val="ListParagraph"/>
        <w:numPr>
          <w:ilvl w:val="0"/>
          <w:numId w:val="3"/>
        </w:numPr>
        <w:spacing w:after="60"/>
      </w:pPr>
      <w:r>
        <w:rPr>
          <w:rFonts w:ascii="Calibri" w:cs="Calibri" w:eastAsia="Calibri" w:hAnsi="Calibri"/>
          <w:color w:val="3B3B3B"/>
          <w:sz w:val="20"/>
          <w:szCs w:val="20"/>
        </w:rPr>
        <w:t xml:space="preserve">All four agents, all four gates, full audit event stream</w:t>
      </w:r>
    </w:p>
    <w:p>
      <w:pPr>
        <w:pStyle w:val="ListParagraph"/>
        <w:numPr>
          <w:ilvl w:val="0"/>
          <w:numId w:val="3"/>
        </w:numPr>
        <w:spacing w:after="60"/>
      </w:pPr>
      <w:r>
        <w:rPr>
          <w:rFonts w:ascii="Calibri" w:cs="Calibri" w:eastAsia="Calibri" w:hAnsi="Calibri"/>
          <w:color w:val="3B3B3B"/>
          <w:sz w:val="20"/>
          <w:szCs w:val="20"/>
        </w:rPr>
        <w:t xml:space="preserve">Golden-set evaluation harness on clause classification — a deliverable, not an optional extra</w:t>
      </w:r>
    </w:p>
    <w:p>
      <w:pPr>
        <w:pStyle w:val="Heading3"/>
        <w:spacing w:after="100" w:before="200"/>
      </w:pPr>
      <w:r>
        <w:rPr>
          <w:rFonts w:ascii="Calibri" w:cs="Calibri" w:eastAsia="Calibri" w:hAnsi="Calibri"/>
          <w:b/>
          <w:bCs/>
          <w:color w:val="5B2A86"/>
          <w:sz w:val="21"/>
          <w:szCs w:val="21"/>
        </w:rPr>
        <w:t xml:space="preserve">Out of scope, flagged as production work</w:t>
      </w:r>
    </w:p>
    <w:p>
      <w:pPr>
        <w:pStyle w:val="ListParagraph"/>
        <w:numPr>
          <w:ilvl w:val="0"/>
          <w:numId w:val="3"/>
        </w:numPr>
        <w:spacing w:after="60"/>
      </w:pPr>
      <w:r>
        <w:rPr>
          <w:rFonts w:ascii="Calibri" w:cs="Calibri" w:eastAsia="Calibri" w:hAnsi="Calibri"/>
          <w:color w:val="3B3B3B"/>
          <w:sz w:val="20"/>
          <w:szCs w:val="20"/>
        </w:rPr>
        <w:t xml:space="preserve">Tax, Information Security, Privacy, Compliance and business-stakeholder routing — matrix extension only, no new architecture</w:t>
      </w:r>
    </w:p>
    <w:p>
      <w:pPr>
        <w:pStyle w:val="ListParagraph"/>
        <w:numPr>
          <w:ilvl w:val="0"/>
          <w:numId w:val="3"/>
        </w:numPr>
        <w:spacing w:after="60"/>
      </w:pPr>
      <w:r>
        <w:rPr>
          <w:rFonts w:ascii="Calibri" w:cs="Calibri" w:eastAsia="Calibri" w:hAnsi="Calibri"/>
          <w:color w:val="3B3B3B"/>
          <w:sz w:val="20"/>
          <w:szCs w:val="20"/>
        </w:rPr>
        <w:t xml:space="preserve">Delegation-of-authority thresholds and eSignature execution</w:t>
      </w:r>
    </w:p>
    <w:p>
      <w:pPr>
        <w:pStyle w:val="ListParagraph"/>
        <w:numPr>
          <w:ilvl w:val="0"/>
          <w:numId w:val="3"/>
        </w:numPr>
        <w:spacing w:after="60"/>
      </w:pPr>
      <w:r>
        <w:rPr>
          <w:rFonts w:ascii="Calibri" w:cs="Calibri" w:eastAsia="Calibri" w:hAnsi="Calibri"/>
          <w:color w:val="3B3B3B"/>
          <w:sz w:val="20"/>
          <w:szCs w:val="20"/>
        </w:rPr>
        <w:t xml:space="preserve">Ariba integration</w:t>
      </w:r>
    </w:p>
    <w:p>
      <w:pPr>
        <w:pStyle w:val="ListParagraph"/>
        <w:numPr>
          <w:ilvl w:val="0"/>
          <w:numId w:val="3"/>
        </w:numPr>
        <w:spacing w:after="60"/>
      </w:pPr>
      <w:r>
        <w:rPr>
          <w:rFonts w:ascii="Calibri" w:cs="Calibri" w:eastAsia="Calibri" w:hAnsi="Calibri"/>
          <w:color w:val="3B3B3B"/>
          <w:sz w:val="20"/>
          <w:szCs w:val="20"/>
        </w:rPr>
        <w:t xml:space="preserve">Native DOCX revision markup generation — the proof of concept uses Docs API suggestion mode and accepts its documented limits</w:t>
      </w:r>
    </w:p>
    <w:p>
      <w:pPr>
        <w:pStyle w:val="ListParagraph"/>
        <w:numPr>
          <w:ilvl w:val="0"/>
          <w:numId w:val="3"/>
        </w:numPr>
        <w:spacing w:after="60"/>
      </w:pPr>
      <w:r>
        <w:rPr>
          <w:rFonts w:ascii="Calibri" w:cs="Calibri" w:eastAsia="Calibri" w:hAnsi="Calibri"/>
          <w:color w:val="3B3B3B"/>
          <w:sz w:val="20"/>
          <w:szCs w:val="20"/>
        </w:rPr>
        <w:t xml:space="preserve">A2UI reviewer surface — the proof of concept uses an external application; the A2UI versus external decision is resolved by proof-of-concept learnings, not before them</w:t>
      </w:r>
    </w:p>
    <w:p>
      <w:pPr>
        <w:spacing w:after="120" w:before="120"/>
      </w:pPr>
      <w:r>
        <w:rPr>
          <w:rFonts w:ascii="Calibri" w:cs="Calibri" w:eastAsia="Calibri" w:hAnsi="Calibri"/>
          <w:b/>
          <w:bCs/>
          <w:color w:val="3B3B3B"/>
          <w:sz w:val="20"/>
          <w:szCs w:val="20"/>
        </w:rPr>
        <w:t xml:space="preserve">The proof of concept's success criterion is not that the workflow runs. It is that classification accuracy on the golden set is high enough that routing is trusted. If Legal receives clauses that are not theirs, adoption fails regardless of how elegant the orchestration is.</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6. Stage 4 — Document and Clause Representation</w:t>
      </w:r>
    </w:p>
    <w:p>
      <w:pPr>
        <w:pStyle w:val="Heading2"/>
        <w:spacing w:after="120" w:before="260"/>
      </w:pPr>
      <w:r>
        <w:rPr>
          <w:rFonts w:ascii="Calibri" w:cs="Calibri" w:eastAsia="Calibri" w:hAnsi="Calibri"/>
          <w:b/>
          <w:bCs/>
          <w:color w:val="3B3B3B"/>
          <w:sz w:val="24"/>
          <w:szCs w:val="24"/>
        </w:rPr>
        <w:t xml:space="preserve">6.1 Verdict</w:t>
      </w:r>
    </w:p>
    <w:p>
      <w:pPr>
        <w:spacing w:after="120" w:before="0"/>
      </w:pPr>
      <w:r>
        <w:rPr>
          <w:rFonts w:ascii="Calibri" w:cs="Calibri" w:eastAsia="Calibri" w:hAnsi="Calibri"/>
          <w:color w:val="3B3B3B"/>
          <w:sz w:val="20"/>
          <w:szCs w:val="20"/>
        </w:rPr>
        <w:t xml:space="preserve">Gemini Enterprise provides no persistence layer capable of holding any of the sixteen required entities. This is a category difference, not a gap to be worked around. GEP persists retrieval artefacts and agent context; the requirement is a legal system of record with referential integrity. An external datastore is mandatory.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700"/>
        <w:gridCol w:w="2400"/>
        <w:gridCol w:w="1660"/>
      </w:tblGrid>
      <w:tr>
        <w:trPr>
          <w:tblHeader/>
        </w:trPr>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GEP / Agent Platform surface</w:t>
            </w:r>
          </w:p>
        </w:tc>
        <w:tc>
          <w:tcPr>
            <w:tcW w:type="dxa" w:w="2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What it persists</w:t>
            </w:r>
          </w:p>
        </w:tc>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Fit for this model</w:t>
            </w:r>
          </w:p>
        </w:tc>
        <w:tc>
          <w:tcPr>
            <w:tcW w:type="dxa" w:w="16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Verdict</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stores (Discovery Engine)</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Chunked, embedded content plus ACL metadata; refresh replaces content</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version lineage, no entity relations, no transactional writes, no schema for decisions</w:t>
            </w:r>
          </w:p>
        </w:tc>
        <w:tc>
          <w:tcPr>
            <w:tcW w:type="dxa" w:w="1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Index only</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Platform Sessions</w:t>
            </w:r>
          </w:p>
        </w:tc>
        <w:tc>
          <w:tcPr>
            <w:tcW w:type="dxa" w:w="2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Event history and state within one agent interaction</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Scoped to an interaction, not a business object; not queryable as a domain model</w:t>
            </w:r>
          </w:p>
        </w:tc>
        <w:tc>
          <w:tcPr>
            <w:tcW w:type="dxa" w:w="1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context only</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Platform Memory Bank</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Model-generated cross-session memories, TTL expiry, similarity retrieval</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TTL expiry and model-driven generation are disqualifying for a legal record</w:t>
            </w:r>
          </w:p>
        </w:tc>
        <w:tc>
          <w:tcPr>
            <w:tcW w:type="dxa" w:w="1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PROHIBITED for domain data</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Enterprise Inbox</w:t>
            </w:r>
          </w:p>
        </w:tc>
        <w:tc>
          <w:tcPr>
            <w:tcW w:type="dxa" w:w="2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run notifications by category</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Notification surface; no task or decision object</w:t>
            </w:r>
          </w:p>
        </w:tc>
        <w:tc>
          <w:tcPr>
            <w:tcW w:type="dxa" w:w="1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 a store</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Google Drive and Docs</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blobs, revision history, suggestions, comments</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Useful for the redline artefact; cannot hold the relational model</w:t>
            </w:r>
          </w:p>
        </w:tc>
        <w:tc>
          <w:tcPr>
            <w:tcW w:type="dxa" w:w="1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Artefact store, partial</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Audit Logs / Cloud Logging</w:t>
            </w:r>
          </w:p>
        </w:tc>
        <w:tc>
          <w:tcPr>
            <w:tcW w:type="dxa" w:w="2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Platform API calls, connector errors</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Records who called an API, not who approved a clause</w:t>
            </w:r>
          </w:p>
        </w:tc>
        <w:tc>
          <w:tcPr>
            <w:tcW w:type="dxa" w:w="1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Platform audit only</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Analytics (Looker)</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Usage and search-quality metrics</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Product telemetry</w:t>
            </w:r>
          </w:p>
        </w:tc>
        <w:tc>
          <w:tcPr>
            <w:tcW w:type="dxa" w:w="1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 applicable</w:t>
            </w:r>
          </w:p>
        </w:tc>
      </w:tr>
    </w:tbl>
    <w:p>
      <w:pPr>
        <w:pStyle w:val="Heading2"/>
        <w:spacing w:after="120" w:before="260"/>
      </w:pPr>
      <w:r>
        <w:rPr>
          <w:rFonts w:ascii="Calibri" w:cs="Calibri" w:eastAsia="Calibri" w:hAnsi="Calibri"/>
          <w:b/>
          <w:bCs/>
          <w:color w:val="3B3B3B"/>
          <w:sz w:val="24"/>
          <w:szCs w:val="24"/>
        </w:rPr>
        <w:t xml:space="preserve">6.2 Recommended storage architecture</w:t>
      </w:r>
    </w:p>
    <w:p>
      <w:pPr>
        <w:spacing w:after="120" w:before="0"/>
      </w:pPr>
      <w:r>
        <w:rPr>
          <w:rFonts w:ascii="Calibri" w:cs="Calibri" w:eastAsia="Calibri" w:hAnsi="Calibri"/>
          <w:color w:val="3B3B3B"/>
          <w:sz w:val="20"/>
          <w:szCs w:val="20"/>
        </w:rPr>
        <w:t xml:space="preserve">The traceability requirement is a referential integrity requirement. Preserving traceability from Contract to Version to Section to Clause to Review to Decision to Revision means the database must make it impossible to write a decision that does not point at a real review task. A document database cannot enforce that; integrity would live in application code, and every audit conversation would become a question of trusting the service layer.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2600"/>
        <w:gridCol w:w="4560"/>
      </w:tblGrid>
      <w:tr>
        <w:trPr>
          <w:tblHeader/>
        </w:trPr>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Layer</w:t>
            </w:r>
          </w:p>
        </w:tc>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Technology</w:t>
            </w:r>
          </w:p>
        </w:tc>
        <w:tc>
          <w:tcPr>
            <w:tcW w:type="dxa" w:w="4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Holds</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Transactional system of record</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AlloyDB for PostgreSQL</w:t>
            </w:r>
          </w:p>
        </w:tc>
        <w:tc>
          <w:tcPr>
            <w:tcW w:type="dxa" w:w="4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All sixteen entities; foreign key constraints enforce the traceability chain; ACID for fan-in and consolidation</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Immutable artefact store</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Storage — object versioning, CMEK, retention policy / bucket lock</w:t>
            </w:r>
          </w:p>
        </w:tc>
        <w:tc>
          <w:tcPr>
            <w:tcW w:type="dxa" w:w="4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Original blobs, parsed layout protos, rendered redlines, version snapshots</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Audit event stream</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BigQuery — partitioned, append-only</w:t>
            </w:r>
          </w:p>
        </w:tc>
        <w:tc>
          <w:tcPr>
            <w:tcW w:type="dxa" w:w="4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Every domain event, write-once, for auditor self-service</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Redline working surface</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Google Drive / Docs</w:t>
            </w:r>
          </w:p>
        </w:tc>
        <w:tc>
          <w:tcPr>
            <w:tcW w:type="dxa" w:w="4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Suggestion-mode documents, reviewer comments</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Retrieval index</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Enterprise data stores</w:t>
            </w:r>
          </w:p>
        </w:tc>
        <w:tc>
          <w:tcPr>
            <w:tcW w:type="dxa" w:w="4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Playbooks, prior contracts, current versions — for search and reviewer assistant grounding</w:t>
            </w:r>
          </w:p>
        </w:tc>
      </w:tr>
    </w:tbl>
    <w:p>
      <w:pPr>
        <w:spacing w:after="120" w:before="100"/>
      </w:pPr>
      <w:r>
        <w:rPr>
          <w:rFonts w:ascii="Calibri" w:cs="Calibri" w:eastAsia="Calibri" w:hAnsi="Calibri"/>
          <w:color w:val="3B3B3B"/>
          <w:sz w:val="20"/>
          <w:szCs w:val="20"/>
        </w:rPr>
        <w:t xml:space="preserve">Spanner is the alternative if multi-region strong consistency is mandated; it is over-specified for a proof of concept. Firestore remains acceptable only where a serverless-only mandate exists — and the trade, application-enforced integrity, must be documented as a risk rather than buried.</w:t>
      </w:r>
    </w:p>
    <w:p>
      <w:pPr>
        <w:pStyle w:val="Heading2"/>
        <w:spacing w:after="120" w:before="260"/>
      </w:pPr>
      <w:r>
        <w:rPr>
          <w:rFonts w:ascii="Calibri" w:cs="Calibri" w:eastAsia="Calibri" w:hAnsi="Calibri"/>
          <w:b/>
          <w:bCs/>
          <w:color w:val="3B3B3B"/>
          <w:sz w:val="24"/>
          <w:szCs w:val="24"/>
        </w:rPr>
        <w:t xml:space="preserve">6.3 Entity model summary</w:t>
      </w:r>
    </w:p>
    <w:p>
      <w:pPr>
        <w:spacing w:after="120" w:before="0"/>
      </w:pPr>
      <w:r>
        <w:rPr>
          <w:rFonts w:ascii="Calibri" w:cs="Calibri" w:eastAsia="Calibri" w:hAnsi="Calibri"/>
          <w:color w:val="3B3B3B"/>
          <w:sz w:val="20"/>
          <w:szCs w:val="20"/>
        </w:rPr>
        <w:t xml:space="preserve">Provenance is a first-class column on every table that can contain model output. Any row with provenance set to model origin is a proposal, and the schema makes that visible to an auditor without reading code.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2100"/>
        <w:gridCol w:w="5160"/>
      </w:tblGrid>
      <w:tr>
        <w:trPr>
          <w:tblHeader/>
        </w:trPr>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Entity</w:t>
            </w:r>
          </w:p>
        </w:tc>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Key</w:t>
            </w:r>
          </w:p>
        </w:tc>
        <w:tc>
          <w:tcPr>
            <w:tcW w:type="dxa" w:w="5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Purpose and critical fields</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contract</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contract_id (ULID)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Immutable identity. Supplier, contract type, legal entity, governing law, lifecycle state.</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contract_version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version_id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Monotonic gapless sequence; parent_version_id for lineage across negotiation cycles; blob_uri with Cloud Storage generation number pinned; blob_sha256; layout_proto_uri; parser_version for reproducibility; immutability flag.</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document_section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section_id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Heading hierarchy from the layout tree; parent_section_id; heading_path; layout_block_path pointer into the DocumentLayout proto.</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 IDENTITY, contract-scoped and stable across versions. clause_key, first and last seen version, identity_method (numbering / anchor match / human confirmed).</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clause_instance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clause_instance_id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 TEXT, one row per clause per version, immutable once written. extracted_text verbatim; normalized_text for diffing; text_sha256 drives delta scoping; page and character offsets; bounding boxes for interface highlighting.</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clause_classification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classification_id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Type, confidence, rationale, provenance, model_version, prompt_version, taxonomy_version, adjudicated_by.</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approved_clause</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approved_clause_id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The playbook. Keyed on clause_type, playbook_version and position_rank (0 preferred, 1..n fallback ladder). Policy reference, owning function, effective dating.</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deviation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deviation_id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deviation_features (model-extracted, structured); severity from rule table with rule version; text_diff (deterministic); ai_analysis and proposed_language both provenance-tagged.</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review_task</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review_task_id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One per clause instance and reviewer function. routing_matrix_ver and routing_reason record why the task exists. packet_snapshot is immutable at creation. Status, SLA due date.</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review_decision</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decision_id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APPEND-ONLY. Authenticated reviewer identity, decision enum, proposed_change, polarity (+1 / -1 / 0), supersedes and superseded_by chain.</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review_comment</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comment_id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Threaded, with visibility scope (function only / all reviewers / PA only) and optional link to a Docs API comment.</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clause_conflict</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conflict_id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detection_rule_ver; status; ai_summary (advisory only); escalated_to; resolution_decision_id which must reference a human resolution decision.</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conflict_position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composite</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Links both original decisions to the conflict, permanently. Neither position is discarded.</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approval_state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scope_type + scope_id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Current state only, for fast querying.</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approval_transition</w:t>
            </w:r>
          </w:p>
        </w:tc>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transition_id</w:t>
            </w:r>
          </w:p>
        </w:tc>
        <w:tc>
          <w:tcPr>
            <w:tcW w:type="dxa" w:w="51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APPEND-ONLY history. From state, to state, trigger, trigger reference, actor identity, workflow execution id.</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revision_change</w:t>
            </w:r>
          </w:p>
        </w:tc>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revision_change_id</w:t>
            </w:r>
          </w:p>
        </w:tc>
        <w:tc>
          <w:tcPr>
            <w:tcW w:type="dxa" w:w="5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Closes the chain. Source and target version, clause_id, source and target clause instance, change type, driving_decision_id, PA approver and timestamp, Docs suggestion id.</w:t>
            </w:r>
          </w:p>
        </w:tc>
      </w:tr>
    </w:tbl>
    <w:p>
      <w:pPr>
        <w:pStyle w:val="Heading2"/>
        <w:spacing w:after="120" w:before="260"/>
      </w:pPr>
      <w:r>
        <w:rPr>
          <w:rFonts w:ascii="Calibri" w:cs="Calibri" w:eastAsia="Calibri" w:hAnsi="Calibri"/>
          <w:b/>
          <w:bCs/>
          <w:color w:val="3B3B3B"/>
          <w:sz w:val="24"/>
          <w:szCs w:val="24"/>
        </w:rPr>
        <w:t xml:space="preserve">6.4 The clause identity split — the most important decision in this stage</w:t>
      </w:r>
    </w:p>
    <w:p>
      <w:pPr>
        <w:spacing w:after="120" w:before="0"/>
      </w:pPr>
      <w:r>
        <w:rPr>
          <w:rFonts w:ascii="Calibri" w:cs="Calibri" w:eastAsia="Calibri" w:hAnsi="Calibri"/>
          <w:color w:val="3B3B3B"/>
          <w:sz w:val="20"/>
          <w:szCs w:val="20"/>
        </w:rPr>
        <w:t xml:space="preserve">The clause table is identity at contract scope; clause_instance is versioned text. Collapsing these into one table — the intuitive move — makes cross-version lineage unrecoverable, and it cannot be retrofitted once data exists. With the split, traceability between original and revised clauses is a single join:</w:t>
      </w:r>
    </w:p>
    <w:p>
      <w:pPr>
        <w:spacing w:after="0" w:line="200"/>
      </w:pPr>
      <w:r>
        <w:rPr>
          <w:rFonts w:ascii="Consolas" w:cs="Consolas" w:eastAsia="Consolas" w:hAnsi="Consolas"/>
          <w:color w:val="3B3B3B"/>
          <w:sz w:val="15"/>
          <w:szCs w:val="15"/>
        </w:rPr>
        <w:t xml:space="preserve">SELECT v.version_seq, ci.extracted_text</w:t>
      </w:r>
    </w:p>
    <w:p>
      <w:pPr>
        <w:spacing w:after="0" w:line="200"/>
      </w:pPr>
      <w:r>
        <w:rPr>
          <w:rFonts w:ascii="Consolas" w:cs="Consolas" w:eastAsia="Consolas" w:hAnsi="Consolas"/>
          <w:color w:val="3B3B3B"/>
          <w:sz w:val="15"/>
          <w:szCs w:val="15"/>
        </w:rPr>
        <w:t xml:space="preserve">FROM   clause_instance ci</w:t>
      </w:r>
    </w:p>
    <w:p>
      <w:pPr>
        <w:spacing w:after="0" w:line="200"/>
      </w:pPr>
      <w:r>
        <w:rPr>
          <w:rFonts w:ascii="Consolas" w:cs="Consolas" w:eastAsia="Consolas" w:hAnsi="Consolas"/>
          <w:color w:val="3B3B3B"/>
          <w:sz w:val="15"/>
          <w:szCs w:val="15"/>
        </w:rPr>
        <w:t xml:space="preserve">JOIN   contract_version v USING (version_id)</w:t>
      </w:r>
    </w:p>
    <w:p>
      <w:pPr>
        <w:spacing w:after="0" w:line="200"/>
      </w:pPr>
      <w:r>
        <w:rPr>
          <w:rFonts w:ascii="Consolas" w:cs="Consolas" w:eastAsia="Consolas" w:hAnsi="Consolas"/>
          <w:color w:val="3B3B3B"/>
          <w:sz w:val="15"/>
          <w:szCs w:val="15"/>
        </w:rPr>
        <w:t xml:space="preserve">WHERE  ci.clause_id = :clause_id</w:t>
      </w:r>
    </w:p>
    <w:p>
      <w:pPr>
        <w:spacing w:after="0" w:line="200"/>
      </w:pPr>
      <w:r>
        <w:rPr>
          <w:rFonts w:ascii="Consolas" w:cs="Consolas" w:eastAsia="Consolas" w:hAnsi="Consolas"/>
          <w:color w:val="3B3B3B"/>
          <w:sz w:val="15"/>
          <w:szCs w:val="15"/>
        </w:rPr>
        <w:t xml:space="preserve">ORDER  BY v.version_seq;</w:t>
      </w:r>
    </w:p>
    <w:p>
      <w:pPr>
        <w:pStyle w:val="Heading2"/>
        <w:spacing w:after="120" w:before="260"/>
      </w:pPr>
      <w:r>
        <w:rPr>
          <w:rFonts w:ascii="Calibri" w:cs="Calibri" w:eastAsia="Calibri" w:hAnsi="Calibri"/>
          <w:b/>
          <w:bCs/>
          <w:color w:val="3B3B3B"/>
          <w:sz w:val="24"/>
          <w:szCs w:val="24"/>
        </w:rPr>
        <w:t xml:space="preserve">6.5 Traceability chain, resolved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3200"/>
        <w:gridCol w:w="3360"/>
      </w:tblGrid>
      <w:tr>
        <w:trPr>
          <w:tblHeader/>
        </w:trPr>
        <w:tc>
          <w:tcPr>
            <w:tcW w:type="dxa" w:w="28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Link</w:t>
            </w:r>
          </w:p>
        </w:tc>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Enforced by</w:t>
            </w:r>
          </w:p>
        </w:tc>
        <w:tc>
          <w:tcPr>
            <w:tcW w:type="dxa" w:w="3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Notes</w:t>
            </w:r>
          </w:p>
        </w:tc>
      </w:tr>
      <w:tr>
        <w:tc>
          <w:tcPr>
            <w:tcW w:type="dxa" w:w="2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Contract to Version</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contract_version.contract_id plus parent_version_id</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Self-referencing lineage across negotiation cycles</w:t>
            </w:r>
          </w:p>
        </w:tc>
      </w:tr>
      <w:tr>
        <w:tc>
          <w:tcPr>
            <w:tcW w:type="dxa" w:w="2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 to Section</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document_section.version_id</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Hierarchy via parent_section_id, sourced from the layout tree</w:t>
            </w:r>
          </w:p>
        </w:tc>
      </w:tr>
      <w:tr>
        <w:tc>
          <w:tcPr>
            <w:tcW w:type="dxa" w:w="2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Section to Clause</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clause_instance.section_id plus clause_id</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two-table split carries clause identity across versions</w:t>
            </w:r>
          </w:p>
        </w:tc>
      </w:tr>
      <w:tr>
        <w:tc>
          <w:tcPr>
            <w:tcW w:type="dxa" w:w="2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to Review</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review_task.clause_instance_id</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One task per clause instance and function</w:t>
            </w:r>
          </w:p>
        </w:tc>
      </w:tr>
      <w:tr>
        <w:tc>
          <w:tcPr>
            <w:tcW w:type="dxa" w:w="2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 to Decision</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review_decision.review_task_id</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Append-only; supersession chain preserved</w:t>
            </w:r>
          </w:p>
        </w:tc>
      </w:tr>
      <w:tr>
        <w:tc>
          <w:tcPr>
            <w:tcW w:type="dxa" w:w="2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Decision to Revision</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revision_change.driving_decision_id</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Closes the loop. For any word that changed between versions: which clause, which reviewer, which decision, which timestamp, which PA approved it</w:t>
            </w:r>
          </w:p>
        </w:tc>
      </w:tr>
    </w:tbl>
    <w:p>
      <w:pPr>
        <w:pStyle w:val="Heading2"/>
        <w:spacing w:after="120" w:before="260"/>
      </w:pPr>
      <w:r>
        <w:rPr>
          <w:rFonts w:ascii="Calibri" w:cs="Calibri" w:eastAsia="Calibri" w:hAnsi="Calibri"/>
          <w:b/>
          <w:bCs/>
          <w:color w:val="3B3B3B"/>
          <w:sz w:val="24"/>
          <w:szCs w:val="24"/>
        </w:rPr>
        <w:t xml:space="preserve">6.6 Two problems that must not be glossed over</w:t>
      </w:r>
    </w:p>
    <w:p>
      <w:pPr>
        <w:pStyle w:val="Heading3"/>
        <w:spacing w:after="100" w:before="200"/>
      </w:pPr>
      <w:r>
        <w:rPr>
          <w:rFonts w:ascii="Calibri" w:cs="Calibri" w:eastAsia="Calibri" w:hAnsi="Calibri"/>
          <w:b/>
          <w:bCs/>
          <w:color w:val="5B2A86"/>
          <w:sz w:val="21"/>
          <w:szCs w:val="21"/>
        </w:rPr>
        <w:t xml:space="preserve">Clause identity across versions</w:t>
      </w:r>
    </w:p>
    <w:p>
      <w:pPr>
        <w:spacing w:after="120" w:before="0"/>
      </w:pPr>
      <w:r>
        <w:rPr>
          <w:rFonts w:ascii="Calibri" w:cs="Calibri" w:eastAsia="Calibri" w:hAnsi="Calibri"/>
          <w:color w:val="3B3B3B"/>
          <w:sz w:val="20"/>
          <w:szCs w:val="20"/>
        </w:rPr>
        <w:t xml:space="preserve">A supplier renumbers section 8 to section 9 and rewords it. Recommended cascade, in strict order:</w:t>
      </w:r>
    </w:p>
    <w:p>
      <w:pPr>
        <w:pStyle w:val="ListParagraph"/>
        <w:numPr>
          <w:ilvl w:val="0"/>
          <w:numId w:val="2"/>
        </w:numPr>
        <w:spacing w:after="60"/>
      </w:pPr>
      <w:r>
        <w:rPr>
          <w:rFonts w:ascii="Calibri" w:cs="Calibri" w:eastAsia="Calibri" w:hAnsi="Calibri"/>
          <w:color w:val="3B3B3B"/>
          <w:sz w:val="20"/>
          <w:szCs w:val="20"/>
        </w:rPr>
        <w:t xml:space="preserve">Numbering — heading path and clause type both match, giving the same clause key. Deterministic, covers most cases.</w:t>
      </w:r>
    </w:p>
    <w:p>
      <w:pPr>
        <w:pStyle w:val="ListParagraph"/>
        <w:numPr>
          <w:ilvl w:val="0"/>
          <w:numId w:val="2"/>
        </w:numPr>
        <w:spacing w:after="60"/>
      </w:pPr>
      <w:r>
        <w:rPr>
          <w:rFonts w:ascii="Calibri" w:cs="Calibri" w:eastAsia="Calibri" w:hAnsi="Calibri"/>
          <w:color w:val="3B3B3B"/>
          <w:sz w:val="20"/>
          <w:szCs w:val="20"/>
        </w:rPr>
        <w:t xml:space="preserve">Anchor match — normalised text similarity above a high threshold (0.85 or above) within the same clause type. Deterministic algorithm, not a model call.</w:t>
      </w:r>
    </w:p>
    <w:p>
      <w:pPr>
        <w:pStyle w:val="ListParagraph"/>
        <w:numPr>
          <w:ilvl w:val="0"/>
          <w:numId w:val="2"/>
        </w:numPr>
        <w:spacing w:after="60"/>
      </w:pPr>
      <w:r>
        <w:rPr>
          <w:rFonts w:ascii="Calibri" w:cs="Calibri" w:eastAsia="Calibri" w:hAnsi="Calibri"/>
          <w:color w:val="3B3B3B"/>
          <w:sz w:val="20"/>
          <w:szCs w:val="20"/>
        </w:rPr>
        <w:t xml:space="preserve">Human confirmed — anything ambiguous goes to the Purchasing Agent. A model must never assign identity; a wrong match silently transfers a prior approval to different language, the worst failure mode in the system.</w:t>
      </w:r>
    </w:p>
    <w:p>
      <w:pPr>
        <w:spacing w:after="120" w:before="80"/>
      </w:pPr>
      <w:r>
        <w:rPr>
          <w:rFonts w:ascii="Calibri" w:cs="Calibri" w:eastAsia="Calibri" w:hAnsi="Calibri"/>
          <w:color w:val="3B3B3B"/>
          <w:sz w:val="20"/>
          <w:szCs w:val="20"/>
        </w:rPr>
        <w:t xml:space="preserve">The method used is stored so an auditor can see whether a lineage link was computed or asserted.</w:t>
      </w:r>
    </w:p>
    <w:p>
      <w:pPr>
        <w:pStyle w:val="Heading3"/>
        <w:spacing w:after="100" w:before="200"/>
      </w:pPr>
      <w:r>
        <w:rPr>
          <w:rFonts w:ascii="Calibri" w:cs="Calibri" w:eastAsia="Calibri" w:hAnsi="Calibri"/>
          <w:b/>
          <w:bCs/>
          <w:color w:val="5B2A86"/>
          <w:sz w:val="21"/>
          <w:szCs w:val="21"/>
        </w:rPr>
        <w:t xml:space="preserve">Source location durability</w:t>
      </w:r>
    </w:p>
    <w:p>
      <w:pPr>
        <w:spacing w:after="120" w:before="0"/>
      </w:pPr>
      <w:r>
        <w:rPr>
          <w:rFonts w:ascii="Calibri" w:cs="Calibri" w:eastAsia="Calibri" w:hAnsi="Calibri"/>
          <w:color w:val="3B3B3B"/>
          <w:sz w:val="20"/>
          <w:szCs w:val="20"/>
        </w:rPr>
        <w:t xml:space="preserve">Offsets and bounding boxes are meaningless unless anchored to a specific parse of a specific byte sequence. Every clause instance references a version, which pins the blob hash, the blob URI including generation number, and the parser version. Re-parsing with a newer Document AI version produces a new set of clause instance rows against a new analysis run; it never mutates existing offsets.</w:t>
      </w:r>
    </w:p>
    <w:p>
      <w:pPr>
        <w:pStyle w:val="Heading2"/>
        <w:spacing w:after="120" w:before="260"/>
      </w:pPr>
      <w:r>
        <w:rPr>
          <w:rFonts w:ascii="Calibri" w:cs="Calibri" w:eastAsia="Calibri" w:hAnsi="Calibri"/>
          <w:b/>
          <w:bCs/>
          <w:color w:val="3B3B3B"/>
          <w:sz w:val="24"/>
          <w:szCs w:val="24"/>
        </w:rPr>
        <w:t xml:space="preserve">6.7 Retention and control decisions required from client legal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400"/>
        <w:gridCol w:w="3560"/>
      </w:tblGrid>
      <w:tr>
        <w:trPr>
          <w:tblHeader/>
        </w:trPr>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Concern</w:t>
            </w:r>
          </w:p>
        </w:tc>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Mechanism</w:t>
            </w:r>
          </w:p>
        </w:tc>
        <w:tc>
          <w:tcPr>
            <w:tcW w:type="dxa" w:w="3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Decision required</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Immutability of executed versions</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Storage bucket lock / retention policy</w:t>
            </w:r>
          </w:p>
        </w:tc>
        <w:tc>
          <w:tcPr>
            <w:tcW w:type="dxa" w:w="3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Retention period per contract type</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hold</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Per-object hold; suppress lifecycle deletion</w:t>
            </w:r>
          </w:p>
        </w:tc>
        <w:tc>
          <w:tcPr>
            <w:tcW w:type="dxa" w:w="3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Who may place and release</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Encryption</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CMEK across database, object storage and warehouse</w:t>
            </w:r>
          </w:p>
        </w:tc>
        <w:tc>
          <w:tcPr>
            <w:tcW w:type="dxa" w:w="3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Key residency and rotation</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Audit retention</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BigQuery partition expiration</w:t>
            </w:r>
          </w:p>
        </w:tc>
        <w:tc>
          <w:tcPr>
            <w:tcW w:type="dxa" w:w="3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Typically 7 to 10 years; confirm</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Right to erasure versus legal hold</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is real for supplier personal data in signatory details</w:t>
            </w:r>
          </w:p>
        </w:tc>
        <w:tc>
          <w:tcPr>
            <w:tcW w:type="dxa" w:w="3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must rule before build</w:t>
            </w:r>
          </w:p>
        </w:tc>
      </w:tr>
    </w:tbl>
    <w:p>
      <w:pPr>
        <w:spacing w:after="120" w:before="100"/>
      </w:pPr>
      <w:r>
        <w:rPr>
          <w:rFonts w:ascii="Calibri" w:cs="Calibri" w:eastAsia="Calibri" w:hAnsi="Calibri"/>
          <w:color w:val="3B3B3B"/>
          <w:sz w:val="20"/>
          <w:szCs w:val="20"/>
        </w:rPr>
        <w:t xml:space="preserve">The final row is the item most likely to surface late and expensively. It should be raised at design review, not at user acceptance testing.</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7. Stage 5 — Parallel and Asynchronous Review</w:t>
      </w:r>
    </w:p>
    <w:p>
      <w:pPr>
        <w:pStyle w:val="Heading2"/>
        <w:spacing w:after="120" w:before="260"/>
      </w:pPr>
      <w:r>
        <w:rPr>
          <w:rFonts w:ascii="Calibri" w:cs="Calibri" w:eastAsia="Calibri" w:hAnsi="Calibri"/>
          <w:b/>
          <w:bCs/>
          <w:color w:val="3B3B3B"/>
          <w:sz w:val="24"/>
          <w:szCs w:val="24"/>
        </w:rPr>
        <w:t xml:space="preserve">7.1 Verdict</w:t>
      </w:r>
    </w:p>
    <w:p>
      <w:pPr>
        <w:spacing w:after="120" w:before="0"/>
      </w:pPr>
      <w:r>
        <w:rPr>
          <w:rFonts w:ascii="Calibri" w:cs="Calibri" w:eastAsia="Calibri" w:hAnsi="Calibri"/>
          <w:color w:val="3B3B3B"/>
          <w:sz w:val="20"/>
          <w:szCs w:val="20"/>
        </w:rPr>
        <w:t xml:space="preserve">Gemini Enterprise provides none of the eleven assessed capabilities as a coordination primitive. Agent Platform provides duration — long-running agents holding state for days — and pausing, via ADK long-running tools. It does not provide coordination: fan-out with independent branch completion, per-branch timers, reassignment, and a completion barrier.</w:t>
      </w:r>
    </w:p>
    <w:p>
      <w:pPr>
        <w:spacing w:after="120" w:before="0"/>
      </w:pPr>
      <w:r>
        <w:rPr>
          <w:rFonts w:ascii="Calibri" w:cs="Calibri" w:eastAsia="Calibri" w:hAnsi="Calibri"/>
          <w:color w:val="3B3B3B"/>
          <w:sz w:val="20"/>
          <w:szCs w:val="20"/>
        </w:rPr>
        <w:t xml:space="preserve">The distinction matters because a superficial reading of the Agent Runtime documentation suggests this is solved. It is not.</w:t>
      </w:r>
    </w:p>
    <w:p>
      <w:pPr>
        <w:pStyle w:val="Heading2"/>
        <w:spacing w:after="120" w:before="260"/>
      </w:pPr>
      <w:r>
        <w:rPr>
          <w:rFonts w:ascii="Calibri" w:cs="Calibri" w:eastAsia="Calibri" w:hAnsi="Calibri"/>
          <w:b/>
          <w:bCs/>
          <w:color w:val="3B3B3B"/>
          <w:sz w:val="24"/>
          <w:szCs w:val="24"/>
        </w:rPr>
        <w:t xml:space="preserve">7.2 Why the ADK long-running tool pattern does not scale to this requirement</w:t>
      </w:r>
    </w:p>
    <w:p>
      <w:pPr>
        <w:spacing w:after="120" w:before="0"/>
      </w:pPr>
      <w:r>
        <w:rPr>
          <w:rFonts w:ascii="Calibri" w:cs="Calibri" w:eastAsia="Calibri" w:hAnsi="Calibri"/>
          <w:color w:val="3B3B3B"/>
          <w:sz w:val="20"/>
          <w:szCs w:val="20"/>
        </w:rPr>
        <w:t xml:space="preserve">The documented mechanism: a LongRunningFunctionTool initiates an operation, the runner pauses the agent run, and the client decides whether to continue or wait, later returning a response. Resumption requires sending a function response on a new run rather than through the original stream.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2800"/>
        <w:gridCol w:w="2960"/>
      </w:tblGrid>
      <w:tr>
        <w:trPr>
          <w:tblHeader/>
        </w:trPr>
        <w:tc>
          <w:tcPr>
            <w:tcW w:type="dxa" w:w="3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Property of the ADK pattern</w:t>
            </w:r>
          </w:p>
        </w:tc>
        <w:tc>
          <w:tcPr>
            <w:tcW w:type="dxa" w:w="28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The requirement</w:t>
            </w:r>
          </w:p>
        </w:tc>
        <w:tc>
          <w:tcPr>
            <w:tcW w:type="dxa" w:w="29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Consequence</w:t>
            </w:r>
          </w:p>
        </w:tc>
      </w:tr>
      <w:tr>
        <w:tc>
          <w:tcPr>
            <w:tcW w:type="dxa" w:w="3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One pause, one resumer. The paused run resumes when the client returns a response.</w:t>
            </w:r>
          </w:p>
        </w:tc>
        <w:tc>
          <w:tcPr>
            <w:tcW w:type="dxa" w:w="2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Eight functions resume eight branches independently, in any order, over days.</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agent run is a single conversational thread. Concurrent independent resumption of one paused run is not a modelled scenario.</w:t>
            </w:r>
          </w:p>
        </w:tc>
      </w:tr>
      <w:tr>
        <w:tc>
          <w:tcPr>
            <w:tcW w:type="dxa" w:w="3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client owns resumption state. ADK pauses; something outside ADK must remember what was pending and reconnect it.</w:t>
            </w:r>
          </w:p>
        </w:tc>
        <w:tc>
          <w:tcPr>
            <w:tcW w:type="dxa" w:w="2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Pending state must survive weeks, service redeploys and reviewer turnover.</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durable coordinator is being built regardless. The only question is whether it is built deliberately.</w:t>
            </w:r>
          </w:p>
        </w:tc>
      </w:tr>
      <w:tr>
        <w:tc>
          <w:tcPr>
            <w:tcW w:type="dxa" w:w="3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Resumption is a conversation turn — approval arrives as a function response in a run.</w:t>
            </w:r>
          </w:p>
        </w:tc>
        <w:tc>
          <w:tcPr>
            <w:tcW w:type="dxa" w:w="2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Approval is a business decision requiring an authenticated, append-only, queryable record.</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Storing decisions as agent session events makes the audit trail a side effect of a chat log.</w:t>
            </w:r>
          </w:p>
        </w:tc>
      </w:tr>
      <w:tr>
        <w:tc>
          <w:tcPr>
            <w:tcW w:type="dxa" w:w="3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branch-level timers, reassignment or partial-completion semantics.</w:t>
            </w:r>
          </w:p>
        </w:tc>
        <w:tc>
          <w:tcPr>
            <w:tcW w:type="dxa" w:w="2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SLA per branch, escalation on breach, reassignment mid-flight.</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Entirely absent from the primitive.</w:t>
            </w:r>
          </w:p>
        </w:tc>
      </w:tr>
    </w:tbl>
    <w:p>
      <w:pPr>
        <w:spacing w:after="120" w:before="100"/>
      </w:pPr>
      <w:r>
        <w:rPr>
          <w:rFonts w:ascii="Calibri" w:cs="Calibri" w:eastAsia="Calibri" w:hAnsi="Calibri"/>
          <w:color w:val="3B3B3B"/>
          <w:sz w:val="20"/>
          <w:szCs w:val="20"/>
        </w:rPr>
        <w:t xml:space="preserve">A further point is consistent across community reports on the pattern: the model decides whether to call the approval tool, which makes the gate itself probabilistic — a rephrased input can skip it. An approval gate whose invocation depends on model inference is not a control. For a legal workflow that is disqualifying on its own.</w:t>
      </w:r>
    </w:p>
    <w:p>
      <w:pPr>
        <w:spacing w:after="120" w:before="0"/>
      </w:pPr>
      <w:r>
        <w:rPr>
          <w:rFonts w:ascii="Calibri" w:cs="Calibri" w:eastAsia="Calibri" w:hAnsi="Calibri"/>
          <w:b/>
          <w:bCs/>
          <w:color w:val="3B3B3B"/>
          <w:sz w:val="20"/>
          <w:szCs w:val="20"/>
        </w:rPr>
        <w:t xml:space="preserve">Conclusion: ADK long-running tools are the right mechanism for one approver in one conversation. They are the wrong mechanism for a multi-party review barrier.</w:t>
      </w:r>
    </w:p>
    <w:p>
      <w:pPr>
        <w:pStyle w:val="Heading2"/>
        <w:spacing w:after="120" w:before="260"/>
      </w:pPr>
      <w:r>
        <w:rPr>
          <w:rFonts w:ascii="Calibri" w:cs="Calibri" w:eastAsia="Calibri" w:hAnsi="Calibri"/>
          <w:b/>
          <w:bCs/>
          <w:color w:val="3B3B3B"/>
          <w:sz w:val="24"/>
          <w:szCs w:val="24"/>
        </w:rPr>
        <w:t xml:space="preserve">7.3 Capability-by-capability assessment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1900"/>
        <w:gridCol w:w="3260"/>
        <w:gridCol w:w="2200"/>
        <w:gridCol w:w="150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w:t>
            </w:r>
          </w:p>
        </w:tc>
        <w:tc>
          <w:tcPr>
            <w:tcW w:type="dxa" w:w="1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Capability</w:t>
            </w:r>
          </w:p>
        </w:tc>
        <w:tc>
          <w:tcPr>
            <w:tcW w:type="dxa" w:w="32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GEP / Agent Platform position</w:t>
            </w:r>
          </w:p>
        </w:tc>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Required layer</w:t>
            </w:r>
          </w:p>
        </w:tc>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Class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Fan-out reviewer assignment</w:t>
            </w:r>
          </w:p>
        </w:tc>
        <w:tc>
          <w:tcPr>
            <w:tcW w:type="dxa" w:w="32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Agent Designer subagents fan out reasoning, not durable work items. No task object exists.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Workflows parallel over the routing result; one branch per review task</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2</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Parallel review</w:t>
            </w:r>
          </w:p>
        </w:tc>
        <w:tc>
          <w:tcPr>
            <w:tcW w:type="dxa" w:w="3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Nothing. Parallel agent execution is not parallel human review.</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Independent branches, each blocking on its own database predicate</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3</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Persisted workflow state</w:t>
            </w:r>
          </w:p>
        </w:tc>
        <w:tc>
          <w:tcPr>
            <w:tcW w:type="dxa" w:w="32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Sessions are interaction-scoped; Memory Bank has TTL and model-generated content. Both unsuitable.</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Database task status and transition history as authoritative; the Workflows execution is a driver, not the record</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Incomplete reviews</w:t>
            </w:r>
          </w:p>
        </w:tc>
        <w:tc>
          <w:tcPr>
            <w:tcW w:type="dxa" w:w="3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partial-completion concept.</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Completion predicate over task rows; needs-info and abstain are terminal-with-qualification</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5</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Reviewer callbacks</w:t>
            </w:r>
          </w:p>
        </w:tc>
        <w:tc>
          <w:tcPr>
            <w:tcW w:type="dxa" w:w="32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ADK resumption is a conversation turn, not an authenticated callback.</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Workflows callback endpoints — a durable resumable URL per branch</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6</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Human approval gates</w:t>
            </w:r>
          </w:p>
        </w:tc>
        <w:tc>
          <w:tcPr>
            <w:tcW w:type="dxa" w:w="3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Inbox surfaces needs-your-input as a notification, not a gate. Agent-side gating is model-invoked.</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Workflow states the execution cannot leave without a decision record</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7</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Resume after human review</w:t>
            </w:r>
          </w:p>
        </w:tc>
        <w:tc>
          <w:tcPr>
            <w:tcW w:type="dxa" w:w="32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Mechanism exists; semantics do not fit.</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Await-callback per branch, keyed to review task</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GCI</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8</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Timeout handling</w:t>
            </w:r>
          </w:p>
        </w:tc>
        <w:tc>
          <w:tcPr>
            <w:tcW w:type="dxa" w:w="3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Callback timeout per branch plus Cloud Scheduler sweeper</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9</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Reassignment</w:t>
            </w:r>
          </w:p>
        </w:tc>
        <w:tc>
          <w:tcPr>
            <w:tcW w:type="dxa" w:w="32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Mutate assignee; branch predicate is function-scoped so it survives reassignment untouched</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10</w:t>
            </w:r>
          </w:p>
        </w:tc>
        <w:tc>
          <w:tcPr>
            <w:tcW w:type="dxa" w:w="1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Notifications</w:t>
            </w:r>
          </w:p>
        </w:tc>
        <w:tc>
          <w:tcPr>
            <w:tcW w:type="dxa" w:w="3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Inbox categories plus email and chat alerts — agent-centric, one per agent run.</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Gmail / Google Chat API, digest-batched per reviewer per contract</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Native GEP (partial) plus Custom</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w:t>
            </w:r>
          </w:p>
        </w:tc>
        <w:tc>
          <w:tcPr>
            <w:tcW w:type="dxa" w:w="19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Workflow completion conditions</w:t>
            </w:r>
          </w:p>
        </w:tc>
        <w:tc>
          <w:tcPr>
            <w:tcW w:type="dxa" w:w="32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Deterministic barrier predicate</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Custom</w:t>
            </w:r>
          </w:p>
        </w:tc>
      </w:tr>
    </w:tbl>
    <w:p>
      <w:pPr>
        <w:spacing w:after="120" w:before="100"/>
      </w:pPr>
      <w:r>
        <w:rPr>
          <w:rFonts w:ascii="Calibri" w:cs="Calibri" w:eastAsia="Calibri" w:hAnsi="Calibri"/>
          <w:b/>
          <w:bCs/>
          <w:color w:val="3B3B3B"/>
          <w:sz w:val="20"/>
          <w:szCs w:val="20"/>
        </w:rPr>
        <w:t xml:space="preserve">Two of eleven are Google Cloud Integration. Nine are custom. That ratio is the honest answer to the client's question.</w:t>
      </w:r>
    </w:p>
    <w:p>
      <w:pPr>
        <w:pStyle w:val="Heading2"/>
        <w:spacing w:after="120" w:before="260"/>
      </w:pPr>
      <w:r>
        <w:rPr>
          <w:rFonts w:ascii="Calibri" w:cs="Calibri" w:eastAsia="Calibri" w:hAnsi="Calibri"/>
          <w:b/>
          <w:bCs/>
          <w:color w:val="3B3B3B"/>
          <w:sz w:val="24"/>
          <w:szCs w:val="24"/>
        </w:rPr>
        <w:t xml:space="preserve">7.4 Recommended implementation</w:t>
      </w:r>
    </w:p>
    <w:p>
      <w:pPr>
        <w:spacing w:after="120" w:before="0"/>
      </w:pPr>
      <w:r>
        <w:rPr>
          <w:rFonts w:ascii="Calibri" w:cs="Calibri" w:eastAsia="Calibri" w:hAnsi="Calibri"/>
          <w:color w:val="3B3B3B"/>
          <w:sz w:val="20"/>
          <w:szCs w:val="20"/>
        </w:rPr>
        <w:t xml:space="preserve">Cloud Workflows supports creating a callback endpoint and then awaiting a call to it — the execution parks without consuming compute and resumes when the endpoint is hit or the timeout elapses. This is the closest managed fit, and it is a deterministic wait rather than a model-invoked one.</w:t>
      </w:r>
    </w:p>
    <w:p>
      <w:pPr>
        <w:spacing w:after="0" w:line="200"/>
      </w:pPr>
      <w:r>
        <w:rPr>
          <w:rFonts w:ascii="Consolas" w:cs="Consolas" w:eastAsia="Consolas" w:hAnsi="Consolas"/>
          <w:color w:val="3B3B3B"/>
          <w:sz w:val="15"/>
          <w:szCs w:val="15"/>
        </w:rPr>
        <w:t xml:space="preserve">main:</w:t>
      </w:r>
    </w:p>
    <w:p>
      <w:pPr>
        <w:spacing w:after="0" w:line="200"/>
      </w:pPr>
      <w:r>
        <w:rPr>
          <w:rFonts w:ascii="Consolas" w:cs="Consolas" w:eastAsia="Consolas" w:hAnsi="Consolas"/>
          <w:color w:val="3B3B3B"/>
          <w:sz w:val="15"/>
          <w:szCs w:val="15"/>
        </w:rPr>
        <w:t xml:space="preserve">  - route:      call: routing_service        # deterministic</w:t>
      </w:r>
    </w:p>
    <w:p>
      <w:pPr>
        <w:spacing w:after="0" w:line="200"/>
      </w:pPr>
      <w:r>
        <w:rPr>
          <w:rFonts w:ascii="Consolas" w:cs="Consolas" w:eastAsia="Consolas" w:hAnsi="Consolas"/>
          <w:color w:val="3B3B3B"/>
          <w:sz w:val="15"/>
          <w:szCs w:val="15"/>
        </w:rPr>
        <w:t xml:space="preserve">  - fan_out:</w:t>
      </w:r>
    </w:p>
    <w:p>
      <w:pPr>
        <w:spacing w:after="0" w:line="200"/>
      </w:pPr>
      <w:r>
        <w:rPr>
          <w:rFonts w:ascii="Consolas" w:cs="Consolas" w:eastAsia="Consolas" w:hAnsi="Consolas"/>
          <w:color w:val="3B3B3B"/>
          <w:sz w:val="15"/>
          <w:szCs w:val="15"/>
        </w:rPr>
        <w:t xml:space="preserve">      parallel:</w:t>
      </w:r>
    </w:p>
    <w:p>
      <w:pPr>
        <w:spacing w:after="0" w:line="200"/>
      </w:pPr>
      <w:r>
        <w:rPr>
          <w:rFonts w:ascii="Consolas" w:cs="Consolas" w:eastAsia="Consolas" w:hAnsi="Consolas"/>
          <w:color w:val="3B3B3B"/>
          <w:sz w:val="15"/>
          <w:szCs w:val="15"/>
        </w:rPr>
        <w:t xml:space="preserve">        shared: [outcomes]</w:t>
      </w:r>
    </w:p>
    <w:p>
      <w:pPr>
        <w:spacing w:after="0" w:line="200"/>
      </w:pPr>
      <w:r>
        <w:rPr>
          <w:rFonts w:ascii="Consolas" w:cs="Consolas" w:eastAsia="Consolas" w:hAnsi="Consolas"/>
          <w:color w:val="3B3B3B"/>
          <w:sz w:val="15"/>
          <w:szCs w:val="15"/>
        </w:rPr>
        <w:t xml:space="preserve">        for:</w:t>
      </w:r>
    </w:p>
    <w:p>
      <w:pPr>
        <w:spacing w:after="0" w:line="200"/>
      </w:pPr>
      <w:r>
        <w:rPr>
          <w:rFonts w:ascii="Consolas" w:cs="Consolas" w:eastAsia="Consolas" w:hAnsi="Consolas"/>
          <w:color w:val="3B3B3B"/>
          <w:sz w:val="15"/>
          <w:szCs w:val="15"/>
        </w:rPr>
        <w:t xml:space="preserve">          value: task</w:t>
      </w:r>
    </w:p>
    <w:p>
      <w:pPr>
        <w:spacing w:after="0" w:line="200"/>
      </w:pPr>
      <w:r>
        <w:rPr>
          <w:rFonts w:ascii="Consolas" w:cs="Consolas" w:eastAsia="Consolas" w:hAnsi="Consolas"/>
          <w:color w:val="3B3B3B"/>
          <w:sz w:val="15"/>
          <w:szCs w:val="15"/>
        </w:rPr>
        <w:t xml:space="preserve">          in: ${route.tasks}</w:t>
      </w:r>
    </w:p>
    <w:p>
      <w:pPr>
        <w:spacing w:after="0" w:line="200"/>
      </w:pPr>
      <w:r>
        <w:rPr>
          <w:rFonts w:ascii="Consolas" w:cs="Consolas" w:eastAsia="Consolas" w:hAnsi="Consolas"/>
          <w:color w:val="3B3B3B"/>
          <w:sz w:val="15"/>
          <w:szCs w:val="15"/>
        </w:rPr>
        <w:t xml:space="preserve">          steps:</w:t>
      </w:r>
    </w:p>
    <w:p>
      <w:pPr>
        <w:spacing w:after="0" w:line="200"/>
      </w:pPr>
      <w:r>
        <w:rPr>
          <w:rFonts w:ascii="Consolas" w:cs="Consolas" w:eastAsia="Consolas" w:hAnsi="Consolas"/>
          <w:color w:val="3B3B3B"/>
          <w:sz w:val="15"/>
          <w:szCs w:val="15"/>
        </w:rPr>
        <w:t xml:space="preserve">            - create_cb:</w:t>
      </w:r>
    </w:p>
    <w:p>
      <w:pPr>
        <w:spacing w:after="0" w:line="200"/>
      </w:pPr>
      <w:r>
        <w:rPr>
          <w:rFonts w:ascii="Consolas" w:cs="Consolas" w:eastAsia="Consolas" w:hAnsi="Consolas"/>
          <w:color w:val="3B3B3B"/>
          <w:sz w:val="15"/>
          <w:szCs w:val="15"/>
        </w:rPr>
        <w:t xml:space="preserve">                call: events.create_callback_endpoint</w:t>
      </w:r>
    </w:p>
    <w:p>
      <w:pPr>
        <w:spacing w:after="0" w:line="200"/>
      </w:pPr>
      <w:r>
        <w:rPr>
          <w:rFonts w:ascii="Consolas" w:cs="Consolas" w:eastAsia="Consolas" w:hAnsi="Consolas"/>
          <w:color w:val="3B3B3B"/>
          <w:sz w:val="15"/>
          <w:szCs w:val="15"/>
        </w:rPr>
        <w:t xml:space="preserve">                result: cb</w:t>
      </w:r>
    </w:p>
    <w:p>
      <w:pPr>
        <w:spacing w:after="0" w:line="200"/>
      </w:pPr>
      <w:r>
        <w:rPr>
          <w:rFonts w:ascii="Consolas" w:cs="Consolas" w:eastAsia="Consolas" w:hAnsi="Consolas"/>
          <w:color w:val="3B3B3B"/>
          <w:sz w:val="15"/>
          <w:szCs w:val="15"/>
        </w:rPr>
        <w:t xml:space="preserve">            - register:   # persist cb.url against review_task_id</w:t>
      </w:r>
    </w:p>
    <w:p>
      <w:pPr>
        <w:spacing w:after="0" w:line="200"/>
      </w:pPr>
      <w:r>
        <w:rPr>
          <w:rFonts w:ascii="Consolas" w:cs="Consolas" w:eastAsia="Consolas" w:hAnsi="Consolas"/>
          <w:color w:val="3B3B3B"/>
          <w:sz w:val="15"/>
          <w:szCs w:val="15"/>
        </w:rPr>
        <w:t xml:space="preserve">                call: http.post</w:t>
      </w:r>
    </w:p>
    <w:p>
      <w:pPr>
        <w:spacing w:after="0" w:line="200"/>
      </w:pPr>
      <w:r>
        <w:rPr>
          <w:rFonts w:ascii="Consolas" w:cs="Consolas" w:eastAsia="Consolas" w:hAnsi="Consolas"/>
          <w:color w:val="3B3B3B"/>
          <w:sz w:val="15"/>
          <w:szCs w:val="15"/>
        </w:rPr>
        <w:t xml:space="preserve">            - notify:</w:t>
      </w:r>
    </w:p>
    <w:p>
      <w:pPr>
        <w:spacing w:after="0" w:line="200"/>
      </w:pPr>
      <w:r>
        <w:rPr>
          <w:rFonts w:ascii="Consolas" w:cs="Consolas" w:eastAsia="Consolas" w:hAnsi="Consolas"/>
          <w:color w:val="3B3B3B"/>
          <w:sz w:val="15"/>
          <w:szCs w:val="15"/>
        </w:rPr>
        <w:t xml:space="preserve">                call: notification_service   # digest-batched</w:t>
      </w:r>
    </w:p>
    <w:p>
      <w:pPr>
        <w:spacing w:after="0" w:line="200"/>
      </w:pPr>
      <w:r>
        <w:rPr>
          <w:rFonts w:ascii="Consolas" w:cs="Consolas" w:eastAsia="Consolas" w:hAnsi="Consolas"/>
          <w:color w:val="3B3B3B"/>
          <w:sz w:val="15"/>
          <w:szCs w:val="15"/>
        </w:rPr>
        <w:t xml:space="preserve">            - await:</w:t>
      </w:r>
    </w:p>
    <w:p>
      <w:pPr>
        <w:spacing w:after="0" w:line="200"/>
      </w:pPr>
      <w:r>
        <w:rPr>
          <w:rFonts w:ascii="Consolas" w:cs="Consolas" w:eastAsia="Consolas" w:hAnsi="Consolas"/>
          <w:color w:val="3B3B3B"/>
          <w:sz w:val="15"/>
          <w:szCs w:val="15"/>
        </w:rPr>
        <w:t xml:space="preserve">                try:</w:t>
      </w:r>
    </w:p>
    <w:p>
      <w:pPr>
        <w:spacing w:after="0" w:line="200"/>
      </w:pPr>
      <w:r>
        <w:rPr>
          <w:rFonts w:ascii="Consolas" w:cs="Consolas" w:eastAsia="Consolas" w:hAnsi="Consolas"/>
          <w:color w:val="3B3B3B"/>
          <w:sz w:val="15"/>
          <w:szCs w:val="15"/>
        </w:rPr>
        <w:t xml:space="preserve">                  call: events.await_callback</w:t>
      </w:r>
    </w:p>
    <w:p>
      <w:pPr>
        <w:spacing w:after="0" w:line="200"/>
      </w:pPr>
      <w:r>
        <w:rPr>
          <w:rFonts w:ascii="Consolas" w:cs="Consolas" w:eastAsia="Consolas" w:hAnsi="Consolas"/>
          <w:color w:val="3B3B3B"/>
          <w:sz w:val="15"/>
          <w:szCs w:val="15"/>
        </w:rPr>
        <w:t xml:space="preserve">                  args: {callback: '${cb}',</w:t>
      </w:r>
    </w:p>
    <w:p>
      <w:pPr>
        <w:spacing w:after="0" w:line="200"/>
      </w:pPr>
      <w:r>
        <w:rPr>
          <w:rFonts w:ascii="Consolas" w:cs="Consolas" w:eastAsia="Consolas" w:hAnsi="Consolas"/>
          <w:color w:val="3B3B3B"/>
          <w:sz w:val="15"/>
          <w:szCs w:val="15"/>
        </w:rPr>
        <w:t xml:space="preserve">                         timeout: '${task.sla_seconds}'}</w:t>
      </w:r>
    </w:p>
    <w:p>
      <w:pPr>
        <w:spacing w:after="0" w:line="200"/>
      </w:pPr>
      <w:r>
        <w:rPr>
          <w:rFonts w:ascii="Consolas" w:cs="Consolas" w:eastAsia="Consolas" w:hAnsi="Consolas"/>
          <w:color w:val="3B3B3B"/>
          <w:sz w:val="15"/>
          <w:szCs w:val="15"/>
        </w:rPr>
        <w:t xml:space="preserve">                  result: decision</w:t>
      </w:r>
    </w:p>
    <w:p>
      <w:pPr>
        <w:spacing w:after="0" w:line="200"/>
      </w:pPr>
      <w:r>
        <w:rPr>
          <w:rFonts w:ascii="Consolas" w:cs="Consolas" w:eastAsia="Consolas" w:hAnsi="Consolas"/>
          <w:color w:val="3B3B3B"/>
          <w:sz w:val="15"/>
          <w:szCs w:val="15"/>
        </w:rPr>
        <w:t xml:space="preserve">                except:</w:t>
      </w:r>
    </w:p>
    <w:p>
      <w:pPr>
        <w:spacing w:after="0" w:line="200"/>
      </w:pPr>
      <w:r>
        <w:rPr>
          <w:rFonts w:ascii="Consolas" w:cs="Consolas" w:eastAsia="Consolas" w:hAnsi="Consolas"/>
          <w:color w:val="3B3B3B"/>
          <w:sz w:val="15"/>
          <w:szCs w:val="15"/>
        </w:rPr>
        <w:t xml:space="preserve">                  steps:</w:t>
      </w:r>
    </w:p>
    <w:p>
      <w:pPr>
        <w:spacing w:after="0" w:line="200"/>
      </w:pPr>
      <w:r>
        <w:rPr>
          <w:rFonts w:ascii="Consolas" w:cs="Consolas" w:eastAsia="Consolas" w:hAnsi="Consolas"/>
          <w:color w:val="3B3B3B"/>
          <w:sz w:val="15"/>
          <w:szCs w:val="15"/>
        </w:rPr>
        <w:t xml:space="preserve">                    - escalate:</w:t>
      </w:r>
    </w:p>
    <w:p>
      <w:pPr>
        <w:spacing w:after="0" w:line="200"/>
      </w:pPr>
      <w:r>
        <w:rPr>
          <w:rFonts w:ascii="Consolas" w:cs="Consolas" w:eastAsia="Consolas" w:hAnsi="Consolas"/>
          <w:color w:val="3B3B3B"/>
          <w:sz w:val="15"/>
          <w:szCs w:val="15"/>
        </w:rPr>
        <w:t xml:space="preserve">                        call: escalation_service  # deterministic</w:t>
      </w:r>
    </w:p>
    <w:p>
      <w:pPr>
        <w:spacing w:after="0" w:line="200"/>
      </w:pPr>
      <w:r>
        <w:rPr>
          <w:rFonts w:ascii="Consolas" w:cs="Consolas" w:eastAsia="Consolas" w:hAnsi="Consolas"/>
          <w:color w:val="3B3B3B"/>
          <w:sz w:val="15"/>
          <w:szCs w:val="15"/>
        </w:rPr>
        <w:t xml:space="preserve">                        result: decision</w:t>
      </w:r>
    </w:p>
    <w:p>
      <w:pPr>
        <w:spacing w:after="0" w:line="200"/>
      </w:pPr>
      <w:r>
        <w:rPr>
          <w:rFonts w:ascii="Consolas" w:cs="Consolas" w:eastAsia="Consolas" w:hAnsi="Consolas"/>
          <w:color w:val="3B3B3B"/>
          <w:sz w:val="15"/>
          <w:szCs w:val="15"/>
        </w:rPr>
        <w:t xml:space="preserve">            - record: ${outcomes[task.id] = decision.status}</w:t>
      </w:r>
    </w:p>
    <w:p>
      <w:pPr>
        <w:spacing w:after="0" w:line="200"/>
      </w:pPr>
      <w:r>
        <w:rPr>
          <w:rFonts w:ascii="Consolas" w:cs="Consolas" w:eastAsia="Consolas" w:hAnsi="Consolas"/>
          <w:color w:val="3B3B3B"/>
          <w:sz w:val="15"/>
          <w:szCs w:val="15"/>
        </w:rPr>
        <w:t xml:space="preserve">  - barrier:</w:t>
      </w:r>
    </w:p>
    <w:p>
      <w:pPr>
        <w:spacing w:after="0" w:line="200"/>
      </w:pPr>
      <w:r>
        <w:rPr>
          <w:rFonts w:ascii="Consolas" w:cs="Consolas" w:eastAsia="Consolas" w:hAnsi="Consolas"/>
          <w:color w:val="3B3B3B"/>
          <w:sz w:val="15"/>
          <w:szCs w:val="15"/>
        </w:rPr>
        <w:t xml:space="preserve">      call: completion_predicate              # deterministic</w:t>
      </w:r>
    </w:p>
    <w:p>
      <w:pPr>
        <w:spacing w:after="0" w:line="200"/>
      </w:pPr>
      <w:r>
        <w:rPr>
          <w:rFonts w:ascii="Consolas" w:cs="Consolas" w:eastAsia="Consolas" w:hAnsi="Consolas"/>
          <w:color w:val="3B3B3B"/>
          <w:sz w:val="15"/>
          <w:szCs w:val="15"/>
        </w:rPr>
        <w:t xml:space="preserve">      result: gate</w:t>
      </w:r>
    </w:p>
    <w:p>
      <w:pPr>
        <w:spacing w:after="0" w:line="200"/>
      </w:pPr>
      <w:r>
        <w:rPr>
          <w:rFonts w:ascii="Consolas" w:cs="Consolas" w:eastAsia="Consolas" w:hAnsi="Consolas"/>
          <w:color w:val="3B3B3B"/>
          <w:sz w:val="15"/>
          <w:szCs w:val="15"/>
        </w:rPr>
        <w:t xml:space="preserve">  - switch:</w:t>
      </w:r>
    </w:p>
    <w:p>
      <w:pPr>
        <w:spacing w:after="0" w:line="200"/>
      </w:pPr>
      <w:r>
        <w:rPr>
          <w:rFonts w:ascii="Consolas" w:cs="Consolas" w:eastAsia="Consolas" w:hAnsi="Consolas"/>
          <w:color w:val="3B3B3B"/>
          <w:sz w:val="15"/>
          <w:szCs w:val="15"/>
        </w:rPr>
        <w:t xml:space="preserve">      - condition: ${gate.complete}</w:t>
      </w:r>
    </w:p>
    <w:p>
      <w:pPr>
        <w:spacing w:after="0" w:line="200"/>
      </w:pPr>
      <w:r>
        <w:rPr>
          <w:rFonts w:ascii="Consolas" w:cs="Consolas" w:eastAsia="Consolas" w:hAnsi="Consolas"/>
          <w:color w:val="3B3B3B"/>
          <w:sz w:val="15"/>
          <w:szCs w:val="15"/>
        </w:rPr>
        <w:t xml:space="preserve">        next: consolidate</w:t>
      </w:r>
    </w:p>
    <w:p>
      <w:pPr>
        <w:spacing w:after="0" w:line="200"/>
      </w:pPr>
      <w:r>
        <w:rPr>
          <w:rFonts w:ascii="Consolas" w:cs="Consolas" w:eastAsia="Consolas" w:hAnsi="Consolas"/>
          <w:color w:val="3B3B3B"/>
          <w:sz w:val="15"/>
          <w:szCs w:val="15"/>
        </w:rPr>
        <w:t xml:space="preserve">      - condition: true</w:t>
      </w:r>
    </w:p>
    <w:p>
      <w:pPr>
        <w:spacing w:after="0" w:line="200"/>
      </w:pPr>
      <w:r>
        <w:rPr>
          <w:rFonts w:ascii="Consolas" w:cs="Consolas" w:eastAsia="Consolas" w:hAnsi="Consolas"/>
          <w:color w:val="3B3B3B"/>
          <w:sz w:val="15"/>
          <w:szCs w:val="15"/>
        </w:rPr>
        <w:t xml:space="preserve">        next: fan_out          # re-drive residual tasks only</w:t>
      </w:r>
    </w:p>
    <w:p>
      <w:pPr>
        <w:spacing w:after="120" w:before="140"/>
      </w:pPr>
      <w:r>
        <w:rPr>
          <w:rFonts w:ascii="Calibri" w:cs="Calibri" w:eastAsia="Calibri" w:hAnsi="Calibri"/>
          <w:color w:val="3B3B3B"/>
          <w:sz w:val="20"/>
          <w:szCs w:val="20"/>
        </w:rPr>
        <w:t xml:space="preserve">Three properties are worth naming. The shared variable makes fan-in native rather than polled. The except block is the timeout path, and because escalation is a deterministic matrix lookup, an unanswered branch resolves to reassignment or escalation and never to silent approval. Re-driving the fan-out on residual tasks handles reassignment and late arrivals without restarting completed branches.</w:t>
      </w:r>
    </w:p>
    <w:p>
      <w:pPr>
        <w:pStyle w:val="Heading3"/>
        <w:spacing w:after="100" w:before="200"/>
      </w:pPr>
      <w:r>
        <w:rPr>
          <w:rFonts w:ascii="Calibri" w:cs="Calibri" w:eastAsia="Calibri" w:hAnsi="Calibri"/>
          <w:b/>
          <w:bCs/>
          <w:color w:val="5B2A86"/>
          <w:sz w:val="21"/>
          <w:szCs w:val="21"/>
        </w:rPr>
        <w:t xml:space="preserve">Callback URLs are drivers, not records</w:t>
      </w:r>
    </w:p>
    <w:p>
      <w:pPr>
        <w:spacing w:after="120" w:before="0"/>
      </w:pPr>
      <w:r>
        <w:rPr>
          <w:rFonts w:ascii="Calibri" w:cs="Calibri" w:eastAsia="Calibri" w:hAnsi="Calibri"/>
          <w:color w:val="3B3B3B"/>
          <w:sz w:val="20"/>
          <w:szCs w:val="20"/>
        </w:rPr>
        <w:t xml:space="preserve">A callback URL is bound to one execution. If that execution is lost or a reviewer clicks a stale link, the URL is dead — but the state is not. Therefore:</w:t>
      </w:r>
    </w:p>
    <w:p>
      <w:pPr>
        <w:pStyle w:val="ListParagraph"/>
        <w:numPr>
          <w:ilvl w:val="0"/>
          <w:numId w:val="2"/>
        </w:numPr>
        <w:spacing w:after="60"/>
      </w:pPr>
      <w:r>
        <w:rPr>
          <w:rFonts w:ascii="Calibri" w:cs="Calibri" w:eastAsia="Calibri" w:hAnsi="Calibri"/>
          <w:color w:val="3B3B3B"/>
          <w:sz w:val="20"/>
          <w:szCs w:val="20"/>
        </w:rPr>
        <w:t xml:space="preserve">The reviewer interface never calls the callback URL directly. It calls the decision API, which writes the decision record (append-only, authenticated) and then fires the callback.</w:t>
      </w:r>
    </w:p>
    <w:p>
      <w:pPr>
        <w:pStyle w:val="ListParagraph"/>
        <w:numPr>
          <w:ilvl w:val="0"/>
          <w:numId w:val="2"/>
        </w:numPr>
        <w:spacing w:after="60"/>
      </w:pPr>
      <w:r>
        <w:rPr>
          <w:rFonts w:ascii="Calibri" w:cs="Calibri" w:eastAsia="Calibri" w:hAnsi="Calibri"/>
          <w:color w:val="3B3B3B"/>
          <w:sz w:val="20"/>
          <w:szCs w:val="20"/>
        </w:rPr>
        <w:t xml:space="preserve">If the callback fails, the decision is still durably recorded. A Cloud Scheduler sweeper re-drives orphaned tasks by re-issuing a callback against a fresh execution.</w:t>
      </w:r>
    </w:p>
    <w:p>
      <w:pPr>
        <w:pStyle w:val="ListParagraph"/>
        <w:numPr>
          <w:ilvl w:val="0"/>
          <w:numId w:val="2"/>
        </w:numPr>
        <w:spacing w:after="60"/>
      </w:pPr>
      <w:r>
        <w:rPr>
          <w:rFonts w:ascii="Calibri" w:cs="Calibri" w:eastAsia="Calibri" w:hAnsi="Calibri"/>
          <w:color w:val="3B3B3B"/>
          <w:sz w:val="20"/>
          <w:szCs w:val="20"/>
        </w:rPr>
        <w:t xml:space="preserve">Reviewer authorisation is enforced at the decision API against the task's reviewer function, not by possession of a URL. A callback URL is not a credential.</w:t>
      </w:r>
    </w:p>
    <w:p>
      <w:pPr>
        <w:spacing w:after="120" w:before="80"/>
      </w:pPr>
      <w:r>
        <w:rPr>
          <w:rFonts w:ascii="Calibri" w:cs="Calibri" w:eastAsia="Calibri" w:hAnsi="Calibri"/>
          <w:color w:val="3B3B3B"/>
          <w:sz w:val="20"/>
          <w:szCs w:val="20"/>
        </w:rPr>
        <w:t xml:space="preserve">This inverts the naive design — decision first, callback second — and is what makes the system survivable.</w:t>
      </w:r>
    </w:p>
    <w:p>
      <w:pPr>
        <w:pStyle w:val="Heading3"/>
        <w:spacing w:after="100" w:before="200"/>
      </w:pPr>
      <w:r>
        <w:rPr>
          <w:rFonts w:ascii="Calibri" w:cs="Calibri" w:eastAsia="Calibri" w:hAnsi="Calibri"/>
          <w:b/>
          <w:bCs/>
          <w:color w:val="5B2A86"/>
          <w:sz w:val="21"/>
          <w:szCs w:val="21"/>
        </w:rPr>
        <w:t xml:space="preserve">The completion barrier</w:t>
      </w:r>
    </w:p>
    <w:p>
      <w:pPr>
        <w:spacing w:after="0" w:line="200"/>
      </w:pPr>
      <w:r>
        <w:rPr>
          <w:rFonts w:ascii="Consolas" w:cs="Consolas" w:eastAsia="Consolas" w:hAnsi="Consolas"/>
          <w:color w:val="3B3B3B"/>
          <w:sz w:val="15"/>
          <w:szCs w:val="15"/>
        </w:rPr>
        <w:t xml:space="preserve">-- Deterministic. No model. Evaluated by the conductor only.</w:t>
      </w:r>
    </w:p>
    <w:p>
      <w:pPr>
        <w:spacing w:after="0" w:line="200"/>
      </w:pPr>
      <w:r>
        <w:rPr>
          <w:rFonts w:ascii="Consolas" w:cs="Consolas" w:eastAsia="Consolas" w:hAnsi="Consolas"/>
          <w:color w:val="3B3B3B"/>
          <w:sz w:val="15"/>
          <w:szCs w:val="15"/>
        </w:rPr>
        <w:t xml:space="preserve">SELECT</w:t>
      </w:r>
    </w:p>
    <w:p>
      <w:pPr>
        <w:spacing w:after="0" w:line="200"/>
      </w:pPr>
      <w:r>
        <w:rPr>
          <w:rFonts w:ascii="Consolas" w:cs="Consolas" w:eastAsia="Consolas" w:hAnsi="Consolas"/>
          <w:color w:val="3B3B3B"/>
          <w:sz w:val="15"/>
          <w:szCs w:val="15"/>
        </w:rPr>
        <w:t xml:space="preserve">  COUNT(*) FILTER (WHERE status NOT IN</w:t>
      </w:r>
    </w:p>
    <w:p>
      <w:pPr>
        <w:spacing w:after="0" w:line="200"/>
      </w:pPr>
      <w:r>
        <w:rPr>
          <w:rFonts w:ascii="Consolas" w:cs="Consolas" w:eastAsia="Consolas" w:hAnsi="Consolas"/>
          <w:color w:val="3B3B3B"/>
          <w:sz w:val="15"/>
          <w:szCs w:val="15"/>
        </w:rPr>
        <w:t xml:space="preserve">    ('DECIDED','CARRIED_FORWARD','WITHDRAWN'))   AS open_tasks,</w:t>
      </w:r>
    </w:p>
    <w:p>
      <w:pPr>
        <w:spacing w:after="0" w:line="200"/>
      </w:pPr>
      <w:r>
        <w:rPr>
          <w:rFonts w:ascii="Consolas" w:cs="Consolas" w:eastAsia="Consolas" w:hAnsi="Consolas"/>
          <w:color w:val="3B3B3B"/>
          <w:sz w:val="15"/>
          <w:szCs w:val="15"/>
        </w:rPr>
        <w:t xml:space="preserve">  COUNT(*) FILTER (WHERE status = 'CONFLICT')     AS conflicted,</w:t>
      </w:r>
    </w:p>
    <w:p>
      <w:pPr>
        <w:spacing w:after="0" w:line="200"/>
      </w:pPr>
      <w:r>
        <w:rPr>
          <w:rFonts w:ascii="Consolas" w:cs="Consolas" w:eastAsia="Consolas" w:hAnsi="Consolas"/>
          <w:color w:val="3B3B3B"/>
          <w:sz w:val="15"/>
          <w:szCs w:val="15"/>
        </w:rPr>
        <w:t xml:space="preserve">  COUNT(*) FILTER (WHERE status = 'ESCALATED')    AS escalated</w:t>
      </w:r>
    </w:p>
    <w:p>
      <w:pPr>
        <w:spacing w:after="0" w:line="200"/>
      </w:pPr>
      <w:r>
        <w:rPr>
          <w:rFonts w:ascii="Consolas" w:cs="Consolas" w:eastAsia="Consolas" w:hAnsi="Consolas"/>
          <w:color w:val="3B3B3B"/>
          <w:sz w:val="15"/>
          <w:szCs w:val="15"/>
        </w:rPr>
        <w:t xml:space="preserve">FROM review_task</w:t>
      </w:r>
    </w:p>
    <w:p>
      <w:pPr>
        <w:spacing w:after="0" w:line="200"/>
      </w:pPr>
      <w:r>
        <w:rPr>
          <w:rFonts w:ascii="Consolas" w:cs="Consolas" w:eastAsia="Consolas" w:hAnsi="Consolas"/>
          <w:color w:val="3B3B3B"/>
          <w:sz w:val="15"/>
          <w:szCs w:val="15"/>
        </w:rPr>
        <w:t xml:space="preserve">WHERE clause_instance_id IN (</w:t>
      </w:r>
    </w:p>
    <w:p>
      <w:pPr>
        <w:spacing w:after="0" w:line="200"/>
      </w:pPr>
      <w:r>
        <w:rPr>
          <w:rFonts w:ascii="Consolas" w:cs="Consolas" w:eastAsia="Consolas" w:hAnsi="Consolas"/>
          <w:color w:val="3B3B3B"/>
          <w:sz w:val="15"/>
          <w:szCs w:val="15"/>
        </w:rPr>
        <w:t xml:space="preserve">  SELECT clause_instance_id FROM clause_instance</w:t>
      </w:r>
    </w:p>
    <w:p>
      <w:pPr>
        <w:spacing w:after="0" w:line="200"/>
      </w:pPr>
      <w:r>
        <w:rPr>
          <w:rFonts w:ascii="Consolas" w:cs="Consolas" w:eastAsia="Consolas" w:hAnsi="Consolas"/>
          <w:color w:val="3B3B3B"/>
          <w:sz w:val="15"/>
          <w:szCs w:val="15"/>
        </w:rPr>
        <w:t xml:space="preserve">  WHERE version_id = :version_id);</w:t>
      </w:r>
    </w:p>
    <w:p>
      <w:pPr>
        <w:spacing w:after="0" w:line="200"/>
      </w:pPr>
      <w:r>
        <w:rPr>
          <w:rFonts w:ascii="Consolas" w:cs="Consolas" w:eastAsia="Consolas" w:hAnsi="Consolas"/>
          <w:color w:val="3B3B3B"/>
          <w:sz w:val="15"/>
          <w:szCs w:val="15"/>
        </w:rPr>
        <w:t xml:space="preserve">-- Proceed only when all three are zero.</w:t>
      </w:r>
    </w:p>
    <w:p>
      <w:pPr>
        <w:spacing w:after="120" w:before="140"/>
      </w:pPr>
      <w:r>
        <w:rPr>
          <w:rFonts w:ascii="Calibri" w:cs="Calibri" w:eastAsia="Calibri" w:hAnsi="Calibri"/>
          <w:color w:val="3B3B3B"/>
          <w:sz w:val="20"/>
          <w:szCs w:val="20"/>
        </w:rPr>
        <w:t xml:space="preserve">Needs-info is deliberately not terminal. It spawns a clarification sub-task and returns the parent to pending; otherwise a reviewer's open question would be absorbed into an approval.</w:t>
      </w:r>
    </w:p>
    <w:p>
      <w:pPr>
        <w:pStyle w:val="Heading2"/>
        <w:spacing w:after="120" w:before="260"/>
      </w:pPr>
      <w:r>
        <w:rPr>
          <w:rFonts w:ascii="Calibri" w:cs="Calibri" w:eastAsia="Calibri" w:hAnsi="Calibri"/>
          <w:b/>
          <w:bCs/>
          <w:color w:val="3B3B3B"/>
          <w:sz w:val="24"/>
          <w:szCs w:val="24"/>
        </w:rPr>
        <w:t xml:space="preserve">7.5 Design decisions to defend to the client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Decision</w:t>
            </w:r>
          </w:p>
        </w:tc>
        <w:tc>
          <w:tcPr>
            <w:tcW w:type="dxa" w:w="6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Rationale</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Timeouts never auto-approve</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breached SLA moves the task to escalated and blocks the barrier. Auto-approval on timeout is a common CLM shortcut and is indefensible for indemnity or liability clauses. If deemed approval is genuinely required, it must be per clause type, configured in the routing matrix, and recorded as a distinct decision value with timeout provenance — never indistinguishable from a human approval.</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Reassignment does not restart the branch</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branch predicate keys on clause instance and reviewer function, not on assignee. Changing the assignee leaves the awaiting branch intact; only the notification is re-sent.</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Notification volume is an adoption risk</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Fan-out is per clause and function. A 60-clause master agreement across five functions produces up to 300 tasks. One email per task destroys credibility in week one. Digest per reviewer per contract per cycle, with reminders at 50 and 90 per cent of SLA and one escalation notice.</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Execution duration limits must be verified before build</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Workflows has documented maximum execution and callback-wait durations. Multi-week negotiation cycles may exceed a single execution's lifetime. Do not architect around one long-lived execution: bound each execution to one review round and let the sweeper start a fresh execution against persisted state. State lives in the database; executions are disposable.</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Application Integration is the low-code alternative</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It offers a visual designer and richer connector support, suiting a client that expects business analysts to maintain routing. Cloud Workflows is cheaper and more testable for an engineer-owned proof of concept. The pattern is unchanged either way.</w:t>
            </w:r>
          </w:p>
        </w:tc>
      </w:tr>
    </w:tbl>
    <w:p>
      <w:pPr>
        <w:pStyle w:val="Heading2"/>
        <w:spacing w:after="120" w:before="260"/>
      </w:pPr>
      <w:r>
        <w:rPr>
          <w:rFonts w:ascii="Calibri" w:cs="Calibri" w:eastAsia="Calibri" w:hAnsi="Calibri"/>
          <w:b/>
          <w:bCs/>
          <w:color w:val="3B3B3B"/>
          <w:sz w:val="24"/>
          <w:szCs w:val="24"/>
        </w:rPr>
        <w:t xml:space="preserve">7.6 Where Gemini Enterprise genuinely contributes during the async window</w:t>
      </w:r>
    </w:p>
    <w:p>
      <w:pPr>
        <w:pStyle w:val="ListParagraph"/>
        <w:numPr>
          <w:ilvl w:val="0"/>
          <w:numId w:val="3"/>
        </w:numPr>
        <w:spacing w:after="60"/>
      </w:pPr>
      <w:r>
        <w:rPr>
          <w:rFonts w:ascii="Calibri" w:cs="Calibri" w:eastAsia="Calibri" w:hAnsi="Calibri"/>
          <w:color w:val="3B3B3B"/>
          <w:sz w:val="20"/>
          <w:szCs w:val="20"/>
        </w:rPr>
        <w:t xml:space="preserve">Reviewer Assistant answers grounded, cited questions against the playbook while a reviewer deliberates — the highest-value GEP surface in the solution</w:t>
      </w:r>
    </w:p>
    <w:p>
      <w:pPr>
        <w:pStyle w:val="ListParagraph"/>
        <w:numPr>
          <w:ilvl w:val="0"/>
          <w:numId w:val="3"/>
        </w:numPr>
        <w:spacing w:after="60"/>
      </w:pPr>
      <w:r>
        <w:rPr>
          <w:rFonts w:ascii="Calibri" w:cs="Calibri" w:eastAsia="Calibri" w:hAnsi="Calibri"/>
          <w:color w:val="3B3B3B"/>
          <w:sz w:val="20"/>
          <w:szCs w:val="20"/>
        </w:rPr>
        <w:t xml:space="preserve">Inbox gives the Purchasing Agent visibility that agent-side analysis runs completed or errored — useful operational signal, not a work queue</w:t>
      </w:r>
    </w:p>
    <w:p>
      <w:pPr>
        <w:pStyle w:val="ListParagraph"/>
        <w:numPr>
          <w:ilvl w:val="0"/>
          <w:numId w:val="3"/>
        </w:numPr>
        <w:spacing w:after="60"/>
      </w:pPr>
      <w:r>
        <w:rPr>
          <w:rFonts w:ascii="Calibri" w:cs="Calibri" w:eastAsia="Calibri" w:hAnsi="Calibri"/>
          <w:color w:val="3B3B3B"/>
          <w:sz w:val="20"/>
          <w:szCs w:val="20"/>
        </w:rPr>
        <w:t xml:space="preserve">Cloud Audit Logs and Agent Observability trace the agent invocations inside each branch, complementing the domain event stream</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8. Stage 6 — Redlining and Version Control</w:t>
      </w:r>
    </w:p>
    <w:p>
      <w:pPr>
        <w:pStyle w:val="Heading2"/>
        <w:spacing w:after="120" w:before="260"/>
      </w:pPr>
      <w:r>
        <w:rPr>
          <w:rFonts w:ascii="Calibri" w:cs="Calibri" w:eastAsia="Calibri" w:hAnsi="Calibri"/>
          <w:b/>
          <w:bCs/>
          <w:color w:val="3B3B3B"/>
          <w:sz w:val="24"/>
          <w:szCs w:val="24"/>
        </w:rPr>
        <w:t xml:space="preserve">8.1 The distinction that governs this stage</w:t>
      </w:r>
    </w:p>
    <w:p>
      <w:pPr>
        <w:spacing w:after="120" w:before="0"/>
      </w:pPr>
      <w:r>
        <w:rPr>
          <w:rFonts w:ascii="Calibri" w:cs="Calibri" w:eastAsia="Calibri" w:hAnsi="Calibri"/>
          <w:color w:val="3B3B3B"/>
          <w:sz w:val="20"/>
          <w:szCs w:val="20"/>
        </w:rPr>
        <w:t xml:space="preserve">The requirement conflates two operations that share vocabulary and nothing else.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3680"/>
        <w:gridCol w:w="3680"/>
      </w:tblGrid>
      <w:tr>
        <w:trPr>
          <w:tblHeader/>
        </w:trPr>
        <w:tc>
          <w:tcPr>
            <w:tcW w:type="dxa" w:w="20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
            </w:r>
          </w:p>
        </w:tc>
        <w:tc>
          <w:tcPr>
            <w:tcW w:type="dxa" w:w="368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Semantic comparison</w:t>
            </w:r>
          </w:p>
        </w:tc>
        <w:tc>
          <w:tcPr>
            <w:tcW w:type="dxa" w:w="368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Format-level redlining</w:t>
            </w:r>
          </w:p>
        </w:tc>
      </w:tr>
      <w:tr>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Question answered</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does this change mean, and does it violate policy?</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bytes must exist so that Word shows this as a tracked change?</w:t>
            </w:r>
          </w:p>
        </w:tc>
      </w:tr>
      <w:tr>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Performed by</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(redline analysis agent)</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OOXML manipulation — insertion, deletion, deleted-text, run-property change, paragraph-property change, move-from and move-to elements</w:t>
            </w:r>
          </w:p>
        </w:tc>
      </w:tr>
      <w:tr>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Output</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Deviation features, severity inputs, advisory analysis, draft counter-language</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valid .docx with revision markup and correct author and date attribution</w:t>
            </w:r>
          </w:p>
        </w:tc>
      </w:tr>
      <w:tr>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Correctness criterion</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judgement — reviewable, arguable</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Binary — the file opens in Word and renders, or it corrupts</w:t>
            </w:r>
          </w:p>
        </w:tc>
      </w:tr>
      <w:tr>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Tolerates model variance</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with human gates</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A hallucinated XML attribute produces an unopenable file</w:t>
            </w:r>
          </w:p>
        </w:tc>
      </w:tr>
      <w:tr>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Auditability</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Provenance-tagged proposal</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Byte-exact artefact</w:t>
            </w:r>
          </w:p>
        </w:tc>
      </w:tr>
    </w:tbl>
    <w:p>
      <w:pPr>
        <w:spacing w:after="120" w:before="100"/>
      </w:pPr>
      <w:r>
        <w:rPr>
          <w:rFonts w:ascii="Calibri" w:cs="Calibri" w:eastAsia="Calibri" w:hAnsi="Calibri"/>
          <w:color w:val="3B3B3B"/>
          <w:sz w:val="20"/>
          <w:szCs w:val="20"/>
        </w:rPr>
        <w:t xml:space="preserve">Gemini can determine that a liability cap moved from one million to two hundred and fifty thousand and that this breaches policy. It cannot produce the .docx that shows that as a tracked change. These are different engineering problems, and the second has no Google Cloud service behind it. Most failed contract-AI initiatives conflate the two; stating the boundary explicitly is worth more than any capability table.</w:t>
      </w:r>
    </w:p>
    <w:p>
      <w:pPr>
        <w:pStyle w:val="Heading2"/>
        <w:spacing w:after="120" w:before="260"/>
      </w:pPr>
      <w:r>
        <w:rPr>
          <w:rFonts w:ascii="Calibri" w:cs="Calibri" w:eastAsia="Calibri" w:hAnsi="Calibri"/>
          <w:b/>
          <w:bCs/>
          <w:color w:val="3B3B3B"/>
          <w:sz w:val="24"/>
          <w:szCs w:val="24"/>
        </w:rPr>
        <w:t xml:space="preserve">8.2 Native support assessment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1500"/>
        <w:gridCol w:w="5560"/>
      </w:tblGrid>
      <w:tr>
        <w:trPr>
          <w:tblHeader/>
        </w:trPr>
        <w:tc>
          <w:tcPr>
            <w:tcW w:type="dxa" w:w="23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Capability</w:t>
            </w:r>
          </w:p>
        </w:tc>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GEP native?</w:t>
            </w:r>
          </w:p>
        </w:tc>
        <w:tc>
          <w:tcPr>
            <w:tcW w:type="dxa" w:w="5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Reality</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Word redlining / tracked changes</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Nothing in Gemini Enterprise, Agent Platform or Document AI writes OOXML revision markup. Data stores are read-only indexes; the layout parser is extract-only. Zero native support.</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Structured document edits</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(GEP) / Partial (Workspace)</w:t>
            </w:r>
          </w:p>
        </w:tc>
        <w:tc>
          <w:tcPr>
            <w:tcW w:type="dxa" w:w="5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Google Docs API supports suggestion-mode batch updates and comments assigned to a specific user. Documented limits: some request types error in suggestion mode, and format or header and footer settings cannot be suggested. A Workspace capability reached from a custom service, not a GEP feature.</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Clause-level diffs</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reasons about differences. The diff itself is deterministic token comparison in a custom service. Neither is native to GEP.</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versioning</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w:t>
            </w:r>
          </w:p>
        </w:tc>
        <w:tc>
          <w:tcPr>
            <w:tcW w:type="dxa" w:w="5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store refresh replaces indexed content and creates no version. Cloud Storage object versioning plus a version table are required.</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comments</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comment entity. Docs API comments are a usable surface; the record of a comment lives in the application database.</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Simultaneous review</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(as document editing)</w:t>
            </w:r>
          </w:p>
        </w:tc>
        <w:tc>
          <w:tcPr>
            <w:tcW w:type="dxa" w:w="5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Reviewers do not co-edit a document. They decide on disjoint clause packets. Concurrent .docx editing is deliberately designed out.</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Merging edits</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merge primitive anywhere. See section 8.4.</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Consolidated .docx generation</w:t>
            </w:r>
          </w:p>
        </w:tc>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w:t>
            </w:r>
          </w:p>
        </w:tc>
        <w:tc>
          <w:tcPr>
            <w:tcW w:type="dxa" w:w="5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Requires an external OOXML component. The Docs round-trip is a partial path; native generation is not available.</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 comparison</w:t>
            </w:r>
          </w:p>
        </w:tc>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Semantically yes; format-level no</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plus GEP retrieval can compare meaning across indexed versions. Producing a blackline .docx between two versions is external.</w:t>
            </w:r>
          </w:p>
        </w:tc>
      </w:tr>
    </w:tbl>
    <w:p>
      <w:pPr>
        <w:spacing w:after="120" w:before="100"/>
      </w:pPr>
      <w:r>
        <w:rPr>
          <w:rFonts w:ascii="Calibri" w:cs="Calibri" w:eastAsia="Calibri" w:hAnsi="Calibri"/>
          <w:b/>
          <w:bCs/>
          <w:color w:val="3B3B3B"/>
          <w:sz w:val="20"/>
          <w:szCs w:val="20"/>
        </w:rPr>
        <w:t xml:space="preserve">Nine for nine: no native support. Gemini Enterprise's contribution to this stage is confined to semantic reasoning and retrieval.</w:t>
      </w:r>
    </w:p>
    <w:p>
      <w:pPr>
        <w:pStyle w:val="Heading2"/>
        <w:spacing w:after="120" w:before="260"/>
      </w:pPr>
      <w:r>
        <w:rPr>
          <w:rFonts w:ascii="Calibri" w:cs="Calibri" w:eastAsia="Calibri" w:hAnsi="Calibri"/>
          <w:b/>
          <w:bCs/>
          <w:color w:val="3B3B3B"/>
          <w:sz w:val="24"/>
          <w:szCs w:val="24"/>
        </w:rPr>
        <w:t xml:space="preserve">8.3 What Google does provide, precisely</w:t>
      </w:r>
    </w:p>
    <w:p>
      <w:pPr>
        <w:spacing w:after="120" w:before="0"/>
      </w:pPr>
      <w:r>
        <w:rPr>
          <w:rFonts w:ascii="Calibri" w:cs="Calibri" w:eastAsia="Calibri" w:hAnsi="Calibri"/>
          <w:color w:val="3B3B3B"/>
          <w:sz w:val="20"/>
          <w:szCs w:val="20"/>
        </w:rPr>
        <w:t xml:space="preserve">Google Docs and Drive is a genuine partial answer with a named ceiling. The round-trip is documented: tracked changes in Microsoft Office become suggestions in Google Docs, and suggestions become tracked changes going back. A viable path is therefore convert supplier .docx to Docs, apply edits in suggestion mode, and export back to .docx.</w:t>
      </w:r>
    </w:p>
    <w:p>
      <w:pPr>
        <w:spacing w:after="120" w:before="0"/>
      </w:pPr>
      <w:r>
        <w:rPr>
          <w:rFonts w:ascii="Calibri" w:cs="Calibri" w:eastAsia="Calibri" w:hAnsi="Calibri"/>
          <w:color w:val="3B3B3B"/>
          <w:sz w:val="20"/>
          <w:szCs w:val="20"/>
        </w:rPr>
        <w:t xml:space="preserve">The ceiling is fidelity. Conversion is lossy for exactly the things procurement contracts contain: multi-level numbering restructures, content controls, complex tables, footnotes with revisions, and supplier template style customisation. If a supplier's outside counsel opens the returned file and the numbering has shifted, the credibility cost is high and the cause is invisible.</w:t>
      </w:r>
    </w:p>
    <w:p>
      <w:pPr>
        <w:spacing w:after="120" w:before="0"/>
      </w:pPr>
      <w:r>
        <w:rPr>
          <w:rFonts w:ascii="Calibri" w:cs="Calibri" w:eastAsia="Calibri" w:hAnsi="Calibri"/>
          <w:b/>
          <w:bCs/>
          <w:color w:val="3B3B3B"/>
          <w:sz w:val="20"/>
          <w:szCs w:val="20"/>
        </w:rPr>
        <w:t xml:space="preserve">Recommendation: use Docs for the internal reviewer surface and an OOXML component for the supplier-facing artefact. These are different audiences with different fidelity requirements; treating them as one artefact forces a poor compromise.</w:t>
      </w:r>
    </w:p>
    <w:p>
      <w:pPr>
        <w:pStyle w:val="Heading2"/>
        <w:spacing w:after="120" w:before="260"/>
      </w:pPr>
      <w:r>
        <w:rPr>
          <w:rFonts w:ascii="Calibri" w:cs="Calibri" w:eastAsia="Calibri" w:hAnsi="Calibri"/>
          <w:b/>
          <w:bCs/>
          <w:color w:val="3B3B3B"/>
          <w:sz w:val="24"/>
          <w:szCs w:val="24"/>
        </w:rPr>
        <w:t xml:space="preserve">8.4 Minimum external component</w:t>
      </w:r>
    </w:p>
    <w:p>
      <w:pPr>
        <w:spacing w:after="120" w:before="0"/>
      </w:pPr>
      <w:r>
        <w:rPr>
          <w:rFonts w:ascii="Calibri" w:cs="Calibri" w:eastAsia="Calibri" w:hAnsi="Calibri"/>
          <w:color w:val="3B3B3B"/>
          <w:sz w:val="20"/>
          <w:szCs w:val="20"/>
        </w:rPr>
        <w:t xml:space="preserve">The standard Python document library is not a candidate — tracked-changes support has been an open request since 2016 and remains unimplemented; adding a paragraph with track changes enabled produces no revision markup. Hand-rolling revision elements with a generic XML library is the common next attempt and reliably produces files Word refuses to open.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900"/>
        <w:gridCol w:w="4160"/>
      </w:tblGrid>
      <w:tr>
        <w:trPr>
          <w:tblHeader/>
        </w:trPr>
        <w:tc>
          <w:tcPr>
            <w:tcW w:type="dxa" w:w="23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Option</w:t>
            </w:r>
          </w:p>
        </w:tc>
        <w:tc>
          <w:tcPr>
            <w:tcW w:type="dxa" w:w="2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Mechanism</w:t>
            </w:r>
          </w:p>
        </w:tc>
        <w:tc>
          <w:tcPr>
            <w:tcW w:type="dxa" w:w="4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Assessment</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Open XML SDK (.NET, containerised on Cloud Run)</w:t>
            </w:r>
          </w:p>
        </w:tc>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Microsoft's own OOXML library; edit manifest in, revision-marked .docx out</w:t>
            </w:r>
          </w:p>
        </w:tc>
        <w:tc>
          <w:tcPr>
            <w:tcW w:type="dxa" w:w="4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Highest fidelity. Comment anchoring and revision markup are correct because it is the reference implementation. Cost: a .NET service in a Python or Java estate.</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Comparison engine derived from Microsoft's WmlComparer</w:t>
            </w:r>
          </w:p>
        </w:tc>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Two .docx files in, native tracked-changes blackline out</w:t>
            </w:r>
          </w:p>
        </w:tc>
        <w:tc>
          <w:tcPr>
            <w:tcW w:type="dxa" w:w="4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Best fit for version-to-version comparison. Solves the produce-a-blackline requirement directly, which is otherwise a Word desktop feature.</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Python OOXML revision libraries</w:t>
            </w:r>
          </w:p>
        </w:tc>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Extend or replace the standard library with insertion and deletion support, comments, accept and reject</w:t>
            </w:r>
          </w:p>
        </w:tc>
        <w:tc>
          <w:tcPr>
            <w:tcW w:type="dxa" w:w="4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Pure Python, fits the estate, actively maintained. Lower fidelity ceiling than the reference SDK on complex documents. Viable for a proof of concept.</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Commercial engines</w:t>
            </w:r>
          </w:p>
        </w:tc>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compare producing real tracked changes</w:t>
            </w:r>
          </w:p>
        </w:tc>
        <w:tc>
          <w:tcPr>
            <w:tcW w:type="dxa" w:w="4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Mature, supported and licensable — the answer if the client wants a vendor to call. Licence cost and procurement lead time apply.</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DocuSign CLM</w:t>
            </w:r>
          </w:p>
        </w:tc>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Native redline, version and comment management</w:t>
            </w:r>
          </w:p>
        </w:tc>
        <w:tc>
          <w:tcPr>
            <w:tcW w:type="dxa" w:w="4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strategic option. If the client is already heading to DocuSign CLM, do not rebuild this. Let CLM own the document artefact and version ledger; Gemini Enterprise owns the intelligence.</w:t>
            </w:r>
          </w:p>
        </w:tc>
      </w:tr>
    </w:tbl>
    <w:p>
      <w:pPr>
        <w:spacing w:after="120" w:before="0"/>
      </w:pPr>
      <w:r>
        <w:rPr>
          <w:rFonts w:ascii="Calibri" w:cs="Calibri" w:eastAsia="Calibri" w:hAnsi="Calibri"/>
          <w:color w:val="3B3B3B"/>
          <w:sz w:val="20"/>
          <w:szCs w:val="20"/>
        </w:rPr>
        <w:t xml:space="preserve">Recommended minimum for the proof of concept: one containerised document service on Cloud Run exposing two operations.</w:t>
      </w:r>
    </w:p>
    <w:p>
      <w:pPr>
        <w:spacing w:after="0" w:line="200"/>
      </w:pPr>
      <w:r>
        <w:rPr>
          <w:rFonts w:ascii="Consolas" w:cs="Consolas" w:eastAsia="Consolas" w:hAnsi="Consolas"/>
          <w:color w:val="3B3B3B"/>
          <w:sz w:val="15"/>
          <w:szCs w:val="15"/>
        </w:rPr>
        <w:t xml:space="preserve">POST /redline   { base_blob_uri, change_manifest[] }</w:t>
      </w:r>
    </w:p>
    <w:p>
      <w:pPr>
        <w:spacing w:after="0" w:line="200"/>
      </w:pPr>
      <w:r>
        <w:rPr>
          <w:rFonts w:ascii="Consolas" w:cs="Consolas" w:eastAsia="Consolas" w:hAnsi="Consolas"/>
          <w:color w:val="3B3B3B"/>
          <w:sz w:val="15"/>
          <w:szCs w:val="15"/>
        </w:rPr>
        <w:t xml:space="preserve">                -&gt; revision-marked .docx</w:t>
      </w:r>
    </w:p>
    <w:p>
      <w:pPr>
        <w:spacing w:after="0" w:line="200"/>
      </w:pPr>
      <w:r>
        <w:rPr>
          <w:rFonts w:ascii="Consolas" w:cs="Consolas" w:eastAsia="Consolas" w:hAnsi="Consolas"/>
          <w:color w:val="3B3B3B"/>
          <w:sz w:val="15"/>
          <w:szCs w:val="15"/>
        </w:rPr>
        <w:t xml:space="preserve">POST /compare   { blob_uri_a, blob_uri_b }</w:t>
      </w:r>
    </w:p>
    <w:p>
      <w:pPr>
        <w:spacing w:after="0" w:line="200"/>
      </w:pPr>
      <w:r>
        <w:rPr>
          <w:rFonts w:ascii="Consolas" w:cs="Consolas" w:eastAsia="Consolas" w:hAnsi="Consolas"/>
          <w:color w:val="3B3B3B"/>
          <w:sz w:val="15"/>
          <w:szCs w:val="15"/>
        </w:rPr>
        <w:t xml:space="preserve">                -&gt; blackline .docx + structured diff</w:t>
      </w:r>
    </w:p>
    <w:p>
      <w:pPr>
        <w:spacing w:after="120" w:before="140"/>
      </w:pPr>
      <w:r>
        <w:rPr>
          <w:rFonts w:ascii="Calibri" w:cs="Calibri" w:eastAsia="Calibri" w:hAnsi="Calibri"/>
          <w:color w:val="3B3B3B"/>
          <w:sz w:val="20"/>
          <w:szCs w:val="20"/>
        </w:rPr>
        <w:t xml:space="preserve">Start with a Python OOXML library to stay in-estate. Design the interface so the implementation is swappable to the reference SDK or a commercial engine without touching callers, because fidelity failures on real supplier documents are likely and the escape hatch must be cheap.</w:t>
      </w:r>
    </w:p>
    <w:p>
      <w:pPr>
        <w:pStyle w:val="Heading2"/>
        <w:spacing w:after="120" w:before="260"/>
      </w:pPr>
      <w:r>
        <w:rPr>
          <w:rFonts w:ascii="Calibri" w:cs="Calibri" w:eastAsia="Calibri" w:hAnsi="Calibri"/>
          <w:b/>
          <w:bCs/>
          <w:color w:val="3B3B3B"/>
          <w:sz w:val="24"/>
          <w:szCs w:val="24"/>
        </w:rPr>
        <w:t xml:space="preserve">8.5 Merge — and why it is not a merge</w:t>
      </w:r>
    </w:p>
    <w:p>
      <w:pPr>
        <w:spacing w:after="120" w:before="0"/>
      </w:pPr>
      <w:r>
        <w:rPr>
          <w:rFonts w:ascii="Calibri" w:cs="Calibri" w:eastAsia="Calibri" w:hAnsi="Calibri"/>
          <w:color w:val="3B3B3B"/>
          <w:sz w:val="20"/>
          <w:szCs w:val="20"/>
        </w:rPr>
        <w:t xml:space="preserve">The trap: each of N reviewers edits a copy of the contract and the system must three-way merge N divergent .docx files, reconciling overlapping edits and preserving each author's comments. Word performs this, imperfectly, on the desktop. Server-side it is genuinely hard and produces unpredictable results on real legal documents.</w:t>
      </w:r>
    </w:p>
    <w:p>
      <w:pPr>
        <w:spacing w:after="120" w:before="0"/>
      </w:pPr>
      <w:r>
        <w:rPr>
          <w:rFonts w:ascii="Calibri" w:cs="Calibri" w:eastAsia="Calibri" w:hAnsi="Calibri"/>
          <w:color w:val="3B3B3B"/>
          <w:sz w:val="20"/>
          <w:szCs w:val="20"/>
        </w:rPr>
        <w:t xml:space="preserve">The design that avoids it: reviewers never receive a document. They receive an immutable clause packet and submit a decision plus proposed change against one clause instance. There is no divergent document set — there are N decision rows against a mostly disjoint clause set. Consolidation is therefore not a merge but a regeneration:</w:t>
      </w:r>
    </w:p>
    <w:p>
      <w:pPr>
        <w:spacing w:after="0" w:line="200"/>
      </w:pPr>
      <w:r>
        <w:rPr>
          <w:rFonts w:ascii="Consolas" w:cs="Consolas" w:eastAsia="Consolas" w:hAnsi="Consolas"/>
          <w:color w:val="3B3B3B"/>
          <w:sz w:val="15"/>
          <w:szCs w:val="15"/>
        </w:rPr>
        <w:t xml:space="preserve">1  Barrier passes: zero open tasks, conflicts, escalations</w:t>
      </w:r>
    </w:p>
    <w:p>
      <w:pPr>
        <w:spacing w:after="0" w:line="200"/>
      </w:pPr>
      <w:r>
        <w:rPr>
          <w:rFonts w:ascii="Consolas" w:cs="Consolas" w:eastAsia="Consolas" w:hAnsi="Consolas"/>
          <w:color w:val="3B3B3B"/>
          <w:sz w:val="15"/>
          <w:szCs w:val="15"/>
        </w:rPr>
        <w:t xml:space="preserve">2  Collect current decisions per clause instance for version N</w:t>
      </w:r>
    </w:p>
    <w:p>
      <w:pPr>
        <w:spacing w:after="0" w:line="200"/>
      </w:pPr>
      <w:r>
        <w:rPr>
          <w:rFonts w:ascii="Consolas" w:cs="Consolas" w:eastAsia="Consolas" w:hAnsi="Consolas"/>
          <w:color w:val="3B3B3B"/>
          <w:sz w:val="15"/>
          <w:szCs w:val="15"/>
        </w:rPr>
        <w:t xml:space="preserve">3  Where multiple functions decided the same clause:</w:t>
      </w:r>
    </w:p>
    <w:p>
      <w:pPr>
        <w:spacing w:after="0" w:line="200"/>
      </w:pPr>
      <w:r>
        <w:rPr>
          <w:rFonts w:ascii="Consolas" w:cs="Consolas" w:eastAsia="Consolas" w:hAnsi="Consolas"/>
          <w:color w:val="3B3B3B"/>
          <w:sz w:val="15"/>
          <w:szCs w:val="15"/>
        </w:rPr>
        <w:t xml:space="preserve">     all polarity +1        -&gt; accept, record every concurrence</w:t>
      </w:r>
    </w:p>
    <w:p>
      <w:pPr>
        <w:spacing w:after="0" w:line="200"/>
      </w:pPr>
      <w:r>
        <w:rPr>
          <w:rFonts w:ascii="Consolas" w:cs="Consolas" w:eastAsia="Consolas" w:hAnsi="Consolas"/>
          <w:color w:val="3B3B3B"/>
          <w:sz w:val="15"/>
          <w:szCs w:val="15"/>
        </w:rPr>
        <w:t xml:space="preserve">     divergent polarity     -&gt; CONFLICT (never reaches step 4)</w:t>
      </w:r>
    </w:p>
    <w:p>
      <w:pPr>
        <w:spacing w:after="0" w:line="200"/>
      </w:pPr>
      <w:r>
        <w:rPr>
          <w:rFonts w:ascii="Consolas" w:cs="Consolas" w:eastAsia="Consolas" w:hAnsi="Consolas"/>
          <w:color w:val="3B3B3B"/>
          <w:sz w:val="15"/>
          <w:szCs w:val="15"/>
        </w:rPr>
        <w:t xml:space="preserve">     two approve-with-edit, same clause, different text</w:t>
      </w:r>
    </w:p>
    <w:p>
      <w:pPr>
        <w:spacing w:after="0" w:line="200"/>
      </w:pPr>
      <w:r>
        <w:rPr>
          <w:rFonts w:ascii="Consolas" w:cs="Consolas" w:eastAsia="Consolas" w:hAnsi="Consolas"/>
          <w:color w:val="3B3B3B"/>
          <w:sz w:val="15"/>
          <w:szCs w:val="15"/>
        </w:rPr>
        <w:t xml:space="preserve">                            -&gt; CONFLICT (textual, not policy)</w:t>
      </w:r>
    </w:p>
    <w:p>
      <w:pPr>
        <w:spacing w:after="0" w:line="200"/>
      </w:pPr>
      <w:r>
        <w:rPr>
          <w:rFonts w:ascii="Consolas" w:cs="Consolas" w:eastAsia="Consolas" w:hAnsi="Consolas"/>
          <w:color w:val="3B3B3B"/>
          <w:sz w:val="15"/>
          <w:szCs w:val="15"/>
        </w:rPr>
        <w:t xml:space="preserve">4  Agent 3 assembles the change manifest      [model proposal]</w:t>
      </w:r>
    </w:p>
    <w:p>
      <w:pPr>
        <w:spacing w:after="0" w:line="200"/>
      </w:pPr>
      <w:r>
        <w:rPr>
          <w:rFonts w:ascii="Consolas" w:cs="Consolas" w:eastAsia="Consolas" w:hAnsi="Consolas"/>
          <w:color w:val="3B3B3B"/>
          <w:sz w:val="15"/>
          <w:szCs w:val="15"/>
        </w:rPr>
        <w:t xml:space="preserve">5  PA approves each change individually       [GATE 4]</w:t>
      </w:r>
    </w:p>
    <w:p>
      <w:pPr>
        <w:spacing w:after="0" w:line="200"/>
      </w:pPr>
      <w:r>
        <w:rPr>
          <w:rFonts w:ascii="Consolas" w:cs="Consolas" w:eastAsia="Consolas" w:hAnsi="Consolas"/>
          <w:color w:val="3B3B3B"/>
          <w:sz w:val="15"/>
          <w:szCs w:val="15"/>
        </w:rPr>
        <w:t xml:space="preserve">6  Document service applies manifest to base blob</w:t>
      </w:r>
    </w:p>
    <w:p>
      <w:pPr>
        <w:spacing w:after="0" w:line="200"/>
      </w:pPr>
      <w:r>
        <w:rPr>
          <w:rFonts w:ascii="Consolas" w:cs="Consolas" w:eastAsia="Consolas" w:hAnsi="Consolas"/>
          <w:color w:val="3B3B3B"/>
          <w:sz w:val="15"/>
          <w:szCs w:val="15"/>
        </w:rPr>
        <w:t xml:space="preserve">                            -&gt; revision-marked .docx</w:t>
      </w:r>
    </w:p>
    <w:p>
      <w:pPr>
        <w:spacing w:after="0" w:line="200"/>
      </w:pPr>
      <w:r>
        <w:rPr>
          <w:rFonts w:ascii="Consolas" w:cs="Consolas" w:eastAsia="Consolas" w:hAnsi="Consolas"/>
          <w:color w:val="3B3B3B"/>
          <w:sz w:val="15"/>
          <w:szCs w:val="15"/>
        </w:rPr>
        <w:t xml:space="preserve">7  Version service mints version N+1, carries clause lineage</w:t>
      </w:r>
    </w:p>
    <w:p>
      <w:pPr>
        <w:spacing w:after="120" w:before="140"/>
      </w:pPr>
      <w:r>
        <w:rPr>
          <w:rFonts w:ascii="Calibri" w:cs="Calibri" w:eastAsia="Calibri" w:hAnsi="Calibri"/>
          <w:color w:val="3B3B3B"/>
          <w:sz w:val="20"/>
          <w:szCs w:val="20"/>
        </w:rPr>
        <w:t xml:space="preserve">Two consequences. First, nothing is lost because nothing is overwritten: reviewer edits live in append-only decision rows and are never mutated by consolidation, so if the document service produces a bad artefact the decisions are intact and the artefact is regenerated. This is the direct answer to the requirement to produce new versions without losing reviewer edits or comments. Second, two reviewers proposing different wording for the same clause is a conflict, not a merge problem — the barrier catches it and routes it to a human resolver. The system never attempts to reconcile competing legal language automatically.</w:t>
      </w:r>
    </w:p>
    <w:p>
      <w:pPr>
        <w:pStyle w:val="Heading2"/>
        <w:spacing w:after="120" w:before="260"/>
      </w:pPr>
      <w:r>
        <w:rPr>
          <w:rFonts w:ascii="Calibri" w:cs="Calibri" w:eastAsia="Calibri" w:hAnsi="Calibri"/>
          <w:b/>
          <w:bCs/>
          <w:color w:val="3B3B3B"/>
          <w:sz w:val="24"/>
          <w:szCs w:val="24"/>
        </w:rPr>
        <w:t xml:space="preserve">8.6 Comment preservation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3680"/>
        <w:gridCol w:w="3680"/>
      </w:tblGrid>
      <w:tr>
        <w:trPr>
          <w:tblHeader/>
        </w:trPr>
        <w:tc>
          <w:tcPr>
            <w:tcW w:type="dxa" w:w="20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
            </w:r>
          </w:p>
        </w:tc>
        <w:tc>
          <w:tcPr>
            <w:tcW w:type="dxa" w:w="368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Record</w:t>
            </w:r>
          </w:p>
        </w:tc>
        <w:tc>
          <w:tcPr>
            <w:tcW w:type="dxa" w:w="368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Rendering</w:t>
            </w:r>
          </w:p>
        </w:tc>
      </w:tr>
      <w:tr>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Where</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Application database comment table</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Docs API comment, or OOXML comment plus range markers</w:t>
            </w:r>
          </w:p>
        </w:tc>
      </w:tr>
      <w:tr>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Authority</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AUTHORITATIVE</w:t>
            </w:r>
          </w:p>
        </w:tc>
        <w:tc>
          <w:tcPr>
            <w:tcW w:type="dxa" w:w="368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Derived, regenerable</w:t>
            </w:r>
          </w:p>
        </w:tc>
      </w:tr>
      <w:tr>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Retention</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Permanent, threaded, visibility-scoped</w:t>
            </w:r>
          </w:p>
        </w:tc>
        <w:tc>
          <w:tcPr>
            <w:tcW w:type="dxa" w:w="368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Recreated per artefact</w:t>
            </w:r>
          </w:p>
        </w:tc>
      </w:tr>
    </w:tbl>
    <w:p>
      <w:pPr>
        <w:spacing w:after="120" w:before="100"/>
      </w:pPr>
      <w:r>
        <w:rPr>
          <w:rFonts w:ascii="Calibri" w:cs="Calibri" w:eastAsia="Calibri" w:hAnsi="Calibri"/>
          <w:b/>
          <w:bCs/>
          <w:color w:val="3B3B3B"/>
          <w:sz w:val="20"/>
          <w:szCs w:val="20"/>
        </w:rPr>
        <w:t xml:space="preserve">The visibility column is critical. Function-only internal deliberation — for example, that a concession is acceptable if the supplier moves on payment terms — must never render into a supplier-facing artefact. Filter on visibility at document generation, not in the interface. An interface-only filter is one export defect away from a disclosure incident. This is the highest-severity risk in this stage and belongs in the client risk register.</w:t>
      </w:r>
    </w:p>
    <w:p>
      <w:pPr>
        <w:pStyle w:val="Heading2"/>
        <w:spacing w:after="120" w:before="260"/>
      </w:pPr>
      <w:r>
        <w:rPr>
          <w:rFonts w:ascii="Calibri" w:cs="Calibri" w:eastAsia="Calibri" w:hAnsi="Calibri"/>
          <w:b/>
          <w:bCs/>
          <w:color w:val="3B3B3B"/>
          <w:sz w:val="24"/>
          <w:szCs w:val="24"/>
        </w:rPr>
        <w:t xml:space="preserve">8.7 Version comparison — three layers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200"/>
        <w:gridCol w:w="3560"/>
      </w:tblGrid>
      <w:tr>
        <w:trPr>
          <w:tblHeader/>
        </w:trPr>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Layer</w:t>
            </w:r>
          </w:p>
        </w:tc>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Mechanism</w:t>
            </w:r>
          </w:p>
        </w:tc>
        <w:tc>
          <w:tcPr>
            <w:tcW w:type="dxa" w:w="3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Output</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Format-level blackline</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Comparison engine on two version blobs</w:t>
            </w:r>
          </w:p>
        </w:tc>
        <w:tc>
          <w:tcPr>
            <w:tcW w:type="dxa" w:w="3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.docx with native tracked changes, for legal review and supplier transmission</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Structured clause diff</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diff over normalised clause text, joined on clause identity</w:t>
            </w:r>
          </w:p>
        </w:tc>
        <w:tc>
          <w:tcPr>
            <w:tcW w:type="dxa" w:w="3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Per-clause modified, added, deleted or unchanged — drives delta scoping</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Semantic comparison</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over the clause pair, grounded on playbook</w:t>
            </w:r>
          </w:p>
        </w:tc>
        <w:tc>
          <w:tcPr>
            <w:tcW w:type="dxa" w:w="3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For example: cycle 3 restored the liability cap but reintroduced uncapped IP indemnity — advisory</w:t>
            </w:r>
          </w:p>
        </w:tc>
      </w:tr>
    </w:tbl>
    <w:p>
      <w:pPr>
        <w:spacing w:after="120" w:before="100"/>
      </w:pPr>
      <w:r>
        <w:rPr>
          <w:rFonts w:ascii="Calibri" w:cs="Calibri" w:eastAsia="Calibri" w:hAnsi="Calibri"/>
          <w:color w:val="3B3B3B"/>
          <w:sz w:val="20"/>
          <w:szCs w:val="20"/>
        </w:rPr>
        <w:t xml:space="preserve">All three are needed. The second is load-bearing: text hash comparison on clause instances is what makes re-review scoped rather than full, and it is deterministic by design.</w:t>
      </w:r>
    </w:p>
    <w:p>
      <w:pPr>
        <w:pStyle w:val="Heading2"/>
        <w:spacing w:after="120" w:before="260"/>
      </w:pPr>
      <w:r>
        <w:rPr>
          <w:rFonts w:ascii="Calibri" w:cs="Calibri" w:eastAsia="Calibri" w:hAnsi="Calibri"/>
          <w:b/>
          <w:bCs/>
          <w:color w:val="3B3B3B"/>
          <w:sz w:val="24"/>
          <w:szCs w:val="24"/>
        </w:rPr>
        <w:t xml:space="preserve">8.8 Residual risks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1200"/>
        <w:gridCol w:w="5260"/>
      </w:tblGrid>
      <w:tr>
        <w:trPr>
          <w:tblHeader/>
        </w:trPr>
        <w:tc>
          <w:tcPr>
            <w:tcW w:type="dxa" w:w="2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Risk</w:t>
            </w:r>
          </w:p>
        </w:tc>
        <w:tc>
          <w:tcPr>
            <w:tcW w:type="dxa" w:w="1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Severity</w:t>
            </w:r>
          </w:p>
        </w:tc>
        <w:tc>
          <w:tcPr>
            <w:tcW w:type="dxa" w:w="52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Mitigation</w:t>
            </w:r>
          </w:p>
        </w:tc>
      </w:tr>
      <w:tr>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Internal-visibility comments leak into a supplier artefact</w:t>
            </w:r>
          </w:p>
        </w:tc>
        <w:tc>
          <w:tcPr>
            <w:tcW w:type="dxa" w:w="1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CRITICAL</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Filter at generation; add an automated pre-transmission assertion that zero function-only or PA-only comments are present</w:t>
            </w:r>
          </w:p>
        </w:tc>
      </w:tr>
      <w:tr>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OOXML fidelity failure on a real supplier template</w:t>
            </w:r>
          </w:p>
        </w:tc>
        <w:tc>
          <w:tcPr>
            <w:tcW w:type="dxa" w:w="1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High</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Swappable document-service interface; corpus test on 20 or more real supplier documents, not synthetic samples</w:t>
            </w:r>
          </w:p>
        </w:tc>
      </w:tr>
      <w:tr>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Docs round-trip mangles numbering or styles</w:t>
            </w:r>
          </w:p>
        </w:tc>
        <w:tc>
          <w:tcPr>
            <w:tcW w:type="dxa" w:w="1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High</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Docs for internal review only; OOXML component for outbound</w:t>
            </w:r>
          </w:p>
        </w:tc>
      </w:tr>
      <w:tr>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identity mismatch transfers a prior approval to changed language</w:t>
            </w:r>
          </w:p>
        </w:tc>
        <w:tc>
          <w:tcPr>
            <w:tcW w:type="dxa" w:w="1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CRITICAL</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Identity method cascade with human confirmation on any ambiguity</w:t>
            </w:r>
          </w:p>
        </w:tc>
      </w:tr>
      <w:tr>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Generated .docx will not open in Word</w:t>
            </w:r>
          </w:p>
        </w:tc>
        <w:tc>
          <w:tcPr>
            <w:tcW w:type="dxa" w:w="1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High</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Validate every artefact against the OOXML schema before release; fail closed</w:t>
            </w:r>
          </w:p>
        </w:tc>
      </w:tr>
      <w:tr>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Supplier returns the file with their own tracked changes layered on ours</w:t>
            </w:r>
          </w:p>
        </w:tc>
        <w:tc>
          <w:tcPr>
            <w:tcW w:type="dxa" w:w="1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Medium</w:t>
            </w:r>
          </w:p>
        </w:tc>
        <w:tc>
          <w:tcPr>
            <w:tcW w:type="dxa" w:w="5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Accept all of ours on receipt, then treat as a fresh version; do not interpret nested revision layers</w:t>
            </w:r>
          </w:p>
        </w:tc>
      </w:tr>
      <w:tr>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Client expects Gemini Enterprise to perform redlining</w:t>
            </w:r>
          </w:p>
        </w:tc>
        <w:tc>
          <w:tcPr>
            <w:tcW w:type="dxa" w:w="1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High</w:t>
            </w:r>
          </w:p>
        </w:tc>
        <w:tc>
          <w:tcPr>
            <w:tcW w:type="dxa" w:w="52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State plainly that nine of nine capabilities are not native</w:t>
            </w:r>
          </w:p>
        </w:tc>
      </w:tr>
    </w:tbl>
    <w:p>
      <w:pPr>
        <w:spacing w:after="120" w:before="100"/>
      </w:pPr>
      <w:r>
        <w:rPr>
          <w:rFonts w:ascii="Calibri" w:cs="Calibri" w:eastAsia="Calibri" w:hAnsi="Calibri"/>
          <w:color w:val="3B3B3B"/>
          <w:sz w:val="20"/>
          <w:szCs w:val="20"/>
        </w:rPr>
        <w:t xml:space="preserve">The supplier-side scenario is worth testing early in the proof of concept. It is how real negotiation works and is the case most likely to break a naive version model.</w:t>
      </w:r>
    </w:p>
    <w:p>
      <w:pPr>
        <w:pStyle w:val="Heading2"/>
        <w:spacing w:after="120" w:before="260"/>
      </w:pPr>
      <w:r>
        <w:rPr>
          <w:rFonts w:ascii="Calibri" w:cs="Calibri" w:eastAsia="Calibri" w:hAnsi="Calibri"/>
          <w:b/>
          <w:bCs/>
          <w:color w:val="3B3B3B"/>
          <w:sz w:val="24"/>
          <w:szCs w:val="24"/>
        </w:rPr>
        <w:t xml:space="preserve">8.9 Stage 6 summary</w:t>
      </w:r>
    </w:p>
    <w:p>
      <w:pPr>
        <w:spacing w:after="120" w:before="0"/>
      </w:pPr>
      <w:r>
        <w:rPr>
          <w:rFonts w:ascii="Calibri" w:cs="Calibri" w:eastAsia="Calibri" w:hAnsi="Calibri"/>
          <w:color w:val="3B3B3B"/>
          <w:sz w:val="20"/>
          <w:szCs w:val="20"/>
        </w:rPr>
        <w:t xml:space="preserve">Gemini Enterprise contributes semantic comparison — what changed, whether it breaches policy, what to counter-propose. It contributes nothing to document-format redlining, versioning or merging. Those require one custom document service plus, in production, a CLM system of record.</w:t>
      </w:r>
    </w:p>
    <w:p>
      <w:pPr>
        <w:spacing w:after="120" w:before="0"/>
      </w:pPr>
      <w:r>
        <w:rPr>
          <w:rFonts w:ascii="Calibri" w:cs="Calibri" w:eastAsia="Calibri" w:hAnsi="Calibri"/>
          <w:color w:val="3B3B3B"/>
          <w:sz w:val="20"/>
          <w:szCs w:val="20"/>
        </w:rPr>
        <w:t xml:space="preserve">The clause-level data model established at Stage 4 converts the hardest problem in this stage — merging concurrent reviewer edits — from a document-merge problem into a database aggregation. That is the single highest-leverage decision in the architecture, and it was made three stages before it paid off.</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9. Stage 7 — Reviewer Conflict Detection</w:t>
      </w:r>
    </w:p>
    <w:p>
      <w:pPr>
        <w:pStyle w:val="Heading2"/>
        <w:spacing w:after="120" w:before="260"/>
      </w:pPr>
      <w:r>
        <w:rPr>
          <w:rFonts w:ascii="Calibri" w:cs="Calibri" w:eastAsia="Calibri" w:hAnsi="Calibri"/>
          <w:b/>
          <w:bCs/>
          <w:color w:val="3B3B3B"/>
          <w:sz w:val="24"/>
          <w:szCs w:val="24"/>
        </w:rPr>
        <w:t xml:space="preserve">9.1 Framing</w:t>
      </w:r>
    </w:p>
    <w:p>
      <w:pPr>
        <w:spacing w:after="120" w:before="0"/>
      </w:pPr>
      <w:r>
        <w:rPr>
          <w:rFonts w:ascii="Calibri" w:cs="Calibri" w:eastAsia="Calibri" w:hAnsi="Calibri"/>
          <w:color w:val="3B3B3B"/>
          <w:sz w:val="20"/>
          <w:szCs w:val="20"/>
        </w:rPr>
        <w:t xml:space="preserve">Conflict is not one phenomenon. Six classes exist, ordered by detectability.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2700"/>
        <w:gridCol w:w="3200"/>
        <w:gridCol w:w="2560"/>
      </w:tblGrid>
      <w:tr>
        <w:trPr>
          <w:tblHeader/>
        </w:trPr>
        <w:tc>
          <w:tcPr>
            <w:tcW w:type="dxa" w:w="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Class</w:t>
            </w:r>
          </w:p>
        </w:tc>
        <w:tc>
          <w:tcPr>
            <w:tcW w:type="dxa" w:w="2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Description</w:t>
            </w:r>
          </w:p>
        </w:tc>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Client example</w:t>
            </w:r>
          </w:p>
        </w:tc>
        <w:tc>
          <w:tcPr>
            <w:tcW w:type="dxa" w:w="2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Primary mechanism</w:t>
            </w:r>
          </w:p>
        </w:tc>
      </w:tr>
      <w:tr>
        <w:tc>
          <w:tcPr>
            <w:tcW w:type="dxa" w:w="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Direct contradiction — same clause, opposing polarity</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approves what Information Security rejects</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w:t>
            </w:r>
          </w:p>
        </w:tc>
      </w:tr>
      <w:tr>
        <w:tc>
          <w:tcPr>
            <w:tcW w:type="dxa" w:w="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w:t>
            </w:r>
          </w:p>
        </w:tc>
        <w:tc>
          <w:tcPr>
            <w:tcW w:type="dxa" w:w="2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Textual divergence — same clause, two different proposed revisions</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Two reviewers propose different revisions</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detect plus model characterise</w:t>
            </w:r>
          </w:p>
        </w:tc>
      </w:tr>
      <w:tr>
        <w:tc>
          <w:tcPr>
            <w:tcW w:type="dxa" w:w="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Cross-clause inconsistency — decisions individually valid, jointly incoherent</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Procurement's commercial change versus a Finance requirement</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Dependency graph plus model scan</w:t>
            </w:r>
          </w:p>
        </w:tc>
      </w:tr>
      <w:tr>
        <w:tc>
          <w:tcPr>
            <w:tcW w:type="dxa" w:w="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w:t>
            </w:r>
          </w:p>
        </w:tc>
        <w:tc>
          <w:tcPr>
            <w:tcW w:type="dxa" w:w="2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Decision versus policy — an approval that breaches a hard constraint</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 in the examples given</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w:t>
            </w:r>
          </w:p>
        </w:tc>
      </w:tr>
      <w:tr>
        <w:tc>
          <w:tcPr>
            <w:tcW w:type="dxa" w:w="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w:t>
            </w:r>
          </w:p>
        </w:tc>
        <w:tc>
          <w:tcPr>
            <w:tcW w:type="dxa" w:w="2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Cross-cycle contradiction — reverses a carried-forward decision</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 in the examples given</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w:t>
            </w:r>
          </w:p>
        </w:tc>
      </w:tr>
      <w:tr>
        <w:tc>
          <w:tcPr>
            <w:tcW w:type="dxa" w:w="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w:t>
            </w:r>
          </w:p>
        </w:tc>
        <w:tc>
          <w:tcPr>
            <w:tcW w:type="dxa" w:w="2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Authority breach — decision outside the function's ownership scope</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Not in the examples given</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w:t>
            </w:r>
          </w:p>
        </w:tc>
      </w:tr>
    </w:tbl>
    <w:p>
      <w:pPr>
        <w:spacing w:after="120" w:before="100"/>
      </w:pPr>
      <w:r>
        <w:rPr>
          <w:rFonts w:ascii="Calibri" w:cs="Calibri" w:eastAsia="Calibri" w:hAnsi="Calibri"/>
          <w:b/>
          <w:bCs/>
          <w:color w:val="3B3B3B"/>
          <w:sz w:val="20"/>
          <w:szCs w:val="20"/>
        </w:rPr>
        <w:t xml:space="preserve">Classes A, D, E and F are fully deterministic. B is deterministically detected. Only C requires semantic reasoning and only C carries meaningful false-positive risk. That is a considerably better position than the requirement initially suggests.</w:t>
      </w:r>
    </w:p>
    <w:p>
      <w:pPr>
        <w:pStyle w:val="Heading2"/>
        <w:spacing w:after="120" w:before="260"/>
      </w:pPr>
      <w:r>
        <w:rPr>
          <w:rFonts w:ascii="Calibri" w:cs="Calibri" w:eastAsia="Calibri" w:hAnsi="Calibri"/>
          <w:b/>
          <w:bCs/>
          <w:color w:val="3B3B3B"/>
          <w:sz w:val="24"/>
          <w:szCs w:val="24"/>
        </w:rPr>
        <w:t xml:space="preserve">9.2 Prerequisite: the clause ownership model</w:t>
      </w:r>
    </w:p>
    <w:p>
      <w:pPr>
        <w:spacing w:after="120" w:before="0"/>
      </w:pPr>
      <w:r>
        <w:rPr>
          <w:rFonts w:ascii="Calibri" w:cs="Calibri" w:eastAsia="Calibri" w:hAnsi="Calibri"/>
          <w:color w:val="3B3B3B"/>
          <w:sz w:val="20"/>
          <w:szCs w:val="20"/>
        </w:rPr>
        <w:t xml:space="preserve">Conflict detection is undefined without declared authority. One additional table is required, and it is the highest-leverage artefact in this stage.</w:t>
      </w:r>
    </w:p>
    <w:p>
      <w:pPr>
        <w:spacing w:after="0" w:line="200"/>
      </w:pPr>
      <w:r>
        <w:rPr>
          <w:rFonts w:ascii="Consolas" w:cs="Consolas" w:eastAsia="Consolas" w:hAnsi="Consolas"/>
          <w:color w:val="3B3B3B"/>
          <w:sz w:val="15"/>
          <w:szCs w:val="15"/>
        </w:rPr>
        <w:t xml:space="preserve">clause_type_authority</w:t>
      </w:r>
    </w:p>
    <w:p>
      <w:pPr>
        <w:spacing w:after="0" w:line="200"/>
      </w:pPr>
      <w:r>
        <w:rPr>
          <w:rFonts w:ascii="Consolas" w:cs="Consolas" w:eastAsia="Consolas" w:hAnsi="Consolas"/>
          <w:color w:val="3B3B3B"/>
          <w:sz w:val="15"/>
          <w:szCs w:val="15"/>
        </w:rPr>
        <w:t xml:space="preserve">  clause_type           PK</w:t>
      </w:r>
    </w:p>
    <w:p>
      <w:pPr>
        <w:spacing w:after="0" w:line="200"/>
      </w:pPr>
      <w:r>
        <w:rPr>
          <w:rFonts w:ascii="Consolas" w:cs="Consolas" w:eastAsia="Consolas" w:hAnsi="Consolas"/>
          <w:color w:val="3B3B3B"/>
          <w:sz w:val="15"/>
          <w:szCs w:val="15"/>
        </w:rPr>
        <w:t xml:space="preserve">  primary_function      owns the outcome; decision is dispositive</w:t>
      </w:r>
    </w:p>
    <w:p>
      <w:pPr>
        <w:spacing w:after="0" w:line="200"/>
      </w:pPr>
      <w:r>
        <w:rPr>
          <w:rFonts w:ascii="Consolas" w:cs="Consolas" w:eastAsia="Consolas" w:hAnsi="Consolas"/>
          <w:color w:val="3B3B3B"/>
          <w:sz w:val="15"/>
          <w:szCs w:val="15"/>
        </w:rPr>
        <w:t xml:space="preserve">  consulted_functions   must review; advisory</w:t>
      </w:r>
    </w:p>
    <w:p>
      <w:pPr>
        <w:spacing w:after="0" w:line="200"/>
      </w:pPr>
      <w:r>
        <w:rPr>
          <w:rFonts w:ascii="Consolas" w:cs="Consolas" w:eastAsia="Consolas" w:hAnsi="Consolas"/>
          <w:color w:val="3B3B3B"/>
          <w:sz w:val="15"/>
          <w:szCs w:val="15"/>
        </w:rPr>
        <w:t xml:space="preserve">  veto_functions        rejection is binding regardless of others</w:t>
      </w:r>
    </w:p>
    <w:p>
      <w:pPr>
        <w:spacing w:after="0" w:line="200"/>
      </w:pPr>
      <w:r>
        <w:rPr>
          <w:rFonts w:ascii="Consolas" w:cs="Consolas" w:eastAsia="Consolas" w:hAnsi="Consolas"/>
          <w:color w:val="3B3B3B"/>
          <w:sz w:val="15"/>
          <w:szCs w:val="15"/>
        </w:rPr>
        <w:t xml:space="preserve">  tie_break_function    resolver when primary and consulted diverge</w:t>
      </w:r>
    </w:p>
    <w:p>
      <w:pPr>
        <w:spacing w:after="0" w:line="200"/>
      </w:pPr>
      <w:r>
        <w:rPr>
          <w:rFonts w:ascii="Consolas" w:cs="Consolas" w:eastAsia="Consolas" w:hAnsi="Consolas"/>
          <w:color w:val="3B3B3B"/>
          <w:sz w:val="15"/>
          <w:szCs w:val="15"/>
        </w:rPr>
        <w:t xml:space="preserve">  authority_version</w:t>
      </w:r>
    </w:p>
    <w:p>
      <w:pPr>
        <w:spacing w:after="120" w:before="140"/>
      </w:pPr>
      <w:r>
        <w:rPr>
          <w:rFonts w:ascii="Calibri" w:cs="Calibri" w:eastAsia="Calibri" w:hAnsi="Calibri"/>
          <w:color w:val="3B3B3B"/>
          <w:sz w:val="20"/>
          <w:szCs w:val="20"/>
        </w:rPr>
        <w:t xml:space="preserve">This distinction collapses a large share of apparent conflicts:</w:t>
      </w:r>
    </w:p>
    <w:p>
      <w:pPr>
        <w:pStyle w:val="ListParagraph"/>
        <w:numPr>
          <w:ilvl w:val="0"/>
          <w:numId w:val="3"/>
        </w:numPr>
        <w:spacing w:after="60"/>
      </w:pPr>
      <w:r>
        <w:rPr>
          <w:rFonts w:ascii="Calibri" w:cs="Calibri" w:eastAsia="Calibri" w:hAnsi="Calibri"/>
          <w:color w:val="3B3B3B"/>
          <w:sz w:val="20"/>
          <w:szCs w:val="20"/>
        </w:rPr>
        <w:t xml:space="preserve">Information Security rejects a data-security clause Legal approved. If Information Security holds veto on that clause type, this is not a conflict — it is a binding rejection. Deterministic outcome, no escalation, both positions recorded.</w:t>
      </w:r>
    </w:p>
    <w:p>
      <w:pPr>
        <w:pStyle w:val="ListParagraph"/>
        <w:numPr>
          <w:ilvl w:val="0"/>
          <w:numId w:val="3"/>
        </w:numPr>
        <w:spacing w:after="60"/>
      </w:pPr>
      <w:r>
        <w:rPr>
          <w:rFonts w:ascii="Calibri" w:cs="Calibri" w:eastAsia="Calibri" w:hAnsi="Calibri"/>
          <w:color w:val="3B3B3B"/>
          <w:sz w:val="20"/>
          <w:szCs w:val="20"/>
        </w:rPr>
        <w:t xml:space="preserve">Legal approves and Procurement, consulted without veto, rejects. The primary decision stands; the dissent is recorded and surfaced to the Purchasing Agent. Not a conflict.</w:t>
      </w:r>
    </w:p>
    <w:p>
      <w:pPr>
        <w:pStyle w:val="ListParagraph"/>
        <w:numPr>
          <w:ilvl w:val="0"/>
          <w:numId w:val="3"/>
        </w:numPr>
        <w:spacing w:after="60"/>
      </w:pPr>
      <w:r>
        <w:rPr>
          <w:rFonts w:ascii="Calibri" w:cs="Calibri" w:eastAsia="Calibri" w:hAnsi="Calibri"/>
          <w:color w:val="3B3B3B"/>
          <w:sz w:val="20"/>
          <w:szCs w:val="20"/>
        </w:rPr>
        <w:t xml:space="preserve">Legal as primary and Information Security as veto holder disagree. A genuine conflict between two dispositive authorities. Escalate.</w:t>
      </w:r>
    </w:p>
    <w:p>
      <w:pPr>
        <w:spacing w:after="120" w:before="80"/>
      </w:pPr>
      <w:r>
        <w:rPr>
          <w:rFonts w:ascii="Calibri" w:cs="Calibri" w:eastAsia="Calibri" w:hAnsi="Calibri"/>
          <w:color w:val="3B3B3B"/>
          <w:sz w:val="20"/>
          <w:szCs w:val="20"/>
        </w:rPr>
        <w:t xml:space="preserve">Without this table every disagreement escalates and the Purchasing Agent is overwhelmed. With it, escalation volume drops to the cases that need a human tie-break.</w:t>
      </w:r>
    </w:p>
    <w:p>
      <w:pPr>
        <w:spacing w:after="120" w:before="0"/>
      </w:pPr>
      <w:r>
        <w:rPr>
          <w:rFonts w:ascii="Calibri" w:cs="Calibri" w:eastAsia="Calibri" w:hAnsi="Calibri"/>
          <w:b/>
          <w:bCs/>
          <w:color w:val="3B3B3B"/>
          <w:sz w:val="20"/>
          <w:szCs w:val="20"/>
        </w:rPr>
        <w:t xml:space="preserve">This table is a client policy artefact, not an engineering decision. It must be signed off by Legal, Procurement, Finance, Tax, Information Security, Privacy and Compliance leadership before build. Obtaining that approval is a Stage-zero dependency that is easy to under-scope and typically takes longer than the code.</w:t>
      </w:r>
    </w:p>
    <w:p>
      <w:pPr>
        <w:pStyle w:val="Heading2"/>
        <w:spacing w:after="120" w:before="260"/>
      </w:pPr>
      <w:r>
        <w:rPr>
          <w:rFonts w:ascii="Calibri" w:cs="Calibri" w:eastAsia="Calibri" w:hAnsi="Calibri"/>
          <w:b/>
          <w:bCs/>
          <w:color w:val="3B3B3B"/>
          <w:sz w:val="24"/>
          <w:szCs w:val="24"/>
        </w:rPr>
        <w:t xml:space="preserve">9.3 Class A — direct contradiction</w:t>
      </w:r>
    </w:p>
    <w:p>
      <w:pPr>
        <w:spacing w:after="120" w:before="0"/>
      </w:pPr>
      <w:r>
        <w:rPr>
          <w:rFonts w:ascii="Calibri" w:cs="Calibri" w:eastAsia="Calibri" w:hAnsi="Calibri"/>
          <w:color w:val="3B3B3B"/>
          <w:sz w:val="20"/>
          <w:szCs w:val="20"/>
        </w:rPr>
        <w:t xml:space="preserve">Deterministic, operating on decision polarity. The predicate distinguishes three outcomes: a binding rejection where a veto holder rejected (a deterministic outcome, not a conflict); a genuine conflict where two dispositive authorities disagree; and advisory dissent from a consulted function, which is recorded and surfaced but not escalated. Abstain and needs-info carry polarity zero and never contribute to conflict — an abstention is not a position.</w:t>
      </w:r>
    </w:p>
    <w:p>
      <w:pPr>
        <w:pStyle w:val="Heading2"/>
        <w:spacing w:after="120" w:before="260"/>
      </w:pPr>
      <w:r>
        <w:rPr>
          <w:rFonts w:ascii="Calibri" w:cs="Calibri" w:eastAsia="Calibri" w:hAnsi="Calibri"/>
          <w:b/>
          <w:bCs/>
          <w:color w:val="3B3B3B"/>
          <w:sz w:val="24"/>
          <w:szCs w:val="24"/>
        </w:rPr>
        <w:t xml:space="preserve">9.4 Class B — textual divergence</w:t>
      </w:r>
    </w:p>
    <w:p>
      <w:pPr>
        <w:spacing w:after="120" w:before="0"/>
      </w:pPr>
      <w:r>
        <w:rPr>
          <w:rFonts w:ascii="Calibri" w:cs="Calibri" w:eastAsia="Calibri" w:hAnsi="Calibri"/>
          <w:color w:val="3B3B3B"/>
          <w:sz w:val="20"/>
          <w:szCs w:val="20"/>
        </w:rPr>
        <w:t xml:space="preserve">Detection is deterministic: more than one distinct normalised hash of proposed text on the same clause instance. This always flags.</w:t>
      </w:r>
    </w:p>
    <w:p>
      <w:pPr>
        <w:spacing w:after="120" w:before="0"/>
      </w:pPr>
      <w:r>
        <w:rPr>
          <w:rFonts w:ascii="Calibri" w:cs="Calibri" w:eastAsia="Calibri" w:hAnsi="Calibri"/>
          <w:color w:val="3B3B3B"/>
          <w:sz w:val="20"/>
          <w:szCs w:val="20"/>
        </w:rPr>
        <w:t xml:space="preserve">Characterisation is model-assisted, and this is where the prohibition on silent resolution bites hardest. Two reviewers may propose semantically identical edits with different wording. A naive system escalates a non-issue; a permissive system lets the model declare them equivalent and choose one. Neither is acceptable. The correct behaviour:</w:t>
      </w:r>
    </w:p>
    <w:p>
      <w:pPr>
        <w:spacing w:after="0" w:line="200"/>
      </w:pPr>
      <w:r>
        <w:rPr>
          <w:rFonts w:ascii="Consolas" w:cs="Consolas" w:eastAsia="Consolas" w:hAnsi="Consolas"/>
          <w:color w:val="3B3B3B"/>
          <w:sz w:val="15"/>
          <w:szCs w:val="15"/>
        </w:rPr>
        <w:t xml:space="preserve">detect (deterministic)  -&gt; status = CONFLICT, always</w:t>
      </w:r>
    </w:p>
    <w:p>
      <w:pPr>
        <w:spacing w:after="0" w:line="200"/>
      </w:pPr>
      <w:r>
        <w:rPr>
          <w:rFonts w:ascii="Consolas" w:cs="Consolas" w:eastAsia="Consolas" w:hAnsi="Consolas"/>
          <w:color w:val="3B3B3B"/>
          <w:sz w:val="15"/>
          <w:szCs w:val="15"/>
        </w:rPr>
        <w:t xml:space="preserve">characterise (model)    -&gt; equivalence_assessment in</w:t>
      </w:r>
    </w:p>
    <w:p>
      <w:pPr>
        <w:spacing w:after="0" w:line="200"/>
      </w:pPr>
      <w:r>
        <w:rPr>
          <w:rFonts w:ascii="Consolas" w:cs="Consolas" w:eastAsia="Consolas" w:hAnsi="Consolas"/>
          <w:color w:val="3B3B3B"/>
          <w:sz w:val="15"/>
          <w:szCs w:val="15"/>
        </w:rPr>
        <w:t xml:space="preserve">                           {LIKELY_EQUIVALENT,</w:t>
      </w:r>
    </w:p>
    <w:p>
      <w:pPr>
        <w:spacing w:after="0" w:line="200"/>
      </w:pPr>
      <w:r>
        <w:rPr>
          <w:rFonts w:ascii="Consolas" w:cs="Consolas" w:eastAsia="Consolas" w:hAnsi="Consolas"/>
          <w:color w:val="3B3B3B"/>
          <w:sz w:val="15"/>
          <w:szCs w:val="15"/>
        </w:rPr>
        <w:t xml:space="preserve">                            MATERIALLY_DIFFERENT, UNCLEAR}</w:t>
      </w:r>
    </w:p>
    <w:p>
      <w:pPr>
        <w:spacing w:after="0" w:line="200"/>
      </w:pPr>
      <w:r>
        <w:rPr>
          <w:rFonts w:ascii="Consolas" w:cs="Consolas" w:eastAsia="Consolas" w:hAnsi="Consolas"/>
          <w:color w:val="3B3B3B"/>
          <w:sz w:val="15"/>
          <w:szCs w:val="15"/>
        </w:rPr>
        <w:t xml:space="preserve">                           plus rationale, provenance = model</w:t>
      </w:r>
    </w:p>
    <w:p>
      <w:pPr>
        <w:spacing w:after="0" w:line="200"/>
      </w:pPr>
      <w:r>
        <w:rPr>
          <w:rFonts w:ascii="Consolas" w:cs="Consolas" w:eastAsia="Consolas" w:hAnsi="Consolas"/>
          <w:color w:val="3B3B3B"/>
          <w:sz w:val="15"/>
          <w:szCs w:val="15"/>
        </w:rPr>
        <w:t xml:space="preserve">resolve (human only)    -&gt; resolver confirms equivalence and</w:t>
      </w:r>
    </w:p>
    <w:p>
      <w:pPr>
        <w:spacing w:after="0" w:line="200"/>
      </w:pPr>
      <w:r>
        <w:rPr>
          <w:rFonts w:ascii="Consolas" w:cs="Consolas" w:eastAsia="Consolas" w:hAnsi="Consolas"/>
          <w:color w:val="3B3B3B"/>
          <w:sz w:val="15"/>
          <w:szCs w:val="15"/>
        </w:rPr>
        <w:t xml:space="preserve">                           selects text, or selects one</w:t>
      </w:r>
    </w:p>
    <w:p>
      <w:pPr>
        <w:spacing w:after="0" w:line="200"/>
      </w:pPr>
      <w:r>
        <w:rPr>
          <w:rFonts w:ascii="Consolas" w:cs="Consolas" w:eastAsia="Consolas" w:hAnsi="Consolas"/>
          <w:color w:val="3B3B3B"/>
          <w:sz w:val="15"/>
          <w:szCs w:val="15"/>
        </w:rPr>
        <w:t xml:space="preserve">                           position, or drafts a third</w:t>
      </w:r>
    </w:p>
    <w:p>
      <w:pPr>
        <w:spacing w:after="120" w:before="140"/>
      </w:pPr>
      <w:r>
        <w:rPr>
          <w:rFonts w:ascii="Calibri" w:cs="Calibri" w:eastAsia="Calibri" w:hAnsi="Calibri"/>
          <w:b/>
          <w:bCs/>
          <w:color w:val="3B3B3B"/>
          <w:sz w:val="20"/>
          <w:szCs w:val="20"/>
        </w:rPr>
        <w:t xml:space="preserve">The model's equivalence verdict reduces the resolver's reading burden; it does not change the state. The status remains conflict until a human resolution decision is written. A model assessment can never be the value that clears a gate. This is the concrete answer to the prohibition: the model may inform, never transition.</w:t>
      </w:r>
    </w:p>
    <w:p>
      <w:pPr>
        <w:pStyle w:val="Heading2"/>
        <w:spacing w:after="120" w:before="260"/>
      </w:pPr>
      <w:r>
        <w:rPr>
          <w:rFonts w:ascii="Calibri" w:cs="Calibri" w:eastAsia="Calibri" w:hAnsi="Calibri"/>
          <w:b/>
          <w:bCs/>
          <w:color w:val="3B3B3B"/>
          <w:sz w:val="24"/>
          <w:szCs w:val="24"/>
        </w:rPr>
        <w:t xml:space="preserve">9.5 Class C — cross-clause inconsistency</w:t>
      </w:r>
    </w:p>
    <w:p>
      <w:pPr>
        <w:spacing w:after="120" w:before="0"/>
      </w:pPr>
      <w:r>
        <w:rPr>
          <w:rFonts w:ascii="Calibri" w:cs="Calibri" w:eastAsia="Calibri" w:hAnsi="Calibri"/>
          <w:color w:val="3B3B3B"/>
          <w:sz w:val="20"/>
          <w:szCs w:val="20"/>
        </w:rPr>
        <w:t xml:space="preserve">The hard case, and the client's second example. Procurement accepts extended payment terms in one clause; the Finance working-capital requirement is expressed in a different clause or in policy. Neither reviewer sees the other's clause. Both decisions are individually correct and the contract is incoherent. Same-clause comparison cannot detect this. Two complementary mechanisms:</w:t>
      </w:r>
    </w:p>
    <w:p>
      <w:pPr>
        <w:pStyle w:val="Heading3"/>
        <w:spacing w:after="100" w:before="200"/>
      </w:pPr>
      <w:r>
        <w:rPr>
          <w:rFonts w:ascii="Calibri" w:cs="Calibri" w:eastAsia="Calibri" w:hAnsi="Calibri"/>
          <w:b/>
          <w:bCs/>
          <w:color w:val="5B2A86"/>
          <w:sz w:val="21"/>
          <w:szCs w:val="21"/>
        </w:rPr>
        <w:t xml:space="preserve">C1 — declared dependency graph (deterministic, high precision, requires curation)</w:t>
      </w:r>
    </w:p>
    <w:p>
      <w:pPr>
        <w:spacing w:after="0" w:line="200"/>
      </w:pPr>
      <w:r>
        <w:rPr>
          <w:rFonts w:ascii="Consolas" w:cs="Consolas" w:eastAsia="Consolas" w:hAnsi="Consolas"/>
          <w:color w:val="3B3B3B"/>
          <w:sz w:val="15"/>
          <w:szCs w:val="15"/>
        </w:rPr>
        <w:t xml:space="preserve">clause_dependency</w:t>
      </w:r>
    </w:p>
    <w:p>
      <w:pPr>
        <w:spacing w:after="0" w:line="200"/>
      </w:pPr>
      <w:r>
        <w:rPr>
          <w:rFonts w:ascii="Consolas" w:cs="Consolas" w:eastAsia="Consolas" w:hAnsi="Consolas"/>
          <w:color w:val="3B3B3B"/>
          <w:sz w:val="15"/>
          <w:szCs w:val="15"/>
        </w:rPr>
        <w:t xml:space="preserve">  clause_type_a, clause_type_b</w:t>
      </w:r>
    </w:p>
    <w:p>
      <w:pPr>
        <w:spacing w:after="0" w:line="200"/>
      </w:pPr>
      <w:r>
        <w:rPr>
          <w:rFonts w:ascii="Consolas" w:cs="Consolas" w:eastAsia="Consolas" w:hAnsi="Consolas"/>
          <w:color w:val="3B3B3B"/>
          <w:sz w:val="15"/>
          <w:szCs w:val="15"/>
        </w:rPr>
        <w:t xml:space="preserve">  dependency_kind    ECONOMIC | RISK_ALLOCATION |</w:t>
      </w:r>
    </w:p>
    <w:p>
      <w:pPr>
        <w:spacing w:after="0" w:line="200"/>
      </w:pPr>
      <w:r>
        <w:rPr>
          <w:rFonts w:ascii="Consolas" w:cs="Consolas" w:eastAsia="Consolas" w:hAnsi="Consolas"/>
          <w:color w:val="3B3B3B"/>
          <w:sz w:val="15"/>
          <w:szCs w:val="15"/>
        </w:rPr>
        <w:t xml:space="preserve">                     TEMPORAL | REGULATORY</w:t>
      </w:r>
    </w:p>
    <w:p>
      <w:pPr>
        <w:spacing w:after="0" w:line="200"/>
      </w:pPr>
      <w:r>
        <w:rPr>
          <w:rFonts w:ascii="Consolas" w:cs="Consolas" w:eastAsia="Consolas" w:hAnsi="Consolas"/>
          <w:color w:val="3B3B3B"/>
          <w:sz w:val="15"/>
          <w:szCs w:val="15"/>
        </w:rPr>
        <w:t xml:space="preserve">  constraint_expr    evaluable where features are numeric</w:t>
      </w:r>
    </w:p>
    <w:p>
      <w:pPr>
        <w:spacing w:after="0" w:line="200"/>
      </w:pPr>
      <w:r>
        <w:rPr>
          <w:rFonts w:ascii="Consolas" w:cs="Consolas" w:eastAsia="Consolas" w:hAnsi="Consolas"/>
          <w:color w:val="3B3B3B"/>
          <w:sz w:val="15"/>
          <w:szCs w:val="15"/>
        </w:rPr>
        <w:t xml:space="preserve">  owning_functions   notified when the pair both change</w:t>
      </w:r>
    </w:p>
    <w:p>
      <w:pPr>
        <w:spacing w:after="0" w:line="200"/>
      </w:pPr>
      <w:r>
        <w:rPr>
          <w:rFonts w:ascii="Consolas" w:cs="Consolas" w:eastAsia="Consolas" w:hAnsi="Consolas"/>
          <w:color w:val="3B3B3B"/>
          <w:sz w:val="15"/>
          <w:szCs w:val="15"/>
        </w:rPr>
        <w:t xml:space="preserve">  rationale</w:t>
      </w:r>
    </w:p>
    <w:p>
      <w:pPr>
        <w:spacing w:after="120" w:before="140"/>
      </w:pPr>
      <w:r>
        <w:rPr>
          <w:rFonts w:ascii="Calibri" w:cs="Calibri" w:eastAsia="Calibri" w:hAnsi="Calibri"/>
          <w:color w:val="3B3B3B"/>
          <w:sz w:val="20"/>
          <w:szCs w:val="20"/>
        </w:rPr>
        <w:t xml:space="preserve">Where deviation features are numeric — payment days, liability cap, notice period, discount rate — the constraint is directly evaluable and detection is fully deterministic. Seed with 20 to 40 pairs from the client's known interaction rules. Curated dependencies are worth far more than model scanning: they are explainable, reproducible, and improve monotonically as Legal adds pairs after each real conflict.</w:t>
      </w:r>
    </w:p>
    <w:p>
      <w:pPr>
        <w:pStyle w:val="Heading3"/>
        <w:spacing w:after="100" w:before="200"/>
      </w:pPr>
      <w:r>
        <w:rPr>
          <w:rFonts w:ascii="Calibri" w:cs="Calibri" w:eastAsia="Calibri" w:hAnsi="Calibri"/>
          <w:b/>
          <w:bCs/>
          <w:color w:val="5B2A86"/>
          <w:sz w:val="21"/>
          <w:szCs w:val="21"/>
        </w:rPr>
        <w:t xml:space="preserve">C2 — model coherence scan (recall net, low precision, advisory only)</w:t>
      </w:r>
    </w:p>
    <w:p>
      <w:pPr>
        <w:spacing w:after="120" w:before="0"/>
      </w:pPr>
      <w:r>
        <w:rPr>
          <w:rFonts w:ascii="Calibri" w:cs="Calibri" w:eastAsia="Calibri" w:hAnsi="Calibri"/>
          <w:color w:val="3B3B3B"/>
          <w:sz w:val="20"/>
          <w:szCs w:val="20"/>
        </w:rPr>
        <w:t xml:space="preserve">At the barrier, before consolidation, one Gemini pass over the full set of accepted changes for the version, grounded on the playbook. Output is candidate inconsistencies with cited clause pairs, provenance-tagged. Effect is a review-suggested flag for the Purchasing Agent, not a conflict state. C2 raises questions; it does not block.</w:t>
      </w:r>
    </w:p>
    <w:p>
      <w:pPr>
        <w:spacing w:after="120" w:before="0"/>
      </w:pPr>
      <w:r>
        <w:rPr>
          <w:rFonts w:ascii="Calibri" w:cs="Calibri" w:eastAsia="Calibri" w:hAnsi="Calibri"/>
          <w:color w:val="3B3B3B"/>
          <w:sz w:val="20"/>
          <w:szCs w:val="20"/>
        </w:rPr>
        <w:t xml:space="preserve">Every C2 finding a human confirms as real becomes a new dependency rule, converting a probabilistic catch into a deterministic rule for every future contract. That feedback loop is the design's main asset — precision improves without retraining anything.</w:t>
      </w:r>
    </w:p>
    <w:p>
      <w:pPr>
        <w:spacing w:after="120" w:before="0"/>
      </w:pPr>
      <w:r>
        <w:rPr>
          <w:rFonts w:ascii="Calibri" w:cs="Calibri" w:eastAsia="Calibri" w:hAnsi="Calibri"/>
          <w:i/>
          <w:iCs/>
          <w:color w:val="3B3B3B"/>
          <w:sz w:val="20"/>
          <w:szCs w:val="20"/>
        </w:rPr>
        <w:t xml:space="preserve">Honest limitation to state to the client: C1 catches only what has been declared and C2 has unquantified recall. Some Class C conflicts will escape both. Human review by function specialists remains the backstop, and the proof of concept should measure C2 precision on real conflicts rather than assert a detection rate.</w:t>
      </w:r>
    </w:p>
    <w:p>
      <w:pPr>
        <w:pStyle w:val="Heading2"/>
        <w:spacing w:after="120" w:before="260"/>
      </w:pPr>
      <w:r>
        <w:rPr>
          <w:rFonts w:ascii="Calibri" w:cs="Calibri" w:eastAsia="Calibri" w:hAnsi="Calibri"/>
          <w:b/>
          <w:bCs/>
          <w:color w:val="3B3B3B"/>
          <w:sz w:val="24"/>
          <w:szCs w:val="24"/>
        </w:rPr>
        <w:t xml:space="preserve">9.6 Classes D, E and 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00"/>
        <w:gridCol w:w="3600"/>
        <w:gridCol w:w="4760"/>
      </w:tblGrid>
      <w:tr>
        <w:trPr>
          <w:tblHeader/>
        </w:trPr>
        <w:tc>
          <w:tcPr>
            <w:tcW w:type="dxa" w:w="10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Class</w:t>
            </w:r>
          </w:p>
        </w:tc>
        <w:tc>
          <w:tcPr>
            <w:tcW w:type="dxa" w:w="3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Rule</w:t>
            </w:r>
          </w:p>
        </w:tc>
        <w:tc>
          <w:tcPr>
            <w:tcW w:type="dxa" w:w="4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Outcome</w:t>
            </w:r>
          </w:p>
        </w:tc>
      </w:tr>
      <w:tr>
        <w:tc>
          <w:tcPr>
            <w:tcW w:type="dxa" w:w="1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w:t>
            </w:r>
          </w:p>
        </w:tc>
        <w:tc>
          <w:tcPr>
            <w:tcW w:type="dxa" w:w="3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approves a clause whose deviation severity is prohibited — the playbook flags the position as non-concedable</w:t>
            </w:r>
          </w:p>
        </w:tc>
        <w:tc>
          <w:tcPr>
            <w:tcW w:type="dxa" w:w="4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escalate to the policy owner. A reviewer cannot approve past a hard constraint on their own authority.</w:t>
            </w:r>
          </w:p>
        </w:tc>
      </w:tr>
      <w:tr>
        <w:tc>
          <w:tcPr>
            <w:tcW w:type="dxa" w:w="1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w:t>
            </w:r>
          </w:p>
        </w:tc>
        <w:tc>
          <w:tcPr>
            <w:tcW w:type="dxa" w:w="3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Current decision polarity opposes a carried-forward decision on the same clause identity from an earlier version, with no intervening text change</w:t>
            </w:r>
          </w:p>
        </w:tc>
        <w:tc>
          <w:tcPr>
            <w:tcW w:type="dxa" w:w="4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Someone reversed position without the language changing — usually a reviewer handover, occasionally a genuine reconsideration. Always worth a human look.</w:t>
            </w:r>
          </w:p>
        </w:tc>
      </w:tr>
      <w:tr>
        <w:tc>
          <w:tcPr>
            <w:tcW w:type="dxa" w:w="1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w:t>
            </w:r>
          </w:p>
        </w:tc>
        <w:tc>
          <w:tcPr>
            <w:tcW w:type="dxa" w:w="3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function is not in the primary, consulted or veto set for that clause type</w:t>
            </w:r>
          </w:p>
        </w:tc>
        <w:tc>
          <w:tcPr>
            <w:tcW w:type="dxa" w:w="4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REJECT AT THE API, not at the barrier. This is an authorisation failure, not a conflict. Fail closed with a 403 and log it.</w:t>
            </w:r>
          </w:p>
        </w:tc>
      </w:tr>
    </w:tbl>
    <w:p>
      <w:pPr>
        <w:spacing w:after="120" w:before="100"/>
      </w:pPr>
      <w:r>
        <w:rPr>
          <w:rFonts w:ascii="Calibri" w:cs="Calibri" w:eastAsia="Calibri" w:hAnsi="Calibri"/>
          <w:color w:val="3B3B3B"/>
          <w:sz w:val="20"/>
          <w:szCs w:val="20"/>
        </w:rPr>
        <w:t xml:space="preserve">Class F is a security control disguised as a conflict class and belongs at the write boundary.</w:t>
      </w:r>
    </w:p>
    <w:p>
      <w:pPr>
        <w:pStyle w:val="Heading2"/>
        <w:spacing w:after="120" w:before="260"/>
      </w:pPr>
      <w:r>
        <w:rPr>
          <w:rFonts w:ascii="Calibri" w:cs="Calibri" w:eastAsia="Calibri" w:hAnsi="Calibri"/>
          <w:b/>
          <w:bCs/>
          <w:color w:val="3B3B3B"/>
          <w:sz w:val="24"/>
          <w:szCs w:val="24"/>
        </w:rPr>
        <w:t xml:space="preserve">9.7 Detection mechanism coverage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400"/>
        <w:gridCol w:w="5560"/>
      </w:tblGrid>
      <w:tr>
        <w:trPr>
          <w:tblHeader/>
        </w:trPr>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Mechanism</w:t>
            </w:r>
          </w:p>
        </w:tc>
        <w:tc>
          <w:tcPr>
            <w:tcW w:type="dxa" w:w="1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Classes</w:t>
            </w:r>
          </w:p>
        </w:tc>
        <w:tc>
          <w:tcPr>
            <w:tcW w:type="dxa" w:w="5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Role</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rules</w:t>
            </w:r>
          </w:p>
        </w:tc>
        <w:tc>
          <w:tcPr>
            <w:tcW w:type="dxa" w:w="1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B (detect), C1, D, E, F</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Primary. Versioned, reproducible, auditable.</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Workflow metadata</w:t>
            </w:r>
          </w:p>
        </w:tc>
        <w:tc>
          <w:tcPr>
            <w:tcW w:type="dxa" w:w="1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B, E</w:t>
            </w:r>
          </w:p>
        </w:tc>
        <w:tc>
          <w:tcPr>
            <w:tcW w:type="dxa" w:w="5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Task status, decision timestamps, supersession chains, cycle number. Enables which-decision-is-current and cross-cycle comparison.</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ownership</w:t>
            </w:r>
          </w:p>
        </w:tc>
        <w:tc>
          <w:tcPr>
            <w:tcW w:type="dxa" w:w="1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F</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Converts disagreements into binding outcomes versus genuine conflicts. Highest leverage on escalation volume.</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Structured reviewer decisions</w:t>
            </w:r>
          </w:p>
        </w:tc>
        <w:tc>
          <w:tcPr>
            <w:tcW w:type="dxa" w:w="1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B, D, E</w:t>
            </w:r>
          </w:p>
        </w:tc>
        <w:tc>
          <w:tcPr>
            <w:tcW w:type="dxa" w:w="5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polarity and decision enumerations are what make deterministic detection possible. Free-text decisions would force everything to the model.</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Model semantic comparison</w:t>
            </w:r>
          </w:p>
        </w:tc>
        <w:tc>
          <w:tcPr>
            <w:tcW w:type="dxa" w:w="1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 (characterise), C2 (candidate detection)</w:t>
            </w:r>
          </w:p>
        </w:tc>
        <w:tc>
          <w:tcPr>
            <w:tcW w:type="dxa" w:w="5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ADVISORY ONLY. Never transitions state, never clears a gate, never selects between reviewer positions.</w:t>
            </w:r>
          </w:p>
        </w:tc>
      </w:tr>
    </w:tbl>
    <w:p>
      <w:pPr>
        <w:spacing w:after="120" w:before="100"/>
      </w:pPr>
      <w:r>
        <w:rPr>
          <w:rFonts w:ascii="Calibri" w:cs="Calibri" w:eastAsia="Calibri" w:hAnsi="Calibri"/>
          <w:color w:val="3B3B3B"/>
          <w:sz w:val="20"/>
          <w:szCs w:val="20"/>
        </w:rPr>
        <w:t xml:space="preserve">Structured decision capture — a Stage 4 schema choice — is what keeps the model out of the detection path for five of six classes. That is not an accident of modelling; it is the control.</w:t>
      </w:r>
    </w:p>
    <w:p>
      <w:pPr>
        <w:pStyle w:val="Heading2"/>
        <w:spacing w:after="120" w:before="260"/>
      </w:pPr>
      <w:r>
        <w:rPr>
          <w:rFonts w:ascii="Calibri" w:cs="Calibri" w:eastAsia="Calibri" w:hAnsi="Calibri"/>
          <w:b/>
          <w:bCs/>
          <w:color w:val="3B3B3B"/>
          <w:sz w:val="24"/>
          <w:szCs w:val="24"/>
        </w:rPr>
        <w:t xml:space="preserve">9.8 Escalation mechanism</w:t>
      </w:r>
    </w:p>
    <w:p>
      <w:pPr>
        <w:spacing w:after="120" w:before="0"/>
      </w:pPr>
      <w:r>
        <w:rPr>
          <w:rFonts w:ascii="Calibri" w:cs="Calibri" w:eastAsia="Calibri" w:hAnsi="Calibri"/>
          <w:color w:val="3B3B3B"/>
          <w:sz w:val="20"/>
          <w:szCs w:val="20"/>
        </w:rPr>
        <w:t xml:space="preserve">Timing: detect on decision write, escalate immediately, block at the barrier. Escalation takes days; waiting for the barrier to discover conflicts wastes the negotiation window. Resolver selection is deterministic — the tie-break function, then a named escalation ladder.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800"/>
        <w:gridCol w:w="2600"/>
        <w:gridCol w:w="3400"/>
        <w:gridCol w:w="2560"/>
      </w:tblGrid>
      <w:tr>
        <w:trPr>
          <w:tblHeader/>
        </w:trPr>
        <w:tc>
          <w:tcPr>
            <w:tcW w:type="dxa" w:w="8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Tier</w:t>
            </w:r>
          </w:p>
        </w:tc>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Resolver</w:t>
            </w:r>
          </w:p>
        </w:tc>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Scope</w:t>
            </w:r>
          </w:p>
        </w:tc>
        <w:tc>
          <w:tcPr>
            <w:tcW w:type="dxa" w:w="2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Timebox</w:t>
            </w:r>
          </w:p>
        </w:tc>
      </w:tr>
      <w:tr>
        <w:tc>
          <w:tcPr>
            <w:tcW w:type="dxa" w:w="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Tie-break function designate</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 A and B within one clause</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 business days</w:t>
            </w:r>
          </w:p>
        </w:tc>
      </w:tr>
      <w:tr>
        <w:tc>
          <w:tcPr>
            <w:tcW w:type="dxa" w:w="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Function leads, joint</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 A between two veto holders; Class C economic</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 business days</w:t>
            </w:r>
          </w:p>
        </w:tc>
      </w:tr>
      <w:tr>
        <w:tc>
          <w:tcPr>
            <w:tcW w:type="dxa" w:w="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Contract owner / category manager</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Commercial trade-offs across clauses</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 business days</w:t>
            </w:r>
          </w:p>
        </w:tc>
      </w:tr>
      <w:tr>
        <w:tc>
          <w:tcPr>
            <w:tcW w:type="dxa" w:w="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Named executive per clause domain (CLO, CFO, CISO)</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Policy exceptions, prohibited-position overrides</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Escalate at day 5, no auto-expiry</w:t>
            </w:r>
          </w:p>
        </w:tc>
      </w:tr>
    </w:tbl>
    <w:p>
      <w:pPr>
        <w:spacing w:after="120" w:before="100"/>
      </w:pPr>
      <w:r>
        <w:rPr>
          <w:rFonts w:ascii="Calibri" w:cs="Calibri" w:eastAsia="Calibri" w:hAnsi="Calibri"/>
          <w:b/>
          <w:bCs/>
          <w:color w:val="3B3B3B"/>
          <w:sz w:val="20"/>
          <w:szCs w:val="20"/>
        </w:rPr>
        <w:t xml:space="preserve">Every ladder must terminate in a named individual with authority to decide. No function may be its own last resort. A ladder that loops is a deadlock.</w:t>
      </w:r>
    </w:p>
    <w:p>
      <w:pPr>
        <w:spacing w:after="120" w:before="0"/>
      </w:pPr>
      <w:r>
        <w:rPr>
          <w:rFonts w:ascii="Calibri" w:cs="Calibri" w:eastAsia="Calibri" w:hAnsi="Calibri"/>
          <w:color w:val="3B3B3B"/>
          <w:sz w:val="20"/>
          <w:szCs w:val="20"/>
        </w:rPr>
        <w:t xml:space="preserve">Resolution is a first-class decision. The resolution decision records the authenticated resolver and the language that prevails, which may be a third option. Both original reviewer positions remain linked to the conflict permanently — the resolution sits above them in the record, not instead of them. The requirement to preserve both reviewer positions is therefore satisfied structurally rather than procedurally. Escalation timeouts never auto-resolve: a breached resolver SLA promotes to the next tier and notifies the Purchasing Agent.</w:t>
      </w:r>
    </w:p>
    <w:p>
      <w:pPr>
        <w:pStyle w:val="Heading2"/>
        <w:spacing w:after="120" w:before="260"/>
      </w:pPr>
      <w:r>
        <w:rPr>
          <w:rFonts w:ascii="Calibri" w:cs="Calibri" w:eastAsia="Calibri" w:hAnsi="Calibri"/>
          <w:b/>
          <w:bCs/>
          <w:color w:val="3B3B3B"/>
          <w:sz w:val="24"/>
          <w:szCs w:val="24"/>
        </w:rPr>
        <w:t xml:space="preserve">9.9 Enforcing the prohibition on silent model resolution — four independent controls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2500"/>
        <w:gridCol w:w="6160"/>
      </w:tblGrid>
      <w:tr>
        <w:trPr>
          <w:tblHeader/>
        </w:trPr>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2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Control</w:t>
            </w:r>
          </w:p>
        </w:tc>
        <w:tc>
          <w:tcPr>
            <w:tcW w:type="dxa" w:w="6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Mechanism</w:t>
            </w:r>
          </w:p>
        </w:tc>
      </w:tr>
      <w:tr>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Schema</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conflict resolution reference is a foreign key to the decision table; every decision row carries a non-null reviewer identity, and service accounts are excluded from that column by check constraint. A conflict cannot be marked resolved without a human principal on the record.</w:t>
            </w:r>
          </w:p>
        </w:tc>
      </w:tr>
      <w:tr>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Authorisation</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service accounts hold no write grant on the decision, conflict, task status or approval transition tables. Enforced by IAM and database role, not by application logic.</w:t>
            </w:r>
          </w:p>
        </w:tc>
      </w:tr>
      <w:tr>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State machine</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conductor's completion predicate counts conflicts and refuses to advance. The transition out of the conflict state has exactly one legal trigger: a decision of type resolution.</w:t>
            </w:r>
          </w:p>
        </w:tc>
      </w:tr>
      <w:tr>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Provenance</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Every model-originated field carries model provenance and renders with visible AI attribution. An auditor can query for any state change traceable to a non-human principal and receive zero rows.</w:t>
            </w:r>
          </w:p>
        </w:tc>
      </w:tr>
    </w:tbl>
    <w:p>
      <w:pPr>
        <w:spacing w:after="120" w:before="100"/>
      </w:pPr>
      <w:r>
        <w:rPr>
          <w:rFonts w:ascii="Calibri" w:cs="Calibri" w:eastAsia="Calibri" w:hAnsi="Calibri"/>
          <w:b/>
          <w:bCs/>
          <w:color w:val="3B3B3B"/>
          <w:sz w:val="20"/>
          <w:szCs w:val="20"/>
        </w:rPr>
        <w:t xml:space="preserve">The strongest of these is control 2. Prompt-level instructions and application checks can be bypassed by a code change; a missing IAM grant cannot be bypassed by a prompt.</w:t>
      </w:r>
    </w:p>
    <w:p>
      <w:pPr>
        <w:pStyle w:val="Heading2"/>
        <w:spacing w:after="120" w:before="260"/>
      </w:pPr>
      <w:r>
        <w:rPr>
          <w:rFonts w:ascii="Calibri" w:cs="Calibri" w:eastAsia="Calibri" w:hAnsi="Calibri"/>
          <w:b/>
          <w:bCs/>
          <w:color w:val="3B3B3B"/>
          <w:sz w:val="24"/>
          <w:szCs w:val="24"/>
        </w:rPr>
        <w:t xml:space="preserve">9.10 False-positive management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6460"/>
      </w:tblGrid>
      <w:tr>
        <w:trPr>
          <w:tblHeader/>
        </w:trPr>
        <w:tc>
          <w:tcPr>
            <w:tcW w:type="dxa" w:w="2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Source</w:t>
            </w:r>
          </w:p>
        </w:tc>
        <w:tc>
          <w:tcPr>
            <w:tcW w:type="dxa" w:w="64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Control</w:t>
            </w:r>
          </w:p>
        </w:tc>
      </w:tr>
      <w:tr>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 A over-flagging</w:t>
            </w:r>
          </w:p>
        </w:tc>
        <w:tc>
          <w:tcPr>
            <w:tcW w:type="dxa" w:w="6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ownership model converts advisory dissent to a recorded note, not an escalation</w:t>
            </w:r>
          </w:p>
        </w:tc>
      </w:tr>
      <w:tr>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 B equivalent wording</w:t>
            </w:r>
          </w:p>
        </w:tc>
        <w:tc>
          <w:tcPr>
            <w:tcW w:type="dxa" w:w="6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Model equivalence assessment reduces resolver reading time; the resolver still decides</w:t>
            </w:r>
          </w:p>
        </w:tc>
      </w:tr>
      <w:tr>
        <w:tc>
          <w:tcPr>
            <w:tcW w:type="dxa" w:w="2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 C2 noise</w:t>
            </w:r>
          </w:p>
        </w:tc>
        <w:tc>
          <w:tcPr>
            <w:tcW w:type="dxa" w:w="6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Advisory review-suggested flag only; never blocks; confirmed findings graduate to deterministic rules</w:t>
            </w:r>
          </w:p>
        </w:tc>
      </w:tr>
      <w:tr>
        <w:tc>
          <w:tcPr>
            <w:tcW w:type="dxa" w:w="2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Volume</w:t>
            </w:r>
          </w:p>
        </w:tc>
        <w:tc>
          <w:tcPr>
            <w:tcW w:type="dxa" w:w="6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Digest per Purchasing Agent per contract per cycle, not per conflict</w:t>
            </w:r>
          </w:p>
        </w:tc>
      </w:tr>
    </w:tbl>
    <w:p>
      <w:pPr>
        <w:spacing w:after="120" w:before="100"/>
      </w:pPr>
      <w:r>
        <w:rPr>
          <w:rFonts w:ascii="Calibri" w:cs="Calibri" w:eastAsia="Calibri" w:hAnsi="Calibri"/>
          <w:color w:val="3B3B3B"/>
          <w:sz w:val="20"/>
          <w:szCs w:val="20"/>
        </w:rPr>
        <w:t xml:space="preserve">Proof-of-concept instrumentation: escalation rate per contract, resolver time to decision, C2 precision (confirmed over flagged), and the count of deterministic rules added from confirmed C2 findings. The last metric is the one that demonstrates the system learning.</w:t>
      </w:r>
    </w:p>
    <w:p>
      <w:pPr>
        <w:pStyle w:val="Heading2"/>
        <w:spacing w:after="120" w:before="260"/>
      </w:pPr>
      <w:r>
        <w:rPr>
          <w:rFonts w:ascii="Calibri" w:cs="Calibri" w:eastAsia="Calibri" w:hAnsi="Calibri"/>
          <w:b/>
          <w:bCs/>
          <w:color w:val="3B3B3B"/>
          <w:sz w:val="24"/>
          <w:szCs w:val="24"/>
        </w:rPr>
        <w:t xml:space="preserve">9.11 The client's three examples, resolved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900"/>
        <w:gridCol w:w="3400"/>
        <w:gridCol w:w="2460"/>
      </w:tblGrid>
      <w:tr>
        <w:trPr>
          <w:tblHeader/>
        </w:trPr>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Example</w:t>
            </w:r>
          </w:p>
        </w:tc>
        <w:tc>
          <w:tcPr>
            <w:tcW w:type="dxa" w:w="9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Class</w:t>
            </w:r>
          </w:p>
        </w:tc>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Detection</w:t>
            </w:r>
          </w:p>
        </w:tc>
        <w:tc>
          <w:tcPr>
            <w:tcW w:type="dxa" w:w="24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Escalation</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approves, Information Security rejects</w:t>
            </w:r>
          </w:p>
        </w:tc>
        <w:tc>
          <w:tcPr>
            <w:tcW w:type="dxa" w:w="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polarity plus authority check. If Information Security holds veto it is a binding rejection with no escalation; if both are dispositive it is a conflict</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Tier 1 or 2 per the authority table</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 commercial change versus Finance requirement</w:t>
            </w:r>
          </w:p>
        </w:tc>
        <w:tc>
          <w:tcPr>
            <w:tcW w:type="dxa" w:w="9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dependency rule if the pair is declared and features are numeric; otherwise advisory coherence scan at the barrier</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Tier 2 (joint function leads) or Tier 3</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Two reviewers, different revisions to the same clause</w:t>
            </w:r>
          </w:p>
        </w:tc>
        <w:tc>
          <w:tcPr>
            <w:tcW w:type="dxa" w:w="9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 distinct normalised proposed-text hashes. Model characterises materiality but does not resolve</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Tier 1</w:t>
            </w:r>
          </w:p>
        </w:tc>
      </w:tr>
    </w:tbl>
    <w:p>
      <w:pPr>
        <w:spacing w:after="120" w:before="100"/>
      </w:pPr>
      <w:r>
        <w:rPr>
          <w:rFonts w:ascii="Calibri" w:cs="Calibri" w:eastAsia="Calibri" w:hAnsi="Calibri"/>
          <w:b/>
          <w:bCs/>
          <w:color w:val="3B3B3B"/>
          <w:sz w:val="20"/>
          <w:szCs w:val="20"/>
        </w:rPr>
        <w:t xml:space="preserve">Two of three are deterministic. One needs a curated dependency graph with a model recall net behind it. None permits the model to decide.</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10. Stage 8 — Security and Governance</w:t>
      </w:r>
    </w:p>
    <w:p>
      <w:pPr>
        <w:pStyle w:val="Heading2"/>
        <w:spacing w:after="120" w:before="260"/>
      </w:pPr>
      <w:r>
        <w:rPr>
          <w:rFonts w:ascii="Calibri" w:cs="Calibri" w:eastAsia="Calibri" w:hAnsi="Calibri"/>
          <w:b/>
          <w:bCs/>
          <w:color w:val="3B3B3B"/>
          <w:sz w:val="24"/>
          <w:szCs w:val="24"/>
        </w:rPr>
        <w:t xml:space="preserve">10.1 Two boundaries</w:t>
      </w:r>
    </w:p>
    <w:p>
      <w:pPr>
        <w:spacing w:after="120" w:before="0"/>
      </w:pPr>
      <w:r>
        <w:rPr>
          <w:rFonts w:ascii="Calibri" w:cs="Calibri" w:eastAsia="Calibri" w:hAnsi="Calibri"/>
          <w:color w:val="3B3B3B"/>
          <w:sz w:val="20"/>
          <w:szCs w:val="20"/>
        </w:rPr>
        <w:t xml:space="preserve">Google secures the platform; the client secures the process. Gemini Enterprise provides strong controls over access to the app, the data stores and the agents. It provides no controls over who may see a specific clause of a specific contract. Every requirement that is clause-scoped or decision-scoped falls on the customer side of the line.</w:t>
      </w:r>
    </w:p>
    <w:p>
      <w:pPr>
        <w:spacing w:after="120" w:before="0"/>
      </w:pPr>
      <w:r>
        <w:rPr>
          <w:rFonts w:ascii="Calibri" w:cs="Calibri" w:eastAsia="Calibri" w:hAnsi="Calibri"/>
          <w:color w:val="3B3B3B"/>
          <w:sz w:val="20"/>
          <w:szCs w:val="20"/>
        </w:rPr>
        <w:t xml:space="preserve">Second, and more consequentially: Gemini Enterprise's core value proposition is in direct tension with supplier confidentiality. GEP exists to make enterprise content broadly discoverable through blended, ACL-aware search. Supplier contracts are the opposite — need to know, per counterparty, often contractually restricted. Reconciling those is a design constraint, not a configuration setting.</w:t>
      </w:r>
    </w:p>
    <w:p>
      <w:pPr>
        <w:pStyle w:val="Heading2"/>
        <w:spacing w:after="120" w:before="260"/>
      </w:pPr>
      <w:r>
        <w:rPr>
          <w:rFonts w:ascii="Calibri" w:cs="Calibri" w:eastAsia="Calibri" w:hAnsi="Calibri"/>
          <w:b/>
          <w:bCs/>
          <w:color w:val="3B3B3B"/>
          <w:sz w:val="24"/>
          <w:szCs w:val="24"/>
        </w:rPr>
        <w:t xml:space="preserve">10.2 Requirement assessment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1700"/>
        <w:gridCol w:w="2500"/>
        <w:gridCol w:w="2200"/>
        <w:gridCol w:w="24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w:t>
            </w:r>
          </w:p>
        </w:tc>
        <w:tc>
          <w:tcPr>
            <w:tcW w:type="dxa" w:w="1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Requirement</w:t>
            </w:r>
          </w:p>
        </w:tc>
        <w:tc>
          <w:tcPr>
            <w:tcW w:type="dxa" w:w="2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GEP / Google capability</w:t>
            </w:r>
          </w:p>
        </w:tc>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Gap</w:t>
            </w:r>
          </w:p>
        </w:tc>
        <w:tc>
          <w:tcPr>
            <w:tcW w:type="dxa" w:w="24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4"/>
                <w:szCs w:val="14"/>
              </w:rPr>
              <w:t xml:space="preserve">Required control</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Supplier contract confidentiality</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Data store ACLs inherited from source; VPC Service Controls; CMEK with external key manager and HSM support; Access Transparency</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Document-level only. No per-counterparty isolation model. Indexing all supplier contracts into one searchable corpus is the default and is often wrong</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Per-counterparty ACL groups on source; separate data stores by sensitivity tier; confidentiality clause review before indexing</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2</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Reviewer authorisation</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IAM roles, app-level access controls, Workforce Identity Federation</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authorises access to the app. It cannot authorise this reviewer for this task</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Decision API validates against task reviewer function and the clause authority table. Fail closed with 403</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3</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Clause-level access</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The most important gap. A contract is one document to GEP; clause 14 cannot be exposed to Tax while clause 3 is hidden</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Database row-level security keyed on reviewer function; packet API filters server-side, never in the interface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4</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Role-based access control</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GEP IAM roles for admin, user and agent creator; custom roles; agent sharing with optional admin approval</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Platform roles only; no business roles such as Purchasing Agent, reviewer, resolver, category manager</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Application role model mapped from identity groups to database roles; the clause authority table is the authorisation source of truth</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5</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Document isolation</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Separate apps and data stores; VPC-SC perimeter; organisation policy constraints on allowed data sources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native tenancy per counterparty or per deal</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Separate buckets and data stores per sensitivity tier; row-level security; never one enterprise-wide contract data store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6</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Enterprise identity</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Third-party IdP configuration, Workforce Identity Federation, external identity mapping for custom data sources, Agent Identity (SPIFFE), Agent Gateway</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Solid. Google recommends Workforce Identity Federation specifically for third-party connectors</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Federate to client IdP; SCIM-sync groups; enforce MFA and conditional access at the IdP</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7</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Data retention</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Storage retention policy and bucket lock; BigQuery partition expiry; documented zero-data-retention conditions per Agent Platform product; data store purge</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Retention of platform artefacts is configurable; retention of domain records is entirely customer-owned</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Retention schedule per artefact class; bucket lock on executed versions; legal hold mechanism</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8</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Model data handling</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Training Restriction in the Service Specific Terms — Google will not use customer data to train or fine-tune models without permission, covering all managed models on Agent Platform including pre-GA. Data encrypted in transit and at rest by default</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Edition-dependent. Lower-tier editions carry different terms. Third-party models via Model Garden carry their own terms</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Pin to Google-managed Gemini models; block third-party model routing by organisation policy; obtain the executed data processing addendum and Service Specific Terms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9</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Audit logs</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Cloud Audit Logs, usage audit logs, connector error logs via Cloud Logging</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Records API calls, not business decisions. Who approved a given clause is not in any Google log</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BigQuery append-only domain event stream; write-once, partition expiry, IAM separate from the transactional database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10</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Prompt and response logging</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Observability settings, traces and spans, metrics, Model Armor</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Two-edged. Needed for evaluation and audit — and the prompts contain supplier commercial terms and clause text</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Explicit decision on trace retention; scrub or tokenise before logging where feasible; classify trace storage at the same level as the contracts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11</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Reviewer action history</w:t>
            </w:r>
          </w:p>
        </w:tc>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NONE</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 task, decision or comment object exists in GEP</w:t>
            </w:r>
          </w:p>
        </w:tc>
        <w:tc>
          <w:tcPr>
            <w:tcW w:type="dxa" w:w="2460"/>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Append-only decision, comment and approval transition tables. Supersede, never update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12</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PII and sensitive commercial information</w:t>
            </w:r>
          </w:p>
        </w:tc>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Sensitive Data Protection as a separate service; Model Armor for prompt and response inspection</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Not automatic. Nothing scans a contract for personal data before it enters an index or a prompt</w:t>
            </w:r>
          </w:p>
        </w:tc>
        <w:tc>
          <w:tcPr>
            <w:tcW w:type="dxa" w:w="24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4"/>
                <w:szCs w:val="14"/>
              </w:rPr>
              <w:t xml:space="preserve">DLP inspection at intake; classification tags on the contract; de-identification before any non-production use</w:t>
            </w:r>
          </w:p>
        </w:tc>
      </w:tr>
    </w:tbl>
    <w:p>
      <w:pPr>
        <w:spacing w:after="120" w:before="100"/>
      </w:pPr>
      <w:r>
        <w:rPr>
          <w:rFonts w:ascii="Calibri" w:cs="Calibri" w:eastAsia="Calibri" w:hAnsi="Calibri"/>
          <w:b/>
          <w:bCs/>
          <w:color w:val="3B3B3B"/>
          <w:sz w:val="20"/>
          <w:szCs w:val="20"/>
        </w:rPr>
        <w:t xml:space="preserve">Four of twelve are substantially met natively. Eight require controls that must be built.</w:t>
      </w:r>
    </w:p>
    <w:p>
      <w:pPr>
        <w:pStyle w:val="Heading2"/>
        <w:spacing w:after="120" w:before="260"/>
      </w:pPr>
      <w:r>
        <w:rPr>
          <w:rFonts w:ascii="Calibri" w:cs="Calibri" w:eastAsia="Calibri" w:hAnsi="Calibri"/>
          <w:b/>
          <w:bCs/>
          <w:color w:val="3B3B3B"/>
          <w:sz w:val="24"/>
          <w:szCs w:val="24"/>
        </w:rPr>
        <w:t xml:space="preserve">10.3 Material limitations for an enterprise procurement environment</w:t>
      </w:r>
    </w:p>
    <w:p>
      <w:pPr>
        <w:spacing w:after="120" w:before="0"/>
      </w:pPr>
      <w:r>
        <w:rPr>
          <w:rFonts w:ascii="Calibri" w:cs="Calibri" w:eastAsia="Calibri" w:hAnsi="Calibri"/>
          <w:color w:val="3B3B3B"/>
          <w:sz w:val="20"/>
          <w:szCs w:val="20"/>
        </w:rPr>
        <w:t xml:space="preserve">These are the items to place in front of the client's Chief Information Security Officer and Chief Procurement Officer, in this order.</w:t>
      </w:r>
    </w:p>
    <w:p>
      <w:pPr>
        <w:pStyle w:val="Heading3"/>
        <w:spacing w:after="100" w:before="200"/>
      </w:pPr>
      <w:r>
        <w:rPr>
          <w:rFonts w:ascii="Calibri" w:cs="Calibri" w:eastAsia="Calibri" w:hAnsi="Calibri"/>
          <w:b/>
          <w:bCs/>
          <w:color w:val="5B2A86"/>
          <w:sz w:val="21"/>
          <w:szCs w:val="21"/>
        </w:rPr>
        <w:t xml:space="preserve">1. Supplier confidentiality obligations may prohibit enterprise-wide indexing</w:t>
      </w:r>
    </w:p>
    <w:p>
      <w:pPr>
        <w:spacing w:after="120" w:before="0"/>
      </w:pPr>
      <w:r>
        <w:rPr>
          <w:rFonts w:ascii="Calibri" w:cs="Calibri" w:eastAsia="Calibri" w:hAnsi="Calibri"/>
          <w:color w:val="3B3B3B"/>
          <w:sz w:val="20"/>
          <w:szCs w:val="20"/>
        </w:rPr>
        <w:t xml:space="preserve">Most supplier non-disclosure agreements and master agreement confidentiality clauses restrict disclosure to personnel with a need to know. GEP's default posture — index content into a data store and make it discoverable through blended search to anyone with app access — can breach that. Concretely, a Purchasing Agent in a different category should not be able to ask the assistant what pricing was agreed with a given supplier and receive a grounded, cited answer.</w:t>
      </w:r>
    </w:p>
    <w:p>
      <w:pPr>
        <w:spacing w:after="120" w:before="0"/>
      </w:pPr>
      <w:r>
        <w:rPr>
          <w:rFonts w:ascii="Calibri" w:cs="Calibri" w:eastAsia="Calibri" w:hAnsi="Calibri"/>
          <w:color w:val="3B3B3B"/>
          <w:sz w:val="20"/>
          <w:szCs w:val="20"/>
        </w:rPr>
        <w:t xml:space="preserve">This is a legal exposure rather than a technical one and it is the limitation most likely to be missed. Mitigations: per-counterparty ACL groups on the source system, separate data stores by sensitivity tier, and a documented review of the client's standard confidentiality language before any corpus is indexed. Procurement Legal must sign off on the indexing scope.</w:t>
      </w:r>
    </w:p>
    <w:p>
      <w:pPr>
        <w:pStyle w:val="Heading3"/>
        <w:spacing w:after="100" w:before="200"/>
      </w:pPr>
      <w:r>
        <w:rPr>
          <w:rFonts w:ascii="Calibri" w:cs="Calibri" w:eastAsia="Calibri" w:hAnsi="Calibri"/>
          <w:b/>
          <w:bCs/>
          <w:color w:val="5B2A86"/>
          <w:sz w:val="21"/>
          <w:szCs w:val="21"/>
        </w:rPr>
        <w:t xml:space="preserve">2. Edition selection is a security control</w:t>
      </w:r>
    </w:p>
    <w:p>
      <w:pPr>
        <w:spacing w:after="120" w:before="0"/>
      </w:pPr>
      <w:r>
        <w:rPr>
          <w:rFonts w:ascii="Calibri" w:cs="Calibri" w:eastAsia="Calibri" w:hAnsi="Calibri"/>
          <w:color w:val="3B3B3B"/>
          <w:sz w:val="20"/>
          <w:szCs w:val="20"/>
        </w:rPr>
        <w:t xml:space="preserve">The training restriction and data processing addendum coverage that security leaders assume apply by default are tier-dependent. Lower-tier editions have materially different terms regarding use of submitted content to improve services. Verify the actual subscription tier and obtain the executed Service Specific Terms; do not rely on marketing pages or on an assumption inherited from a Workspace agreement. If a pilot is provisioned on a trial or lower tier, the data-handling posture differs from the production intent.</w:t>
      </w:r>
    </w:p>
    <w:p>
      <w:pPr>
        <w:pStyle w:val="Heading3"/>
        <w:spacing w:after="100" w:before="200"/>
      </w:pPr>
      <w:r>
        <w:rPr>
          <w:rFonts w:ascii="Calibri" w:cs="Calibri" w:eastAsia="Calibri" w:hAnsi="Calibri"/>
          <w:b/>
          <w:bCs/>
          <w:color w:val="5B2A86"/>
          <w:sz w:val="21"/>
          <w:szCs w:val="21"/>
        </w:rPr>
        <w:t xml:space="preserve">3. Clause-level access control does not exist and cannot be approximated in GEP</w:t>
      </w:r>
    </w:p>
    <w:p>
      <w:pPr>
        <w:spacing w:after="120" w:before="0"/>
      </w:pPr>
      <w:r>
        <w:rPr>
          <w:rFonts w:ascii="Calibri" w:cs="Calibri" w:eastAsia="Calibri" w:hAnsi="Calibri"/>
          <w:color w:val="3B3B3B"/>
          <w:sz w:val="20"/>
          <w:szCs w:val="20"/>
        </w:rPr>
        <w:t xml:space="preserve">If the reviewer surface is built as a Gemini Enterprise A2UI agent, clause filtering happens in the agent's tool layer, which means the enforcement point is application code inside a model-driven agent. That is a weak control for a legal workflow.</w:t>
      </w:r>
    </w:p>
    <w:p>
      <w:pPr>
        <w:spacing w:after="120" w:before="0"/>
      </w:pPr>
      <w:r>
        <w:rPr>
          <w:rFonts w:ascii="Calibri" w:cs="Calibri" w:eastAsia="Calibri" w:hAnsi="Calibri"/>
          <w:color w:val="3B3B3B"/>
          <w:sz w:val="20"/>
          <w:szCs w:val="20"/>
        </w:rPr>
        <w:t xml:space="preserve">Recommendation: enforce clause visibility in database row-level security, invoked through a packet API that the agent calls with the reviewer's delegated identity. The agent must not hold a broad read grant and filter in process. This reinforces the Stage 3 conclusion that the reviewer work surface should be an external application with its own authorisation middleware.</w:t>
      </w:r>
    </w:p>
    <w:p>
      <w:pPr>
        <w:pStyle w:val="Heading3"/>
        <w:spacing w:after="100" w:before="200"/>
      </w:pPr>
      <w:r>
        <w:rPr>
          <w:rFonts w:ascii="Calibri" w:cs="Calibri" w:eastAsia="Calibri" w:hAnsi="Calibri"/>
          <w:b/>
          <w:bCs/>
          <w:color w:val="5B2A86"/>
          <w:sz w:val="21"/>
          <w:szCs w:val="21"/>
        </w:rPr>
        <w:t xml:space="preserve">4. VPC Service Controls do not cover third-party connector egress</w:t>
      </w:r>
    </w:p>
    <w:p>
      <w:pPr>
        <w:spacing w:after="120" w:before="0"/>
      </w:pPr>
      <w:r>
        <w:rPr>
          <w:rFonts w:ascii="Calibri" w:cs="Calibri" w:eastAsia="Calibri" w:hAnsi="Calibri"/>
          <w:color w:val="3B3B3B"/>
          <w:sz w:val="20"/>
          <w:szCs w:val="20"/>
        </w:rPr>
        <w:t xml:space="preserve">Google's documentation is explicit: third-party connectors interact with public endpoints outside Google's network, and because VPC Service Controls govern Google Cloud services they do not inherently secure that traffic. The stated mitigation is granular firewall rules restricting outbound connections to the specific fully qualified domain names provided.</w:t>
      </w:r>
    </w:p>
    <w:p>
      <w:pPr>
        <w:spacing w:after="120" w:before="0"/>
      </w:pPr>
      <w:r>
        <w:rPr>
          <w:rFonts w:ascii="Calibri" w:cs="Calibri" w:eastAsia="Calibri" w:hAnsi="Calibri"/>
          <w:color w:val="3B3B3B"/>
          <w:sz w:val="20"/>
          <w:szCs w:val="20"/>
        </w:rPr>
        <w:t xml:space="preserve">That is meaningful but weaker than a perimeter. If the target state uses the Docusign or SharePoint connectors, contract content crosses a boundary VPC Service Controls does not enclose. This must be documented explicitly in the security architecture; a security officer who discovers it after approval will treat it as a misrepresentation.</w:t>
      </w:r>
    </w:p>
    <w:p>
      <w:pPr>
        <w:pStyle w:val="Heading3"/>
        <w:spacing w:after="100" w:before="200"/>
      </w:pPr>
      <w:r>
        <w:rPr>
          <w:rFonts w:ascii="Calibri" w:cs="Calibri" w:eastAsia="Calibri" w:hAnsi="Calibri"/>
          <w:b/>
          <w:bCs/>
          <w:color w:val="5B2A86"/>
          <w:sz w:val="21"/>
          <w:szCs w:val="21"/>
        </w:rPr>
        <w:t xml:space="preserve">5. Memory Bank is a data-governance hazard in this domain</w:t>
      </w:r>
    </w:p>
    <w:p>
      <w:pPr>
        <w:spacing w:after="120" w:before="0"/>
      </w:pPr>
      <w:r>
        <w:rPr>
          <w:rFonts w:ascii="Calibri" w:cs="Calibri" w:eastAsia="Calibri" w:hAnsi="Calibri"/>
          <w:color w:val="3B3B3B"/>
          <w:sz w:val="20"/>
          <w:szCs w:val="20"/>
        </w:rPr>
        <w:t xml:space="preserve">Memory Bank generates long-term memories from conversations via model extraction, scoped to a user identity, with TTL-based expiry. In a contract workflow that means commercially sensitive terms — pricing, liability caps, concession patterns — can be extracted into a persistent store outside the retention model, the data classification scheme and the audit chain.</w:t>
      </w:r>
    </w:p>
    <w:p>
      <w:pPr>
        <w:spacing w:after="120" w:before="0"/>
      </w:pPr>
      <w:r>
        <w:rPr>
          <w:rFonts w:ascii="Calibri" w:cs="Calibri" w:eastAsia="Calibri" w:hAnsi="Calibri"/>
          <w:b/>
          <w:bCs/>
          <w:color w:val="3B3B3B"/>
          <w:sz w:val="20"/>
          <w:szCs w:val="20"/>
        </w:rPr>
        <w:t xml:space="preserve">Stage 4 excluded Memory Bank from domain data on integrity grounds. Stage 8 escalates that to a governance prohibition: disable Memory Bank for all contract-workflow agents, or restrict it to non-sensitive scopes with IAM conditions and short time-to-live. If the reviewer assistant needs continuity, use session state rather than memory.</w:t>
      </w:r>
    </w:p>
    <w:p>
      <w:pPr>
        <w:pStyle w:val="Heading3"/>
        <w:spacing w:after="100" w:before="200"/>
      </w:pPr>
      <w:r>
        <w:rPr>
          <w:rFonts w:ascii="Calibri" w:cs="Calibri" w:eastAsia="Calibri" w:hAnsi="Calibri"/>
          <w:b/>
          <w:bCs/>
          <w:color w:val="5B2A86"/>
          <w:sz w:val="21"/>
          <w:szCs w:val="21"/>
        </w:rPr>
        <w:t xml:space="preserve">6. Prompt and trace content inherits the contracts' classification</w:t>
      </w:r>
    </w:p>
    <w:p>
      <w:pPr>
        <w:spacing w:after="120" w:before="0"/>
      </w:pPr>
      <w:r>
        <w:rPr>
          <w:rFonts w:ascii="Calibri" w:cs="Calibri" w:eastAsia="Calibri" w:hAnsi="Calibri"/>
          <w:color w:val="3B3B3B"/>
          <w:sz w:val="20"/>
          <w:szCs w:val="20"/>
        </w:rPr>
        <w:t xml:space="preserve">Observability traces, spans and any prompt or response logging will contain clause text and negotiation positions. Teams routinely grant broad read access to trace and log storage for debugging. Trace storage must therefore be classified and access-controlled at the same level as the contract repository, or the observability tooling becomes the softest path to sensitive commercial data. Retention should be decided deliberately: the evaluation harness needs traces, but not indefinitely.</w:t>
      </w:r>
    </w:p>
    <w:p>
      <w:pPr>
        <w:pStyle w:val="Heading3"/>
        <w:spacing w:after="100" w:before="200"/>
      </w:pPr>
      <w:r>
        <w:rPr>
          <w:rFonts w:ascii="Calibri" w:cs="Calibri" w:eastAsia="Calibri" w:hAnsi="Calibri"/>
          <w:b/>
          <w:bCs/>
          <w:color w:val="5B2A86"/>
          <w:sz w:val="21"/>
          <w:szCs w:val="21"/>
        </w:rPr>
        <w:t xml:space="preserve">7. Preview features cannot carry the security review</w:t>
      </w:r>
    </w:p>
    <w:p>
      <w:pPr>
        <w:spacing w:after="120" w:before="0"/>
      </w:pPr>
      <w:r>
        <w:rPr>
          <w:rFonts w:ascii="Calibri" w:cs="Calibri" w:eastAsia="Calibri" w:hAnsi="Calibri"/>
          <w:color w:val="3B3B3B"/>
          <w:sz w:val="20"/>
          <w:szCs w:val="20"/>
        </w:rPr>
        <w:t xml:space="preserve">Several relevant components are Preview or recently generally available — DOCX layout parsing, derived fields, A2UI, parts of Agent Platform, and cross-domain document inclusion in the Drive connector. Preview features typically fall outside service level agreements and compliance attestations.</w:t>
      </w:r>
    </w:p>
    <w:p>
      <w:pPr>
        <w:spacing w:after="120" w:before="0"/>
      </w:pPr>
      <w:r>
        <w:rPr>
          <w:rFonts w:ascii="Calibri" w:cs="Calibri" w:eastAsia="Calibri" w:hAnsi="Calibri"/>
          <w:color w:val="3B3B3B"/>
          <w:sz w:val="20"/>
          <w:szCs w:val="20"/>
        </w:rPr>
        <w:t xml:space="preserve">Two actions: gate production go-live on general availability for every component in the critical path, and explicitly disable the Drive connector's cross-domain document inclusion, which indexes documents outside the organisation and is exactly the wrong behaviour for a confidentiality-constrained corpus.</w:t>
      </w:r>
    </w:p>
    <w:p>
      <w:pPr>
        <w:pStyle w:val="Heading3"/>
        <w:spacing w:after="100" w:before="200"/>
      </w:pPr>
      <w:r>
        <w:rPr>
          <w:rFonts w:ascii="Calibri" w:cs="Calibri" w:eastAsia="Calibri" w:hAnsi="Calibri"/>
          <w:b/>
          <w:bCs/>
          <w:color w:val="5B2A86"/>
          <w:sz w:val="21"/>
          <w:szCs w:val="21"/>
        </w:rPr>
        <w:t xml:space="preserve">8. Right to erasure versus legal hold is unresolved and will surface late</w:t>
      </w:r>
    </w:p>
    <w:p>
      <w:pPr>
        <w:spacing w:after="120" w:before="0"/>
      </w:pPr>
      <w:r>
        <w:rPr>
          <w:rFonts w:ascii="Calibri" w:cs="Calibri" w:eastAsia="Calibri" w:hAnsi="Calibri"/>
          <w:color w:val="3B3B3B"/>
          <w:sz w:val="20"/>
          <w:szCs w:val="20"/>
        </w:rPr>
        <w:t xml:space="preserve">Supplier contracts contain personal data — signatory names, notice contacts, sometimes individual consultants' details. An erasure request collides with contract retention and legal hold. This conflict has no technical resolution; it requires a documented legal position on lawful basis and retention override. Obtain Legal's written position before build, not before launch.</w:t>
      </w:r>
    </w:p>
    <w:p>
      <w:pPr>
        <w:pStyle w:val="Heading3"/>
        <w:spacing w:after="100" w:before="200"/>
      </w:pPr>
      <w:r>
        <w:rPr>
          <w:rFonts w:ascii="Calibri" w:cs="Calibri" w:eastAsia="Calibri" w:hAnsi="Calibri"/>
          <w:b/>
          <w:bCs/>
          <w:color w:val="5B2A86"/>
          <w:sz w:val="21"/>
          <w:szCs w:val="21"/>
        </w:rPr>
        <w:t xml:space="preserve">9. Third-party model routing changes the data-handling story</w:t>
      </w:r>
    </w:p>
    <w:p>
      <w:pPr>
        <w:spacing w:after="120" w:before="0"/>
      </w:pPr>
      <w:r>
        <w:rPr>
          <w:rFonts w:ascii="Calibri" w:cs="Calibri" w:eastAsia="Calibri" w:hAnsi="Calibri"/>
          <w:color w:val="3B3B3B"/>
          <w:sz w:val="20"/>
          <w:szCs w:val="20"/>
        </w:rPr>
        <w:t xml:space="preserve">Agent Platform offers curated third-party models as managed APIs alongside Gemini. These carry different data-handling terms. If a developer selects a third-party model for the redline agent because it benchmarks better, the security posture changes without a security review. Model selection must be constrained by organisation policy, not by convention.</w:t>
      </w:r>
    </w:p>
    <w:p>
      <w:pPr>
        <w:pStyle w:val="Heading3"/>
        <w:spacing w:after="100" w:before="200"/>
      </w:pPr>
      <w:r>
        <w:rPr>
          <w:rFonts w:ascii="Calibri" w:cs="Calibri" w:eastAsia="Calibri" w:hAnsi="Calibri"/>
          <w:b/>
          <w:bCs/>
          <w:color w:val="5B2A86"/>
          <w:sz w:val="21"/>
          <w:szCs w:val="21"/>
        </w:rPr>
        <w:t xml:space="preserve">10. Agent supply-chain and prompt-injection surface</w:t>
      </w:r>
    </w:p>
    <w:p>
      <w:pPr>
        <w:spacing w:after="120" w:before="0"/>
      </w:pPr>
      <w:r>
        <w:rPr>
          <w:rFonts w:ascii="Calibri" w:cs="Calibri" w:eastAsia="Calibri" w:hAnsi="Calibri"/>
          <w:color w:val="3B3B3B"/>
          <w:sz w:val="20"/>
          <w:szCs w:val="20"/>
        </w:rPr>
        <w:t xml:space="preserve">Agent Platform provides Model Armor, Agent Gateway, semantic governance policies with a dry-run mode, and skills lifecycle governance addressing context poisoning and supply-chain exploits. These are real and should be enabled.</w:t>
      </w:r>
    </w:p>
    <w:p>
      <w:pPr>
        <w:spacing w:after="120" w:before="0"/>
      </w:pPr>
      <w:r>
        <w:rPr>
          <w:rFonts w:ascii="Calibri" w:cs="Calibri" w:eastAsia="Calibri" w:hAnsi="Calibri"/>
          <w:color w:val="3B3B3B"/>
          <w:sz w:val="20"/>
          <w:szCs w:val="20"/>
        </w:rPr>
        <w:t xml:space="preserve">The domain-specific risk they do not fully close is that a supplier-submitted document is untrusted input flowing directly into a prompt. A malicious or careless supplier could embed instructions in a contract. Controls: Model Armor on the analysis path, structured output schemas that cannot express a state transition, and — most importantly — the architecture in which no agent has write access to any decision or status. The injection can corrupt an advisory paragraph; it cannot approve a clause. That is the real defence.</w:t>
      </w:r>
    </w:p>
    <w:p>
      <w:pPr>
        <w:pStyle w:val="Heading2"/>
        <w:spacing w:after="120" w:before="260"/>
      </w:pPr>
      <w:r>
        <w:rPr>
          <w:rFonts w:ascii="Calibri" w:cs="Calibri" w:eastAsia="Calibri" w:hAnsi="Calibri"/>
          <w:b/>
          <w:bCs/>
          <w:color w:val="3B3B3B"/>
          <w:sz w:val="24"/>
          <w:szCs w:val="24"/>
        </w:rPr>
        <w:t xml:space="preserve">10.4 Governance artefacts required before build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3200"/>
        <w:gridCol w:w="2960"/>
      </w:tblGrid>
      <w:tr>
        <w:trPr>
          <w:tblHeader/>
        </w:trPr>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Artefact</w:t>
            </w:r>
          </w:p>
        </w:tc>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Owner</w:t>
            </w:r>
          </w:p>
        </w:tc>
        <w:tc>
          <w:tcPr>
            <w:tcW w:type="dxa" w:w="29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Blocks</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type authority matrix, signed</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Procurement, Finance, Tax, Information Security, Privacy, Compliance</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detection and all routing</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Indexing scope approval against supplier confidentiality obligations</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 Legal</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Any GEP data store creation</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classification scheme for contracts, packets and traces</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Chief Information Security Officer</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Retention, DLP and access design</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Retention schedule per artefact class</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and Records Management</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Bucket lock, warehouse expiry</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Erasure versus legal hold position</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Protection Officer</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Go-live</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Executed data processing addendum plus Service Specific Terms for the actual edition</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Security review sign-off</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Approved model allowlist and organisation policy</w:t>
            </w:r>
          </w:p>
        </w:tc>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CISO and Architecture</w:t>
            </w:r>
          </w:p>
        </w:tc>
        <w:tc>
          <w:tcPr>
            <w:tcW w:type="dxa" w:w="29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configuration</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protection impact assessment if EU supplier personal data is in scope</w:t>
            </w:r>
          </w:p>
        </w:tc>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Protection Officer</w:t>
            </w:r>
          </w:p>
        </w:tc>
        <w:tc>
          <w:tcPr>
            <w:tcW w:type="dxa" w:w="29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Go-live</w:t>
            </w:r>
          </w:p>
        </w:tc>
      </w:tr>
    </w:tbl>
    <w:p>
      <w:pPr>
        <w:spacing w:after="120" w:before="100"/>
      </w:pPr>
      <w:r>
        <w:rPr>
          <w:rFonts w:ascii="Calibri" w:cs="Calibri" w:eastAsia="Calibri" w:hAnsi="Calibri"/>
          <w:color w:val="3B3B3B"/>
          <w:sz w:val="20"/>
          <w:szCs w:val="20"/>
        </w:rPr>
        <w:t xml:space="preserve">The first two are the long-lead items and are commonly discovered too late. They are cross-functional policy decisions and each typically takes longer than the corresponding engineering work.</w:t>
      </w:r>
    </w:p>
    <w:p>
      <w:pPr>
        <w:pStyle w:val="Heading2"/>
        <w:spacing w:after="120" w:before="260"/>
      </w:pPr>
      <w:r>
        <w:rPr>
          <w:rFonts w:ascii="Calibri" w:cs="Calibri" w:eastAsia="Calibri" w:hAnsi="Calibri"/>
          <w:b/>
          <w:bCs/>
          <w:color w:val="3B3B3B"/>
          <w:sz w:val="24"/>
          <w:szCs w:val="24"/>
        </w:rPr>
        <w:t xml:space="preserve">10.5 Recommended control architecture</w:t>
      </w:r>
    </w:p>
    <w:p>
      <w:pPr>
        <w:spacing w:after="0" w:line="200"/>
      </w:pPr>
      <w:r>
        <w:rPr>
          <w:rFonts w:ascii="Consolas" w:cs="Consolas" w:eastAsia="Consolas" w:hAnsi="Consolas"/>
          <w:color w:val="3B3B3B"/>
          <w:sz w:val="15"/>
          <w:szCs w:val="15"/>
        </w:rPr>
        <w:t xml:space="preserve">Identity     client IdP -&gt; Workforce Identity Federation</w:t>
      </w:r>
    </w:p>
    <w:p>
      <w:pPr>
        <w:spacing w:after="0" w:line="200"/>
      </w:pPr>
      <w:r>
        <w:rPr>
          <w:rFonts w:ascii="Consolas" w:cs="Consolas" w:eastAsia="Consolas" w:hAnsi="Consolas"/>
          <w:color w:val="3B3B3B"/>
          <w:sz w:val="15"/>
          <w:szCs w:val="15"/>
        </w:rPr>
        <w:t xml:space="preserve">             -&gt; identity groups; MFA and conditional access</w:t>
      </w:r>
    </w:p>
    <w:p>
      <w:pPr>
        <w:spacing w:after="0" w:line="200"/>
      </w:pPr>
      <w:r>
        <w:rPr>
          <w:rFonts w:ascii="Consolas" w:cs="Consolas" w:eastAsia="Consolas" w:hAnsi="Consolas"/>
          <w:color w:val="3B3B3B"/>
          <w:sz w:val="15"/>
          <w:szCs w:val="15"/>
        </w:rPr>
        <w:t xml:space="preserve">             enforced at the IdP</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Platform     GEP IAM roles | app access controls</w:t>
      </w:r>
    </w:p>
    <w:p>
      <w:pPr>
        <w:spacing w:after="0" w:line="200"/>
      </w:pPr>
      <w:r>
        <w:rPr>
          <w:rFonts w:ascii="Consolas" w:cs="Consolas" w:eastAsia="Consolas" w:hAnsi="Consolas"/>
          <w:color w:val="3B3B3B"/>
          <w:sz w:val="15"/>
          <w:szCs w:val="15"/>
        </w:rPr>
        <w:t xml:space="preserve">             VPC Service Controls perimeter</w:t>
      </w:r>
    </w:p>
    <w:p>
      <w:pPr>
        <w:spacing w:after="0" w:line="200"/>
      </w:pPr>
      <w:r>
        <w:rPr>
          <w:rFonts w:ascii="Consolas" w:cs="Consolas" w:eastAsia="Consolas" w:hAnsi="Consolas"/>
          <w:color w:val="3B3B3B"/>
          <w:sz w:val="15"/>
          <w:szCs w:val="15"/>
        </w:rPr>
        <w:t xml:space="preserve">             org policy: allowed data sources, allowed egress</w:t>
      </w:r>
    </w:p>
    <w:p>
      <w:pPr>
        <w:spacing w:after="0" w:line="200"/>
      </w:pPr>
      <w:r>
        <w:rPr>
          <w:rFonts w:ascii="Consolas" w:cs="Consolas" w:eastAsia="Consolas" w:hAnsi="Consolas"/>
          <w:color w:val="3B3B3B"/>
          <w:sz w:val="15"/>
          <w:szCs w:val="15"/>
        </w:rPr>
        <w:t xml:space="preserve">             FQDNs, model allowlist, Memory Bank disabled</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Agent        Agent Identity (SPIFFE) per agent | Agent Gateway</w:t>
      </w:r>
    </w:p>
    <w:p>
      <w:pPr>
        <w:spacing w:after="0" w:line="200"/>
      </w:pPr>
      <w:r>
        <w:rPr>
          <w:rFonts w:ascii="Consolas" w:cs="Consolas" w:eastAsia="Consolas" w:hAnsi="Consolas"/>
          <w:color w:val="3B3B3B"/>
          <w:sz w:val="15"/>
          <w:szCs w:val="15"/>
        </w:rPr>
        <w:t xml:space="preserve">             Model Armor on all supplier-document paths</w:t>
      </w:r>
    </w:p>
    <w:p>
      <w:pPr>
        <w:spacing w:after="0" w:line="200"/>
      </w:pPr>
      <w:r>
        <w:rPr>
          <w:rFonts w:ascii="Consolas" w:cs="Consolas" w:eastAsia="Consolas" w:hAnsi="Consolas"/>
          <w:color w:val="3B3B3B"/>
          <w:sz w:val="15"/>
          <w:szCs w:val="15"/>
        </w:rPr>
        <w:t xml:space="preserve">             NO write grants on decision, status, conflict,</w:t>
      </w:r>
    </w:p>
    <w:p>
      <w:pPr>
        <w:spacing w:after="0" w:line="200"/>
      </w:pPr>
      <w:r>
        <w:rPr>
          <w:rFonts w:ascii="Consolas" w:cs="Consolas" w:eastAsia="Consolas" w:hAnsi="Consolas"/>
          <w:color w:val="3B3B3B"/>
          <w:sz w:val="15"/>
          <w:szCs w:val="15"/>
        </w:rPr>
        <w:t xml:space="preserve">             version tables            &lt;-- PRIMARY CONTROL</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Data         CMEK (external key manager or HSM if required)</w:t>
      </w:r>
    </w:p>
    <w:p>
      <w:pPr>
        <w:spacing w:after="0" w:line="200"/>
      </w:pPr>
      <w:r>
        <w:rPr>
          <w:rFonts w:ascii="Consolas" w:cs="Consolas" w:eastAsia="Consolas" w:hAnsi="Consolas"/>
          <w:color w:val="3B3B3B"/>
          <w:sz w:val="15"/>
          <w:szCs w:val="15"/>
        </w:rPr>
        <w:t xml:space="preserve">             row-level security on clause visibility</w:t>
      </w:r>
    </w:p>
    <w:p>
      <w:pPr>
        <w:spacing w:after="0" w:line="200"/>
      </w:pPr>
      <w:r>
        <w:rPr>
          <w:rFonts w:ascii="Consolas" w:cs="Consolas" w:eastAsia="Consolas" w:hAnsi="Consolas"/>
          <w:color w:val="3B3B3B"/>
          <w:sz w:val="15"/>
          <w:szCs w:val="15"/>
        </w:rPr>
        <w:t xml:space="preserve">             separate data stores and buckets per tier</w:t>
      </w:r>
    </w:p>
    <w:p>
      <w:pPr>
        <w:spacing w:after="0" w:line="200"/>
      </w:pPr>
      <w:r>
        <w:rPr>
          <w:rFonts w:ascii="Consolas" w:cs="Consolas" w:eastAsia="Consolas" w:hAnsi="Consolas"/>
          <w:color w:val="3B3B3B"/>
          <w:sz w:val="15"/>
          <w:szCs w:val="15"/>
        </w:rPr>
        <w:t xml:space="preserve">             DLP inspection at intake; classification tags</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Application  decision API: authenticate -&gt; authorise against</w:t>
      </w:r>
    </w:p>
    <w:p>
      <w:pPr>
        <w:spacing w:after="0" w:line="200"/>
      </w:pPr>
      <w:r>
        <w:rPr>
          <w:rFonts w:ascii="Consolas" w:cs="Consolas" w:eastAsia="Consolas" w:hAnsi="Consolas"/>
          <w:color w:val="3B3B3B"/>
          <w:sz w:val="15"/>
          <w:szCs w:val="15"/>
        </w:rPr>
        <w:t xml:space="preserve">             clause authority -&gt; append-only write</w:t>
      </w:r>
    </w:p>
    <w:p>
      <w:pPr>
        <w:spacing w:after="0" w:line="200"/>
      </w:pPr>
      <w:r>
        <w:rPr>
          <w:rFonts w:ascii="Consolas" w:cs="Consolas" w:eastAsia="Consolas" w:hAnsi="Consolas"/>
          <w:color w:val="3B3B3B"/>
          <w:sz w:val="15"/>
          <w:szCs w:val="15"/>
        </w:rPr>
        <w:t xml:space="preserve">             packet API: RLS-filtered, server-side only</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Audit        Cloud Audit Logs (platform)</w:t>
      </w:r>
    </w:p>
    <w:p>
      <w:pPr>
        <w:spacing w:after="0" w:line="200"/>
      </w:pPr>
      <w:r>
        <w:rPr>
          <w:rFonts w:ascii="Consolas" w:cs="Consolas" w:eastAsia="Consolas" w:hAnsi="Consolas"/>
          <w:color w:val="3B3B3B"/>
          <w:sz w:val="15"/>
          <w:szCs w:val="15"/>
        </w:rPr>
        <w:t xml:space="preserve">             + BigQuery domain event stream (business)</w:t>
      </w:r>
    </w:p>
    <w:p>
      <w:pPr>
        <w:spacing w:after="0" w:line="200"/>
      </w:pPr>
      <w:r>
        <w:rPr>
          <w:rFonts w:ascii="Consolas" w:cs="Consolas" w:eastAsia="Consolas" w:hAnsi="Consolas"/>
          <w:color w:val="3B3B3B"/>
          <w:sz w:val="15"/>
          <w:szCs w:val="15"/>
        </w:rPr>
        <w:t xml:space="preserve">             + Access Transparency (Google admin access)</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Retention    bucket lock on executed versions</w:t>
      </w:r>
    </w:p>
    <w:p>
      <w:pPr>
        <w:spacing w:after="0" w:line="200"/>
      </w:pPr>
      <w:r>
        <w:rPr>
          <w:rFonts w:ascii="Consolas" w:cs="Consolas" w:eastAsia="Consolas" w:hAnsi="Consolas"/>
          <w:color w:val="3B3B3B"/>
          <w:sz w:val="15"/>
          <w:szCs w:val="15"/>
        </w:rPr>
        <w:t xml:space="preserve">             warehouse partition expiry per schedule</w:t>
      </w:r>
    </w:p>
    <w:p>
      <w:pPr>
        <w:spacing w:after="0" w:line="200"/>
      </w:pPr>
      <w:r>
        <w:rPr>
          <w:rFonts w:ascii="Consolas" w:cs="Consolas" w:eastAsia="Consolas" w:hAnsi="Consolas"/>
          <w:color w:val="3B3B3B"/>
          <w:sz w:val="15"/>
          <w:szCs w:val="15"/>
        </w:rPr>
        <w:t xml:space="preserve">             trace retention explicitly bounded</w:t>
      </w:r>
    </w:p>
    <w:p>
      <w:pPr>
        <w:spacing w:after="120" w:before="140"/>
      </w:pPr>
      <w:r>
        <w:rPr>
          <w:rFonts w:ascii="Calibri" w:cs="Calibri" w:eastAsia="Calibri" w:hAnsi="Calibri"/>
          <w:b/>
          <w:bCs/>
          <w:color w:val="3B3B3B"/>
          <w:sz w:val="20"/>
          <w:szCs w:val="20"/>
        </w:rPr>
        <w:t xml:space="preserve">The load-bearing line is the one marked primary control. Every other layer can be misconfigured by a well-meaning engineer; a missing IAM grant on the decisions table cannot be bypassed by a prompt, an agent instruction or an injected document.</w:t>
      </w:r>
    </w:p>
    <w:p>
      <w:r>
        <w:br w:type="page"/>
      </w:r>
    </w:p>
    <w:p>
      <w:pPr>
        <w:sectPr>
          <w:footerReference w:type="default" r:id="rId7"/>
          <w:pgSz w:w="12240" w:h="15840" w:orient="portrait"/>
          <w:pgMar w:top="1080" w:right="1440" w:bottom="1080" w:left="1440" w:header="708" w:footer="708" w:gutter="0"/>
          <w:pgNumType/>
          <w:docGrid w:linePitch="360"/>
        </w:sectPr>
      </w:pPr>
    </w:p>
    <w:p>
      <w:pPr>
        <w:pStyle w:val="Heading1"/>
        <w:pBdr>
          <w:bottom w:val="single" w:color="5B2A86" w:sz="8" w:space="4"/>
        </w:pBdr>
        <w:spacing w:after="180" w:before="360"/>
      </w:pPr>
      <w:r>
        <w:rPr>
          <w:rFonts w:ascii="Calibri" w:cs="Calibri" w:eastAsia="Calibri" w:hAnsi="Calibri"/>
          <w:b/>
          <w:bCs/>
          <w:color w:val="5B2A86"/>
          <w:sz w:val="30"/>
          <w:szCs w:val="30"/>
        </w:rPr>
        <w:t xml:space="preserve">11. Stage 9 — Proof-of-Concept Technical Challenges</w:t>
      </w:r>
    </w:p>
    <w:p>
      <w:pPr>
        <w:spacing w:after="120" w:before="0"/>
      </w:pPr>
      <w:r>
        <w:rPr>
          <w:rFonts w:ascii="Calibri" w:cs="Calibri" w:eastAsia="Calibri" w:hAnsi="Calibri"/>
          <w:color w:val="3B3B3B"/>
          <w:sz w:val="20"/>
          <w:szCs w:val="20"/>
        </w:rPr>
        <w:t xml:space="preserve">Severity scale. S1 will kill the proof of concept if unaddressed — it blocks a credible demonstration or produces client-visible failure. S2 will degrade trust — the proof of concept completes but the client questions viability. S3 is manageable at proof-of-concept scale; real in production but deferrable with a documented position.</w:t>
      </w:r>
    </w:p>
    <w:p>
      <w:pPr>
        <w:spacing w:after="120" w:before="0"/>
      </w:pPr>
      <w:r>
        <w:rPr>
          <w:rFonts w:ascii="Calibri" w:cs="Calibri" w:eastAsia="Calibri" w:hAnsi="Calibri"/>
          <w:b/>
          <w:bCs/>
          <w:color w:val="3B3B3B"/>
          <w:sz w:val="20"/>
          <w:szCs w:val="20"/>
        </w:rPr>
        <w:t xml:space="preserve">Six S1 items are identified. All are named early because they determine whether the scope is achievable in the window, not merely whether the build is hard.</w:t>
      </w:r>
    </w:p>
    <w:tbl>
      <w:tblPr>
        <w:tblW w:type="dxa" w:w="127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200"/>
        <w:gridCol w:w="2000"/>
        <w:gridCol w:w="1700"/>
        <w:gridCol w:w="2400"/>
        <w:gridCol w:w="2260"/>
        <w:gridCol w:w="700"/>
      </w:tblGrid>
      <w:tr>
        <w:trPr>
          <w:tblHeader/>
        </w:trPr>
        <w:tc>
          <w:tcPr>
            <w:tcW w:type="dxa" w:w="1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Challenge</w:t>
            </w:r>
          </w:p>
        </w:tc>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Why it is difficult</w:t>
            </w:r>
          </w:p>
        </w:tc>
        <w:tc>
          <w:tcPr>
            <w:tcW w:type="dxa" w:w="20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GEP capability</w:t>
            </w:r>
          </w:p>
        </w:tc>
        <w:tc>
          <w:tcPr>
            <w:tcW w:type="dxa" w:w="1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Gap</w:t>
            </w:r>
          </w:p>
        </w:tc>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Proof-of-concept workaround</w:t>
            </w:r>
          </w:p>
        </w:tc>
        <w:tc>
          <w:tcPr>
            <w:tcW w:type="dxa" w:w="22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Production consideration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3"/>
                <w:szCs w:val="13"/>
              </w:rPr>
              <w:t xml:space="preserve">Sev</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Reliable clause segmentation</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Supplier contracts have no consistent structure. Numbering restarts in exhibits; definitions run as prose; obligations hide in tables and schedules. A boundary error corrupts classification, routing, diff and lineage. Ground truth is expensive — only a lawyer can label it</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Layout parser detects headings, tables and lists (PDF and HTML; DOCX Preview). Document AI layout parser returns an addressable block tree with page and offset anchors</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clause concept. Layout blocks are not clauses. No confidence signal on boundaries</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Restrict to one contract type with numbered clauses. Deterministic numbering-first pass; model only on residual. Hand-label 30 real documents as ground truth before writing the segmenter. Measure and publish boundary F1</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Per-contract-type segmentation profiles; exhibit and schedule handling; active-learning loop on PA corrections; accept that bespoke supplier paper needs human-assisted segmentation</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Clause identity across versions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Supplier renumbers and rewords simultaneously. A wrong match silently transfers a prior approval to changed language — the worst failure mode in the system, and it is silent</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identity model</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Deterministic cascade: numbering, then anchor match at 0.85 similarity within the same clause type, then human confirmation. Never model-assigned. Log the identity method on every link. Force one negotiation cycle in the proof of concept to exercise it</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Tune thresholds on real cycle data; PA review interface for ambiguous matches; alert on identity churn rate per supplier</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Word redlining and document formatting</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Requires valid OOXML revision markup plus correct comment anchoring. Correctness is binary — the file opens or corrupts. The standard Python library has never supported tracked changes; hand-rolled XML reliably produces unopenable files</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 Docs API suggestion mode and assigned comments are the only Google path, and cannot suggest format, header or footer changes; some request types error in that mode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OOXML generation anywhere in GEP, Agent Platform or Document AI</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Containerised document service on Cloud Run behind a two-method interface. Start with a Python OOXML library. Docs for the internal surface; OOXML for supplier-facing. Schema-validate every artefact before release and fail closed. Test against 20 or more real supplier templates, not synthetic</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Reference Open XML SDK or a commercial engine for fidelity; or cede the artefact to DocuSign CLM entirely, which is the strategic answer</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Grounding against playbooks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The client may not have a machine-usable playbook. What exists is often tribal knowledge, a Word document of preferred language, or nothing structured. Without an approved-clause corpus keyed by clause type, deviation detection has no baseline</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Data stores with grounded cited answers; RAG Engine; Vector Search</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structured clause library. A retrieval-based baseline is non-deterministic</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Assume the playbook does not exist and budget to build it. 15 to 20 clause types with preferred plus one or two fallback positions, keyed on clause type and playbook version. Deterministic keyed lookup for comparison; GEP index only for reviewer Q&amp;A</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Playbook governance: who authors, versions and approves; effective dating; per-entity and per-jurisdiction variants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Clause-to-reviewer routing</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Routing is the audit-visible control. It depends on an authority matrix requiring sign-off from seven functions — a cross-functional policy decision, not an engineering task</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task or authority model</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Deterministic versioned matrix in the database. Start the sign-off process in week 1; it is the critical path. Restrict to three functions</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Extend to Tax, Information Security, Privacy, Compliance and business — matrix rows only, no new architecture. Change control on the matrix</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Reviewer conflicts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Classes A, B, D, E and F are deterministic. Cross-clause inconsistency is not detectable by same-clause comparison and is the client's own second example. Curated dependency rules have limited coverage; the model recall net has unquantified precision</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Gemini for characterisation; nothing for detection</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conflict construct</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Implement A, B, D, E and F deterministically for provable full coverage. Seed 20 to 40 dependency pairs from client interaction rules. The model coherence scan is advisory only — review-suggested, never conflict. Measure precision honestly</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The dependency graph grows from confirmed model findings — the compounding asset. Never let the scan block or resolve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Hallucination risk</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Fabricated clause text, invented policy citations, or a confidently wrong deviation reading are all plausible. In a legal artefact the cost is asymmetric — one hallucinated indemnity term in a supplier-facing document is a client-relationship event</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Model Armor; grounding with citations; Gen AI Evaluation; Agent Observability</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guarantee. Grounding reduces but does not eliminate</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Architectural, not prompt-level: clause text is extracted and never generated; approved language is fetched by key and never generated; all model output is provenance-tagged and rendered with visible AI attribution; the PA approves every change individually; structured output schemas cannot express a state transition</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Continuous evaluation on the golden set; drift monitoring across model version changes; citation-required policy on all analysis output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Deterministic versus generative boundary</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The boundary is easy to state and easy to erode. One engineer adds model-decided severity for expedience and the audit story collapses. The erosion is invisible in code review</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Agent Platform governance policies with dry-run mode</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Not enforceable by GEP</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Enforce with IAM, not discipline: agent service accounts hold zero write grants on decision, conflict, task status, approval transition and version tables. Add a continuous-integration assertion that no agent code path writes to those tables</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Architecture fitness function in the pipeline; quarterly control test attempting an agent-originated state change and proving it fails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Asynchronous human workflows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Nine of eleven coordination capabilities are custom. Callback URLs are bound to executions; executions have duration ceilings; reviewers are slow and unreliable</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Agent Runtime long-running agents; ADK long-running tools. Neither provides fan-out coordination, timers or reassignment. ADK gate invocation is model-decided, which is disqualifying</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coordination primitive</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Cloud Workflows parallel with shared variables and await-callback. The decision API writes first and fires the callback second, so the decision is durable even if the callback fails. Cloud Scheduler sweeper re-drives orphans. Bound each execution to one review round</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Verify Workflows execution and callback duration limits at design freeze; executions disposable with state in the database. Consider Application Integration if business analysts must maintain routing</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State persistence</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Sessions are interaction-scoped; Memory Bank has TTL expiry and model-generated content — both disqualifying for a legal record, and Memory Bank is also a governance hazard</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Sessions, Memory Bank, data stores</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domain persistence. Data store refresh replaces content and creates no version</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AlloyDB with enforced foreign keys for the traceability chain; Cloud Storage with pinned generation numbers; BigQuery append-only events. Memory Bank disabled for all contract agents</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Spanner if multi-region strong consistency is mandated. A document store only if serverless is mandated — and log application-enforced integrity as a risk</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Concurrent reviews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The naive design produces N divergent .docx files needing three-way merge. Server-side OOXML merge is genuinely unsolved</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merge primitive</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Designed out. Reviewers receive immutable clause packets, not documents. N decisions on disjoint clauses, not N documents. Merge becomes database aggregation plus regeneration from base and manifest</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The same model scales to eight functions with no change. This is the architecture's main payoff</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S3 by design</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Consolidation of edits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Two approve-with-edit decisions on one clause with different wording are not mergeable. Semantic equivalence judgement is exactly where silent resolution creeps in</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Gemini drafts; nothing consolidates</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consolidation logic</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Divergent proposed text becomes a conflict, always, deterministically. The model equivalence assessment reduces resolver reading time but never clears the gate. The PA approves each accepted change individually</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Track resolver time to decision; if the divergence rate is high, the routing matrix is over-assigning reviewers to the same clause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Document versioning</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version construct in GEP; refresh replaces indexed content. Version lineage plus clause lineage plus redline history is three related models</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Complete gap</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Version table with parent reference; clause and clause-instance split for cross-version lineage; revision-change table with the driving decision reference to close the chain. Cloud Storage object versioning with the generation number pinned</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Bucket lock and retention policy on executed versions; legal hold; supersession rules</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Authorisation</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Clause-level access has no GEP mechanism. If enforced in agent tool code, the control point sits inside a model-driven process</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IAM, app access controls, Workforce Identity Federation, ACL-aware search — all document-level</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clause-level or record-level authorisation</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Database row-level security on reviewer function; the packet API filters server-side, never in the interface. The agent holds no broad read grant. Reviewer surface as an external application with its own authorisation middleware</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SCIM-synced groups; periodic access recertification; segregation of duties between reviewer and resolver roles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Auditability</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Google logs record API calls, not business decisions. Which reviewer approved which clause on which version appears in no Google log</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Cloud Audit Logs, usage audit logs, connector error logs, Access Transparency</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business audit trail</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BigQuery append-only domain events with IAM separate from the transactional database. Append-only decisions with a supersession chain — never an update. Routing matrix version, detection rule version, model version and prompt version stamped on every relevant row</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Auditor self-service query layer; retention per records schedule; annual control attestation</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Integration with existing contract repositories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GEP connectors for Docusign, SharePoint, Box, iManage and NetDocuments are index-only — they make content searchable, not transactional. A CLM system of record already owns versions and status, and two systems of record is worse than one</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Read connectors as listed</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write-back, no transactional integration</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Integrate read-only — pull reference contracts and playbook material for grounding. Do not attempt bidirectional synchronisation in the proof-of-concept window; it will consume the whole budget</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Decide the system of record explicitly: CLM owns document, version and status; GEP plus the custom layer owns intelligence, routing and decisions. Anything else creates reconciliation debt</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Supplier-returned tracked changes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Real negotiation returns your redline with the supplier's changes layered on top. Nested revision layers from two authors are ambiguous to interpret</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Not addressed anywhere</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Accept all of ours on receipt, then treat as a fresh version through the normal pipeline. Never interpret nested revision layers. Test this in the proof of concept — it is how negotiation actually works</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Author-attributed revision extraction if the client needs to know what the supplier changed without a full re-parse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Internal comment leakage into a supplier artefact</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Function-only deliberation in a supplier-facing document is a disclosure incident, not a defect</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None</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visibility model</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Filter on comment visibility at document generation, not in the interface. Add an automated pre-transmission assertion that zero function-only or PA-only comments are present. Fail closed</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Formal release gate with human confirmation; DLP scan on outbound artefacts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Preview-status dependencies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DOCX layout parsing, A2UI, derived fields and parts of Agent Platform are Preview or recently generally available. Preview typically falls outside service level agreements and compliance attestation</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Documented per feature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Behaviour and availability can change mid-build</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Pin versions; record general-availability status per component in the design document; avoid Preview on the critical path where an alternative exists. Disable Drive cross-domain document inclusion</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Gate production go-live on general availability for every critical-path component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Reviewer notification volume</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Fan-out is clause by function. A 60-clause master agreement across five functions creates up to 300 tasks. Per-task email destroys credibility in week one</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Inbox is agent-centric; email and chat alerts are per agent run</w:t>
            </w:r>
          </w:p>
        </w:tc>
        <w:tc>
          <w:tcPr>
            <w:tcW w:type="dxa" w:w="1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 reviewer-task notification model</w:t>
            </w:r>
          </w:p>
        </w:tc>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Digest per reviewer per contract per cycle. Reminders at 50 and 90 per cent of SLA. One escalation notice. Measure open and action rates in the proof of concept</w:t>
            </w:r>
          </w:p>
        </w:tc>
        <w:tc>
          <w:tcPr>
            <w:tcW w:type="dxa" w:w="22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Channel preference per reviewer; chat cards with inline decision capture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S2</w:t>
            </w:r>
          </w:p>
        </w:tc>
      </w:tr>
      <w:tr>
        <w:tc>
          <w:tcPr>
            <w:tcW w:type="dxa" w:w="15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Cross-functional policy sign-off latency</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The authority matrix, the indexing scope against supplier confidentiality, and the erasure versus legal hold position are all cross-functional policy decisions. Each typically takes longer than the code it unblocks</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Not applicable</w:t>
            </w:r>
          </w:p>
        </w:tc>
        <w:tc>
          <w:tcPr>
            <w:tcW w:type="dxa" w:w="1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Not a technical gap — a programme risk that manifests as one</w:t>
            </w:r>
          </w:p>
        </w:tc>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Start all three in week 1. Build against a provisional matrix, flagged as provisional, and swap on sign-off. Do not let engineering finish and wait</w:t>
            </w:r>
          </w:p>
        </w:tc>
        <w:tc>
          <w:tcPr>
            <w:tcW w:type="dxa" w:w="226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Change-control process for the authority matrix; annual review</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3"/>
                <w:szCs w:val="13"/>
              </w:rPr>
              <w:t xml:space="preserve">S1</w:t>
            </w:r>
          </w:p>
        </w:tc>
      </w:tr>
    </w:tbl>
    <w:p>
      <w:pPr>
        <w:pStyle w:val="Heading2"/>
        <w:spacing w:after="120" w:before="260"/>
      </w:pPr>
      <w:r>
        <w:rPr>
          <w:rFonts w:ascii="Calibri" w:cs="Calibri" w:eastAsia="Calibri" w:hAnsi="Calibri"/>
          <w:b/>
          <w:bCs/>
          <w:color w:val="3B3B3B"/>
          <w:sz w:val="24"/>
          <w:szCs w:val="24"/>
        </w:rPr>
        <w:t xml:space="preserve">11.1 The six S1 items and what they mean for scoping</w:t>
      </w:r>
    </w:p>
    <w:tbl>
      <w:tblPr>
        <w:tblW w:type="dxa" w:w="1296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4200"/>
        <w:gridCol w:w="5360"/>
      </w:tblGrid>
      <w:tr>
        <w:trPr>
          <w:tblHeader/>
        </w:trPr>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S1 item</w:t>
            </w:r>
          </w:p>
        </w:tc>
        <w:tc>
          <w:tcPr>
            <w:tcW w:type="dxa" w:w="4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Nature</w:t>
            </w:r>
          </w:p>
        </w:tc>
        <w:tc>
          <w:tcPr>
            <w:tcW w:type="dxa" w:w="5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Mitigable in an 8 to 10 week proof of concept?</w:t>
            </w:r>
          </w:p>
        </w:tc>
      </w:tr>
      <w:tr>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segmentation reliability</w:t>
            </w:r>
          </w:p>
        </w:tc>
        <w:tc>
          <w:tcPr>
            <w:tcW w:type="dxa" w:w="4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Technical, measurable</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by restricting to one numbered contract type</w:t>
            </w:r>
          </w:p>
        </w:tc>
      </w:tr>
      <w:tr>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identity across versions</w:t>
            </w:r>
          </w:p>
        </w:tc>
        <w:tc>
          <w:tcPr>
            <w:tcW w:type="dxa" w:w="4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Technical, silent failure</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deterministic cascade plus human confirmation</w:t>
            </w:r>
          </w:p>
        </w:tc>
      </w:tr>
      <w:tr>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Word redlining</w:t>
            </w:r>
          </w:p>
        </w:tc>
        <w:tc>
          <w:tcPr>
            <w:tcW w:type="dxa" w:w="4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Technical, binary correctness</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one containerised service with a swappable interface</w:t>
            </w:r>
          </w:p>
        </w:tc>
      </w:tr>
      <w:tr>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Playbook availability</w:t>
            </w:r>
          </w:p>
        </w:tc>
        <w:tc>
          <w:tcPr>
            <w:tcW w:type="dxa" w:w="4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CONTENT, not technical</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Only if scoped to 15 to 20 clause types</w:t>
            </w:r>
          </w:p>
        </w:tc>
      </w:tr>
      <w:tr>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Routing authority matrix</w:t>
            </w:r>
          </w:p>
        </w:tc>
        <w:tc>
          <w:tcPr>
            <w:tcW w:type="dxa" w:w="4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POLICY, not technical</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Only if started in week 1</w:t>
            </w:r>
          </w:p>
        </w:tc>
      </w:tr>
      <w:tr>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 generative boundary</w:t>
            </w:r>
          </w:p>
        </w:tc>
        <w:tc>
          <w:tcPr>
            <w:tcW w:type="dxa" w:w="4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Architectural discipline</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enforced via IAM, not convention</w:t>
            </w:r>
          </w:p>
        </w:tc>
      </w:tr>
      <w:tr>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Versioning, authorisation, persistence, comment leakage</w:t>
            </w:r>
          </w:p>
        </w:tc>
        <w:tc>
          <w:tcPr>
            <w:tcW w:type="dxa" w:w="4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Technical, well understood</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the Stage 4 model addresses all four</w:t>
            </w:r>
          </w:p>
        </w:tc>
      </w:tr>
      <w:tr>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Policy sign-off latency</w:t>
            </w:r>
          </w:p>
        </w:tc>
        <w:tc>
          <w:tcPr>
            <w:tcW w:type="dxa" w:w="4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PROGRAMME</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Only with immediate escalation</w:t>
            </w:r>
          </w:p>
        </w:tc>
      </w:tr>
    </w:tbl>
    <w:p>
      <w:pPr>
        <w:spacing w:after="120" w:before="100"/>
      </w:pPr>
      <w:r>
        <w:rPr>
          <w:rFonts w:ascii="Calibri" w:cs="Calibri" w:eastAsia="Calibri" w:hAnsi="Calibri"/>
          <w:b/>
          <w:bCs/>
          <w:color w:val="3B3B3B"/>
          <w:sz w:val="20"/>
          <w:szCs w:val="20"/>
        </w:rPr>
        <w:t xml:space="preserve">Three of the S1 items are not engineering problems. Playbook content, the authority matrix and sign-off latency are client-side dependencies. This is the most important thing to communicate before the proof of concept is committed: the technical risks are tractable and well understood; the client-dependency risks are the ones that slip.</w:t>
      </w:r>
    </w:p>
    <w:p>
      <w:pPr>
        <w:pStyle w:val="Heading2"/>
        <w:spacing w:after="120" w:before="260"/>
      </w:pPr>
      <w:r>
        <w:rPr>
          <w:rFonts w:ascii="Calibri" w:cs="Calibri" w:eastAsia="Calibri" w:hAnsi="Calibri"/>
          <w:b/>
          <w:bCs/>
          <w:color w:val="3B3B3B"/>
          <w:sz w:val="24"/>
          <w:szCs w:val="24"/>
        </w:rPr>
        <w:t xml:space="preserve">11.2 Recommended risk posture</w:t>
      </w:r>
    </w:p>
    <w:p>
      <w:pPr>
        <w:spacing w:after="120" w:before="0"/>
      </w:pPr>
      <w:r>
        <w:rPr>
          <w:rFonts w:ascii="Calibri" w:cs="Calibri" w:eastAsia="Calibri" w:hAnsi="Calibri"/>
          <w:color w:val="3B3B3B"/>
          <w:sz w:val="20"/>
          <w:szCs w:val="20"/>
        </w:rPr>
        <w:t xml:space="preserve">Reduce scope, not rigour. One contract type, three reviewer functions, 15 to 20 clause types, one negotiation cycle. Every architectural control is implemented at full strength. Cutting controls to save time produces a proof of concept that demonstrates well and cannot be productionised, which is the worst outcome available.</w:t>
      </w:r>
    </w:p>
    <w:p>
      <w:pPr>
        <w:spacing w:after="120" w:before="0"/>
      </w:pPr>
      <w:r>
        <w:rPr>
          <w:rFonts w:ascii="Calibri" w:cs="Calibri" w:eastAsia="Calibri" w:hAnsi="Calibri"/>
          <w:color w:val="3B3B3B"/>
          <w:sz w:val="20"/>
          <w:szCs w:val="20"/>
        </w:rPr>
        <w:t xml:space="preserve">Two measurements decide viability. First, clause classification accuracy on a lawyer-labelled golden set: if routing is wrong often enough that reviewers see clauses that are not theirs, adoption fails regardless of architecture. Second, redline artefact fidelity on 20 or more real supplier templates: if the generated document misrenders in Word, the workflow is unusable end to end. Neither can be assessed from the architecture. Both must be instrumented from week one and stated as explicit exit criteria.</w:t>
      </w:r>
    </w:p>
    <w:p>
      <w:pPr>
        <w:spacing w:after="120" w:before="0"/>
      </w:pPr>
      <w:r>
        <w:rPr>
          <w:rFonts w:ascii="Calibri" w:cs="Calibri" w:eastAsia="Calibri" w:hAnsi="Calibri"/>
          <w:color w:val="3B3B3B"/>
          <w:sz w:val="20"/>
          <w:szCs w:val="20"/>
        </w:rPr>
        <w:t xml:space="preserve">Three things to state plainly to the client before commitment: Gemini Enterprise supplies intelligence and interaction while control and record are custom, at roughly a 40 to 60 ratio that does not improve with a better design; the proof of concept needs a machine-usable playbook and a signed authority matrix, neither of which exists today and both of which sit on the client's critical path; and if DocuSign CLM is the target system of record, the production architecture should let CLM own documents, versions and status from the start rather than building a parallel version ledger that is later discarded.</w:t>
      </w:r>
    </w:p>
    <w:p>
      <w:r>
        <w:br w:type="page"/>
      </w:r>
    </w:p>
    <w:p>
      <w:pPr>
        <w:sectPr>
          <w:footerReference w:type="default" r:id="rId8"/>
          <w:pgSz w:w="15840" w:h="12240" w:orient="landscape"/>
          <w:pgMar w:top="1080" w:right="1440" w:bottom="1080" w:left="1440" w:header="708" w:footer="708" w:gutter="0"/>
          <w:pgNumType/>
          <w:docGrid w:linePitch="360"/>
        </w:sectPr>
      </w:pPr>
    </w:p>
    <w:p>
      <w:pPr>
        <w:pStyle w:val="Heading1"/>
        <w:pBdr>
          <w:bottom w:val="single" w:color="5B2A86" w:sz="8" w:space="4"/>
        </w:pBdr>
        <w:spacing w:after="180" w:before="360"/>
      </w:pPr>
      <w:r>
        <w:rPr>
          <w:rFonts w:ascii="Calibri" w:cs="Calibri" w:eastAsia="Calibri" w:hAnsi="Calibri"/>
          <w:b/>
          <w:bCs/>
          <w:color w:val="5B2A86"/>
          <w:sz w:val="30"/>
          <w:szCs w:val="30"/>
        </w:rPr>
        <w:t xml:space="preserve">12. Stage 10 — Proof-of-Concept Architecture Recommendation</w:t>
      </w:r>
    </w:p>
    <w:p>
      <w:pPr>
        <w:pStyle w:val="Heading2"/>
        <w:spacing w:after="120" w:before="260"/>
      </w:pPr>
      <w:r>
        <w:rPr>
          <w:rFonts w:ascii="Calibri" w:cs="Calibri" w:eastAsia="Calibri" w:hAnsi="Calibri"/>
          <w:b/>
          <w:bCs/>
          <w:color w:val="3B3B3B"/>
          <w:sz w:val="24"/>
          <w:szCs w:val="24"/>
        </w:rPr>
        <w:t xml:space="preserve">12.1 Minimum viable scope</w:t>
      </w:r>
    </w:p>
    <w:p>
      <w:pPr>
        <w:spacing w:after="120" w:before="0"/>
      </w:pPr>
      <w:r>
        <w:rPr>
          <w:rFonts w:ascii="Calibri" w:cs="Calibri" w:eastAsia="Calibri" w:hAnsi="Calibri"/>
          <w:color w:val="3B3B3B"/>
          <w:sz w:val="20"/>
          <w:szCs w:val="20"/>
        </w:rPr>
        <w:t xml:space="preserve">One contract type with numbered clauses. Three reviewer functions. 15 to 20 clause types. One negotiation cycle plus one re-entry. Every architectural control at full strength; nothing else.</w:t>
      </w:r>
    </w:p>
    <w:p>
      <w:pPr>
        <w:spacing w:after="120" w:before="0"/>
      </w:pPr>
      <w:r>
        <w:rPr>
          <w:rFonts w:ascii="Calibri" w:cs="Calibri" w:eastAsia="Calibri" w:hAnsi="Calibri"/>
          <w:b/>
          <w:bCs/>
          <w:color w:val="3B3B3B"/>
          <w:sz w:val="20"/>
          <w:szCs w:val="20"/>
        </w:rPr>
        <w:t xml:space="preserve">The design test for every component: does removing it make the proof of concept undemonstrable, or merely less complete? If the latter, it is out.</w:t>
      </w:r>
    </w:p>
    <w:p>
      <w:pPr>
        <w:pStyle w:val="Heading2"/>
        <w:spacing w:after="120" w:before="260"/>
      </w:pPr>
      <w:r>
        <w:rPr>
          <w:rFonts w:ascii="Calibri" w:cs="Calibri" w:eastAsia="Calibri" w:hAnsi="Calibri"/>
          <w:b/>
          <w:bCs/>
          <w:color w:val="3B3B3B"/>
          <w:sz w:val="24"/>
          <w:szCs w:val="24"/>
        </w:rPr>
        <w:t xml:space="preserve">12.2 Gemini Enterprise responsibilities</w:t>
      </w:r>
    </w:p>
    <w:p>
      <w:pPr>
        <w:spacing w:after="120" w:before="0"/>
      </w:pPr>
      <w:r>
        <w:rPr>
          <w:rFonts w:ascii="Calibri" w:cs="Calibri" w:eastAsia="Calibri" w:hAnsi="Calibri"/>
          <w:color w:val="3B3B3B"/>
          <w:sz w:val="20"/>
          <w:szCs w:val="20"/>
        </w:rPr>
        <w:t xml:space="preserve">Three things, and deliberately no more.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800"/>
        <w:gridCol w:w="3360"/>
      </w:tblGrid>
      <w:tr>
        <w:trPr>
          <w:tblHeader/>
        </w:trPr>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Component</w:t>
            </w:r>
          </w:p>
        </w:tc>
        <w:tc>
          <w:tcPr>
            <w:tcW w:type="dxa" w:w="38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What it does</w:t>
            </w:r>
          </w:p>
        </w:tc>
        <w:tc>
          <w:tcPr>
            <w:tcW w:type="dxa" w:w="3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GEP and not custom</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Enterprise app and data stores</w:t>
            </w:r>
          </w:p>
        </w:tc>
        <w:tc>
          <w:tcPr>
            <w:tcW w:type="dxa" w:w="3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Indexes the approved-clause library, prior executed contracts and current contract versions. ACL-aware blended retrieval with citations</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Native, zero build, and the grounding substrate for the assistant</w:t>
            </w:r>
          </w:p>
        </w:tc>
      </w:tr>
      <w:tr>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Assistant Agent (Agent Designer)</w:t>
            </w:r>
          </w:p>
        </w:tc>
        <w:tc>
          <w:tcPr>
            <w:tcW w:type="dxa" w:w="38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Read-only conversational Q&amp;A for reviewers mid-deliberation: standard positions on liability caps, how a comparable clause was handled with another supplier. Grounded and cited</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This is the licence justification. Without it, GEP is an ADK hosting substrate</w:t>
            </w:r>
          </w:p>
        </w:tc>
      </w:tr>
      <w:tr>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Inbox</w:t>
            </w:r>
          </w:p>
        </w:tc>
        <w:tc>
          <w:tcPr>
            <w:tcW w:type="dxa" w:w="38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Purchasing Agent visibility into analysis agent run status — completed, errored, needs input</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Free operational signal. Not a work queue</w:t>
            </w:r>
          </w:p>
        </w:tc>
      </w:tr>
    </w:tbl>
    <w:p>
      <w:pPr>
        <w:spacing w:after="120" w:before="100"/>
      </w:pPr>
      <w:r>
        <w:rPr>
          <w:rFonts w:ascii="Calibri" w:cs="Calibri" w:eastAsia="Calibri" w:hAnsi="Calibri"/>
          <w:color w:val="3B3B3B"/>
          <w:sz w:val="20"/>
          <w:szCs w:val="20"/>
        </w:rPr>
        <w:t xml:space="preserve">Deliberately not GEP: the workflow engine, the reviewer work surface, task assignment, routing, conflict detection, versioning and the redline artefact. Stages 1 to 9 establish each as unsupported. A2UI is out of proof-of-concept scope: the version 0.8 component ceiling and the A2A registration constraint mean a clause-diff grid cannot be built there reliably. Revisit after the proof of concept validates the workflow.</w:t>
      </w:r>
    </w:p>
    <w:p>
      <w:pPr>
        <w:pStyle w:val="Heading2"/>
        <w:spacing w:after="120" w:before="260"/>
      </w:pPr>
      <w:r>
        <w:rPr>
          <w:rFonts w:ascii="Calibri" w:cs="Calibri" w:eastAsia="Calibri" w:hAnsi="Calibri"/>
          <w:b/>
          <w:bCs/>
          <w:color w:val="3B3B3B"/>
          <w:sz w:val="24"/>
          <w:szCs w:val="24"/>
        </w:rPr>
        <w:t xml:space="preserve">12.3 Google Cloud supporting services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5100"/>
        <w:gridCol w:w="1760"/>
      </w:tblGrid>
      <w:tr>
        <w:trPr>
          <w:tblHeader/>
        </w:trPr>
        <w:tc>
          <w:tcPr>
            <w:tcW w:type="dxa" w:w="2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Service</w:t>
            </w:r>
          </w:p>
        </w:tc>
        <w:tc>
          <w:tcPr>
            <w:tcW w:type="dxa" w:w="5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Role in the proof of concept</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Minimum viable?</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AI Layout Parser</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Structure extraction with page and offset anchors — the addressable block tree clause segmentation requires</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the GEP built-in parser cannot anchor clauses to source</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Gemini 3.1 Pro and Gemini 3 Flash</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Flash for classification volume; Pro for deviation reasoning and drafting</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Agent Runtime (ADK)</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Hosts the three stateless analysis agents</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Cloud Run would also work; Agent Runtime provides observability and Agent Identity</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Workflows</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Process state machine: fan-out, await-callback, barrier, escalation</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the coordination layer GEP lacks</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Tasks</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SLA timers, reminders, sweeper re-drive</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AlloyDB for PostgreSQL</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System of record — all entities, foreign-key-enforced traceability, row-level security for clause visibility</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non-negotiable</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Storage</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Immutable blobs, layout artefacts, version snapshots. Object versioning with generation pinned</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BigQuery</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Append-only domain event stream for business audit</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Google logs do not record business decisions</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Run</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Intake service, decision and packet API, routing, conflict evaluator, version service, document service, reviewer interface</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Pub/Sub and Eventarc</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Intake trigger, parse-complete events</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Gmail API and Google Chat API</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Intake watch; digest-batched reviewer notifications</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Google Docs and Drive API</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Internal reviewer redline surface — suggestion mode and assigned comments</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Sensitive Data Protection (DLP)</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Personal data inspection at intake; classification tagging</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Model Armor</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Prompt and response inspection on the supplier-document path</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 supplier documents are untrusted input</w:t>
            </w:r>
          </w:p>
        </w:tc>
      </w:tr>
      <w:tr>
        <w:tc>
          <w:tcPr>
            <w:tcW w:type="dxa" w:w="2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Logging, Monitoring and Trace</w:t>
            </w:r>
          </w:p>
        </w:tc>
        <w:tc>
          <w:tcPr>
            <w:tcW w:type="dxa" w:w="5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Platform audit, agent traces, metrics</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 with bounded trace retention</w:t>
            </w:r>
          </w:p>
        </w:tc>
      </w:tr>
      <w:tr>
        <w:tc>
          <w:tcPr>
            <w:tcW w:type="dxa" w:w="2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Secret Manager, IAM, Cloud KMS (CMEK)</w:t>
            </w:r>
          </w:p>
        </w:tc>
        <w:tc>
          <w:tcPr>
            <w:tcW w:type="dxa" w:w="5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Credentials, least-privilege agent grants, encryption</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Yes</w:t>
            </w:r>
          </w:p>
        </w:tc>
      </w:tr>
    </w:tbl>
    <w:p>
      <w:pPr>
        <w:spacing w:after="120" w:before="100"/>
      </w:pPr>
      <w:r>
        <w:rPr>
          <w:rFonts w:ascii="Calibri" w:cs="Calibri" w:eastAsia="Calibri" w:hAnsi="Calibri"/>
          <w:color w:val="3B3B3B"/>
          <w:sz w:val="20"/>
          <w:szCs w:val="20"/>
        </w:rPr>
        <w:t xml:space="preserve">Explicitly deferred: Spanner, Application Integration, Vector Search, RAG Engine, Memory Bank (disabled per Stage 8), Agent Gateway and Looker.</w:t>
      </w:r>
    </w:p>
    <w:p>
      <w:pPr>
        <w:pStyle w:val="Heading2"/>
        <w:spacing w:after="120" w:before="260"/>
      </w:pPr>
      <w:r>
        <w:rPr>
          <w:rFonts w:ascii="Calibri" w:cs="Calibri" w:eastAsia="Calibri" w:hAnsi="Calibri"/>
          <w:b/>
          <w:bCs/>
          <w:color w:val="3B3B3B"/>
          <w:sz w:val="24"/>
          <w:szCs w:val="24"/>
        </w:rPr>
        <w:t xml:space="preserve">12.4 Custom application components</w:t>
      </w:r>
    </w:p>
    <w:p>
      <w:pPr>
        <w:spacing w:after="120" w:before="0"/>
      </w:pPr>
      <w:r>
        <w:rPr>
          <w:rFonts w:ascii="Calibri" w:cs="Calibri" w:eastAsia="Calibri" w:hAnsi="Calibri"/>
          <w:color w:val="3B3B3B"/>
          <w:sz w:val="20"/>
          <w:szCs w:val="20"/>
        </w:rPr>
        <w:t xml:space="preserve">Nine services. This is the honest count.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5300"/>
        <w:gridCol w:w="1760"/>
      </w:tblGrid>
      <w:tr>
        <w:trPr>
          <w:tblHeader/>
        </w:trPr>
        <w:tc>
          <w:tcPr>
            <w:tcW w:type="dxa" w:w="23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Component</w:t>
            </w:r>
          </w:p>
        </w:tc>
        <w:tc>
          <w:tcPr>
            <w:tcW w:type="dxa" w:w="53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Responsibility</w:t>
            </w:r>
          </w:p>
        </w:tc>
        <w:tc>
          <w:tcPr>
            <w:tcW w:type="dxa" w:w="1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Determinism</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Intake service</w:t>
            </w:r>
          </w:p>
        </w:tc>
        <w:tc>
          <w:tcPr>
            <w:tcW w:type="dxa" w:w="5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Gmail watch, validation, hashing, dedupe, DLP scan, contract identifier mint</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PA console and reviewer interface (one application)</w:t>
            </w:r>
          </w:p>
        </w:tc>
        <w:tc>
          <w:tcPr>
            <w:tcW w:type="dxa" w:w="5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Triage, upload, clause-diff three-pane review, decision capture, conflict resolution, consolidation approval</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server-side authorisation</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Segmentation service</w:t>
            </w:r>
          </w:p>
        </w:tc>
        <w:tc>
          <w:tcPr>
            <w:tcW w:type="dxa" w:w="5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Numbering-first deterministic pass; invokes the clause analysis agent on residual; writes clause instances</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Deterministic plus bounded model</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Playbook service</w:t>
            </w:r>
          </w:p>
        </w:tc>
        <w:tc>
          <w:tcPr>
            <w:tcW w:type="dxa" w:w="5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Keyed read on clause type and playbook version returning the approved clause and fallback ladder. Exposed as a tool to the redline agent</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FULLY DETERMINISTIC</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Routing service</w:t>
            </w:r>
          </w:p>
        </w:tc>
        <w:tc>
          <w:tcPr>
            <w:tcW w:type="dxa" w:w="5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Versioned matrix producing review task fan-out; stamps matrix version and routing reason</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FULLY DETERMINISTIC</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Decision and packet API</w:t>
            </w:r>
          </w:p>
        </w:tc>
        <w:tc>
          <w:tcPr>
            <w:tcW w:type="dxa" w:w="5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Row-level-security-filtered packet reads; authenticated append-only decision writes; fires the callback second</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FULLY DETERMINISTIC</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evaluator</w:t>
            </w:r>
          </w:p>
        </w:tc>
        <w:tc>
          <w:tcPr>
            <w:tcW w:type="dxa" w:w="5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Classes A, B, D, E and F predicates; escalation matrix lookup</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FULLY DETERMINISTIC</w:t>
            </w:r>
          </w:p>
        </w:tc>
      </w:tr>
      <w:tr>
        <w:tc>
          <w:tcPr>
            <w:tcW w:type="dxa" w:w="2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service</w:t>
            </w:r>
          </w:p>
        </w:tc>
        <w:tc>
          <w:tcPr>
            <w:tcW w:type="dxa" w:w="53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Redline from manifest to tracked-changes document; compare producing blackline plus structured diff. Schema-validate and fail closed. Swappable engine</w:t>
            </w:r>
          </w:p>
        </w:tc>
        <w:tc>
          <w:tcPr>
            <w:tcW w:type="dxa" w:w="1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FULLY DETERMINISTIC</w:t>
            </w:r>
          </w:p>
        </w:tc>
      </w:tr>
      <w:tr>
        <w:tc>
          <w:tcPr>
            <w:tcW w:type="dxa" w:w="2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Version service</w:t>
            </w:r>
          </w:p>
        </w:tc>
        <w:tc>
          <w:tcPr>
            <w:tcW w:type="dxa" w:w="53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Mint version identifier, carry clause lineage, snapshot immutable, re-import to the GEP data store</w:t>
            </w:r>
          </w:p>
        </w:tc>
        <w:tc>
          <w:tcPr>
            <w:tcW w:type="dxa" w:w="17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FULLY DETERMINISTIC</w:t>
            </w:r>
          </w:p>
        </w:tc>
      </w:tr>
    </w:tbl>
    <w:p>
      <w:pPr>
        <w:spacing w:after="120" w:before="100"/>
      </w:pPr>
      <w:r>
        <w:rPr>
          <w:rFonts w:ascii="Calibri" w:cs="Calibri" w:eastAsia="Calibri" w:hAnsi="Calibri"/>
          <w:b/>
          <w:bCs/>
          <w:color w:val="3B3B3B"/>
          <w:sz w:val="20"/>
          <w:szCs w:val="20"/>
        </w:rPr>
        <w:t xml:space="preserve">Plus three ADK agents — stateless, side-effect-free, zero write grants: clause analysis, redline analysis and consolidation. Seven of nine custom services are fully deterministic. That ratio is the architecture's central claim.</w:t>
      </w:r>
    </w:p>
    <w:p>
      <w:pPr>
        <w:pStyle w:val="Heading2"/>
        <w:spacing w:after="120" w:before="260"/>
      </w:pPr>
      <w:r>
        <w:rPr>
          <w:rFonts w:ascii="Calibri" w:cs="Calibri" w:eastAsia="Calibri" w:hAnsi="Calibri"/>
          <w:b/>
          <w:bCs/>
          <w:color w:val="3B3B3B"/>
          <w:sz w:val="24"/>
          <w:szCs w:val="24"/>
        </w:rPr>
        <w:t xml:space="preserve">12.5 Recommended architecture</w:t>
      </w:r>
    </w:p>
    <w:p>
      <w:pPr>
        <w:spacing w:after="0" w:line="200"/>
      </w:pPr>
      <w:r>
        <w:rPr>
          <w:rFonts w:ascii="Consolas" w:cs="Consolas" w:eastAsia="Consolas" w:hAnsi="Consolas"/>
          <w:color w:val="3B3B3B"/>
          <w:sz w:val="15"/>
          <w:szCs w:val="15"/>
        </w:rPr>
        <w:t xml:space="preserve">+-- SUPPLIER CONTRACT ------------------------------------------+</w:t>
      </w:r>
    </w:p>
    <w:p>
      <w:pPr>
        <w:spacing w:after="0" w:line="200"/>
      </w:pPr>
      <w:r>
        <w:rPr>
          <w:rFonts w:ascii="Consolas" w:cs="Consolas" w:eastAsia="Consolas" w:hAnsi="Consolas"/>
          <w:color w:val="3B3B3B"/>
          <w:sz w:val="15"/>
          <w:szCs w:val="15"/>
        </w:rPr>
        <w:t xml:space="preserve">|  Supplier email plus .docx attachment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CONTRACT INTAKE / PA UI ------------------------------------+</w:t>
      </w:r>
    </w:p>
    <w:p>
      <w:pPr>
        <w:spacing w:after="0" w:line="200"/>
      </w:pPr>
      <w:r>
        <w:rPr>
          <w:rFonts w:ascii="Consolas" w:cs="Consolas" w:eastAsia="Consolas" w:hAnsi="Consolas"/>
          <w:color w:val="3B3B3B"/>
          <w:sz w:val="15"/>
          <w:szCs w:val="15"/>
        </w:rPr>
        <w:t xml:space="preserve">|  Gmail API users.watch -&gt; Pub/Sub -&gt; Intake Service           |</w:t>
      </w:r>
    </w:p>
    <w:p>
      <w:pPr>
        <w:spacing w:after="0" w:line="200"/>
      </w:pPr>
      <w:r>
        <w:rPr>
          <w:rFonts w:ascii="Consolas" w:cs="Consolas" w:eastAsia="Consolas" w:hAnsi="Consolas"/>
          <w:color w:val="3B3B3B"/>
          <w:sz w:val="15"/>
          <w:szCs w:val="15"/>
        </w:rPr>
        <w:t xml:space="preserve">|    validate | sha256 dedupe | DLP inspect | mint contract_id   |</w:t>
      </w:r>
    </w:p>
    <w:p>
      <w:pPr>
        <w:spacing w:after="0" w:line="200"/>
      </w:pPr>
      <w:r>
        <w:rPr>
          <w:rFonts w:ascii="Consolas" w:cs="Consolas" w:eastAsia="Consolas" w:hAnsi="Consolas"/>
          <w:color w:val="3B3B3B"/>
          <w:sz w:val="15"/>
          <w:szCs w:val="15"/>
        </w:rPr>
        <w:t xml:space="preserve">|  -&gt; Cloud Storage (versioned, CMEK)  -&gt; AlloyDB intake queue   |</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PA Console (Cloud Run + IAP)      == GATE 1: PA triage ==     |</w:t>
      </w:r>
    </w:p>
    <w:p>
      <w:pPr>
        <w:spacing w:after="0" w:line="200"/>
      </w:pPr>
      <w:r>
        <w:rPr>
          <w:rFonts w:ascii="Consolas" w:cs="Consolas" w:eastAsia="Consolas" w:hAnsi="Consolas"/>
          <w:color w:val="3B3B3B"/>
          <w:sz w:val="15"/>
          <w:szCs w:val="15"/>
        </w:rPr>
        <w:t xml:space="preserve">|    confirm supplier and type | upload | mint version_id        |</w:t>
      </w:r>
    </w:p>
    <w:p>
      <w:pPr>
        <w:spacing w:after="0" w:line="200"/>
      </w:pPr>
      <w:r>
        <w:rPr>
          <w:rFonts w:ascii="Consolas" w:cs="Consolas" w:eastAsia="Consolas" w:hAnsi="Consolas"/>
          <w:color w:val="3B3B3B"/>
          <w:sz w:val="15"/>
          <w:szCs w:val="15"/>
        </w:rPr>
        <w:t xml:space="preserve">|  -&gt; Cloud Workflows execution starts (key = version_id)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DOCUMENT PROCESSING ----------------------------------------+</w:t>
      </w:r>
    </w:p>
    <w:p>
      <w:pPr>
        <w:spacing w:after="0" w:line="200"/>
      </w:pPr>
      <w:r>
        <w:rPr>
          <w:rFonts w:ascii="Consolas" w:cs="Consolas" w:eastAsia="Consolas" w:hAnsi="Consolas"/>
          <w:color w:val="3B3B3B"/>
          <w:sz w:val="15"/>
          <w:szCs w:val="15"/>
        </w:rPr>
        <w:t xml:space="preserve">|  Eventarc -&gt; Document AI Layout Parser (async batch)           |</w:t>
      </w:r>
    </w:p>
    <w:p>
      <w:pPr>
        <w:spacing w:after="0" w:line="200"/>
      </w:pPr>
      <w:r>
        <w:rPr>
          <w:rFonts w:ascii="Consolas" w:cs="Consolas" w:eastAsia="Consolas" w:hAnsi="Consolas"/>
          <w:color w:val="3B3B3B"/>
          <w:sz w:val="15"/>
          <w:szCs w:val="15"/>
        </w:rPr>
        <w:t xml:space="preserve">|    DocumentLayout proto -&gt; GCS artefact + section records      |</w:t>
      </w:r>
    </w:p>
    <w:p>
      <w:pPr>
        <w:spacing w:after="0" w:line="200"/>
      </w:pPr>
      <w:r>
        <w:rPr>
          <w:rFonts w:ascii="Consolas" w:cs="Consolas" w:eastAsia="Consolas" w:hAnsi="Consolas"/>
          <w:color w:val="3B3B3B"/>
          <w:sz w:val="15"/>
          <w:szCs w:val="15"/>
        </w:rPr>
        <w:t xml:space="preserve">|    parser_version pinned for reproducibility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CLAUSE EXTRACTION AND CLASSIFICATION -----------------------+</w:t>
      </w:r>
    </w:p>
    <w:p>
      <w:pPr>
        <w:spacing w:after="0" w:line="200"/>
      </w:pPr>
      <w:r>
        <w:rPr>
          <w:rFonts w:ascii="Consolas" w:cs="Consolas" w:eastAsia="Consolas" w:hAnsi="Consolas"/>
          <w:color w:val="3B3B3B"/>
          <w:sz w:val="15"/>
          <w:szCs w:val="15"/>
        </w:rPr>
        <w:t xml:space="preserve">|  Segmentation Service  &lt;- DETERMINISTIC numbering pass         |</w:t>
      </w:r>
    </w:p>
    <w:p>
      <w:pPr>
        <w:spacing w:after="0" w:line="200"/>
      </w:pPr>
      <w:r>
        <w:rPr>
          <w:rFonts w:ascii="Consolas" w:cs="Consolas" w:eastAsia="Consolas" w:hAnsi="Consolas"/>
          <w:color w:val="3B3B3B"/>
          <w:sz w:val="15"/>
          <w:szCs w:val="15"/>
        </w:rPr>
        <w:t xml:space="preserve">|         v  residual only                                       |</w:t>
      </w:r>
    </w:p>
    <w:p>
      <w:pPr>
        <w:spacing w:after="0" w:line="200"/>
      </w:pPr>
      <w:r>
        <w:rPr>
          <w:rFonts w:ascii="Consolas" w:cs="Consolas" w:eastAsia="Consolas" w:hAnsi="Consolas"/>
          <w:color w:val="3B3B3B"/>
          <w:sz w:val="15"/>
          <w:szCs w:val="15"/>
        </w:rPr>
        <w:t xml:space="preserve">|  AGENT 1 clause analysis (ADK / Agent Runtime / Flash)         |</w:t>
      </w:r>
    </w:p>
    <w:p>
      <w:pPr>
        <w:spacing w:after="0" w:line="200"/>
      </w:pPr>
      <w:r>
        <w:rPr>
          <w:rFonts w:ascii="Consolas" w:cs="Consolas" w:eastAsia="Consolas" w:hAnsi="Consolas"/>
          <w:color w:val="3B3B3B"/>
          <w:sz w:val="15"/>
          <w:szCs w:val="15"/>
        </w:rPr>
        <w:t xml:space="preserve">|    tools: get_layout_tree | get_clause_taxonomy                |</w:t>
      </w:r>
    </w:p>
    <w:p>
      <w:pPr>
        <w:spacing w:after="0" w:line="200"/>
      </w:pPr>
      <w:r>
        <w:rPr>
          <w:rFonts w:ascii="Consolas" w:cs="Consolas" w:eastAsia="Consolas" w:hAnsi="Consolas"/>
          <w:color w:val="3B3B3B"/>
          <w:sz w:val="15"/>
          <w:szCs w:val="15"/>
        </w:rPr>
        <w:t xml:space="preserve">|    returns clause list, type, confidence  [provenance=model]    |</w:t>
      </w:r>
    </w:p>
    <w:p>
      <w:pPr>
        <w:spacing w:after="0" w:line="200"/>
      </w:pPr>
      <w:r>
        <w:rPr>
          <w:rFonts w:ascii="Consolas" w:cs="Consolas" w:eastAsia="Consolas" w:hAnsi="Consolas"/>
          <w:color w:val="3B3B3B"/>
          <w:sz w:val="15"/>
          <w:szCs w:val="15"/>
        </w:rPr>
        <w:t xml:space="preserve">|  -&gt; conductor writes clause | clause_instance | classification  |</w:t>
      </w:r>
    </w:p>
    <w:p>
      <w:pPr>
        <w:spacing w:after="0" w:line="200"/>
      </w:pPr>
      <w:r>
        <w:rPr>
          <w:rFonts w:ascii="Consolas" w:cs="Consolas" w:eastAsia="Consolas" w:hAnsi="Consolas"/>
          <w:color w:val="3B3B3B"/>
          <w:sz w:val="15"/>
          <w:szCs w:val="15"/>
        </w:rPr>
        <w:t xml:space="preserve">|    low confidence -&gt; PA adjudication subflow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PLAYBOOK / POLICY GROUNDING --------------------------------+</w:t>
      </w:r>
    </w:p>
    <w:p>
      <w:pPr>
        <w:spacing w:after="0" w:line="200"/>
      </w:pPr>
      <w:r>
        <w:rPr>
          <w:rFonts w:ascii="Consolas" w:cs="Consolas" w:eastAsia="Consolas" w:hAnsi="Consolas"/>
          <w:color w:val="3B3B3B"/>
          <w:sz w:val="15"/>
          <w:szCs w:val="15"/>
        </w:rPr>
        <w:t xml:space="preserve">|  Playbook Service - KEYED READ on (clause_type,               |</w:t>
      </w:r>
    </w:p>
    <w:p>
      <w:pPr>
        <w:spacing w:after="0" w:line="200"/>
      </w:pPr>
      <w:r>
        <w:rPr>
          <w:rFonts w:ascii="Consolas" w:cs="Consolas" w:eastAsia="Consolas" w:hAnsi="Consolas"/>
          <w:color w:val="3B3B3B"/>
          <w:sz w:val="15"/>
          <w:szCs w:val="15"/>
        </w:rPr>
        <w:t xml:space="preserve">|    playbook_version) -&gt; approved clause + fallback ladder      |</w:t>
      </w:r>
    </w:p>
    <w:p>
      <w:pPr>
        <w:spacing w:after="0" w:line="200"/>
      </w:pPr>
      <w:r>
        <w:rPr>
          <w:rFonts w:ascii="Consolas" w:cs="Consolas" w:eastAsia="Consolas" w:hAnsi="Consolas"/>
          <w:color w:val="3B3B3B"/>
          <w:sz w:val="15"/>
          <w:szCs w:val="15"/>
        </w:rPr>
        <w:t xml:space="preserve">|    * deterministic baseline - NOT vector similarity            |</w:t>
      </w:r>
    </w:p>
    <w:p>
      <w:pPr>
        <w:spacing w:after="0" w:line="200"/>
      </w:pPr>
      <w:r>
        <w:rPr>
          <w:rFonts w:ascii="Consolas" w:cs="Consolas" w:eastAsia="Consolas" w:hAnsi="Consolas"/>
          <w:color w:val="3B3B3B"/>
          <w:sz w:val="15"/>
          <w:szCs w:val="15"/>
        </w:rPr>
        <w:t xml:space="preserve">|  GEP data store - playbook corpus indexed for AGENT 4 only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REDLINE ANALYSIS -------------------------------------------+</w:t>
      </w:r>
    </w:p>
    <w:p>
      <w:pPr>
        <w:spacing w:after="0" w:line="200"/>
      </w:pPr>
      <w:r>
        <w:rPr>
          <w:rFonts w:ascii="Consolas" w:cs="Consolas" w:eastAsia="Consolas" w:hAnsi="Consolas"/>
          <w:color w:val="3B3B3B"/>
          <w:sz w:val="15"/>
          <w:szCs w:val="15"/>
        </w:rPr>
        <w:t xml:space="preserve">|  AGENT 2 redline analysis (ADK / Pro / per-clause fan-out)     |</w:t>
      </w:r>
    </w:p>
    <w:p>
      <w:pPr>
        <w:spacing w:after="0" w:line="200"/>
      </w:pPr>
      <w:r>
        <w:rPr>
          <w:rFonts w:ascii="Consolas" w:cs="Consolas" w:eastAsia="Consolas" w:hAnsi="Consolas"/>
          <w:color w:val="3B3B3B"/>
          <w:sz w:val="15"/>
          <w:szCs w:val="15"/>
        </w:rPr>
        <w:t xml:space="preserve">|    tools: approved clause | fallback ladder | prior decisions   |</w:t>
      </w:r>
    </w:p>
    <w:p>
      <w:pPr>
        <w:spacing w:after="0" w:line="200"/>
      </w:pPr>
      <w:r>
        <w:rPr>
          <w:rFonts w:ascii="Consolas" w:cs="Consolas" w:eastAsia="Consolas" w:hAnsi="Consolas"/>
          <w:color w:val="3B3B3B"/>
          <w:sz w:val="15"/>
          <w:szCs w:val="15"/>
        </w:rPr>
        <w:t xml:space="preserve">|    Model Armor on input (supplier doc = untrusted)             |</w:t>
      </w:r>
    </w:p>
    <w:p>
      <w:pPr>
        <w:spacing w:after="0" w:line="200"/>
      </w:pPr>
      <w:r>
        <w:rPr>
          <w:rFonts w:ascii="Consolas" w:cs="Consolas" w:eastAsia="Consolas" w:hAnsi="Consolas"/>
          <w:color w:val="3B3B3B"/>
          <w:sz w:val="15"/>
          <w:szCs w:val="15"/>
        </w:rPr>
        <w:t xml:space="preserve">|    returns deviation features + draft  [provenance=model]      |</w:t>
      </w:r>
    </w:p>
    <w:p>
      <w:pPr>
        <w:spacing w:after="0" w:line="200"/>
      </w:pPr>
      <w:r>
        <w:rPr>
          <w:rFonts w:ascii="Consolas" w:cs="Consolas" w:eastAsia="Consolas" w:hAnsi="Consolas"/>
          <w:color w:val="3B3B3B"/>
          <w:sz w:val="15"/>
          <w:szCs w:val="15"/>
        </w:rPr>
        <w:t xml:space="preserve">|  Deterministic token diff -&gt; text_diff                          |</w:t>
      </w:r>
    </w:p>
    <w:p>
      <w:pPr>
        <w:spacing w:after="0" w:line="200"/>
      </w:pPr>
      <w:r>
        <w:rPr>
          <w:rFonts w:ascii="Consolas" w:cs="Consolas" w:eastAsia="Consolas" w:hAnsi="Consolas"/>
          <w:color w:val="3B3B3B"/>
          <w:sz w:val="15"/>
          <w:szCs w:val="15"/>
        </w:rPr>
        <w:t xml:space="preserve">|  * severity from RULE TABLE on features, never from the model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REVIEWER ROUTING -------------------------------------------+</w:t>
      </w:r>
    </w:p>
    <w:p>
      <w:pPr>
        <w:spacing w:after="0" w:line="200"/>
      </w:pPr>
      <w:r>
        <w:rPr>
          <w:rFonts w:ascii="Consolas" w:cs="Consolas" w:eastAsia="Consolas" w:hAnsi="Consolas"/>
          <w:color w:val="3B3B3B"/>
          <w:sz w:val="15"/>
          <w:szCs w:val="15"/>
        </w:rPr>
        <w:t xml:space="preserve">|  Routing Service    * ZERO MODEL - audit control point         |</w:t>
      </w:r>
    </w:p>
    <w:p>
      <w:pPr>
        <w:spacing w:after="0" w:line="200"/>
      </w:pPr>
      <w:r>
        <w:rPr>
          <w:rFonts w:ascii="Consolas" w:cs="Consolas" w:eastAsia="Consolas" w:hAnsi="Consolas"/>
          <w:color w:val="3B3B3B"/>
          <w:sz w:val="15"/>
          <w:szCs w:val="15"/>
        </w:rPr>
        <w:t xml:space="preserve">|    matrix(clause_type, severity, thresholds)                   |</w:t>
      </w:r>
    </w:p>
    <w:p>
      <w:pPr>
        <w:spacing w:after="0" w:line="200"/>
      </w:pPr>
      <w:r>
        <w:rPr>
          <w:rFonts w:ascii="Consolas" w:cs="Consolas" w:eastAsia="Consolas" w:hAnsi="Consolas"/>
          <w:color w:val="3B3B3B"/>
          <w:sz w:val="15"/>
          <w:szCs w:val="15"/>
        </w:rPr>
        <w:t xml:space="preserve">|      x clause_type_authority(primary, consulted, veto, tie)    |</w:t>
      </w:r>
    </w:p>
    <w:p>
      <w:pPr>
        <w:spacing w:after="0" w:line="200"/>
      </w:pPr>
      <w:r>
        <w:rPr>
          <w:rFonts w:ascii="Consolas" w:cs="Consolas" w:eastAsia="Consolas" w:hAnsi="Consolas"/>
          <w:color w:val="3B3B3B"/>
          <w:sz w:val="15"/>
          <w:szCs w:val="15"/>
        </w:rPr>
        <w:t xml:space="preserve">|  -&gt; review_task per (clause_instance x function)               |</w:t>
      </w:r>
    </w:p>
    <w:p>
      <w:pPr>
        <w:spacing w:after="0" w:line="200"/>
      </w:pPr>
      <w:r>
        <w:rPr>
          <w:rFonts w:ascii="Consolas" w:cs="Consolas" w:eastAsia="Consolas" w:hAnsi="Consolas"/>
          <w:color w:val="3B3B3B"/>
          <w:sz w:val="15"/>
          <w:szCs w:val="15"/>
        </w:rPr>
        <w:t xml:space="preserve">|  -&gt; immutable packet_snapshot per task                          |</w:t>
      </w:r>
    </w:p>
    <w:p>
      <w:pPr>
        <w:spacing w:after="0" w:line="200"/>
      </w:pPr>
      <w:r>
        <w:rPr>
          <w:rFonts w:ascii="Consolas" w:cs="Consolas" w:eastAsia="Consolas" w:hAnsi="Consolas"/>
          <w:color w:val="3B3B3B"/>
          <w:sz w:val="15"/>
          <w:szCs w:val="15"/>
        </w:rPr>
        <w:t xml:space="preserve">|  Cloud Workflows: parallel + shared[outcomes] + callback        |</w:t>
      </w:r>
    </w:p>
    <w:p>
      <w:pPr>
        <w:spacing w:after="0" w:line="200"/>
      </w:pPr>
      <w:r>
        <w:rPr>
          <w:rFonts w:ascii="Consolas" w:cs="Consolas" w:eastAsia="Consolas" w:hAnsi="Consolas"/>
          <w:color w:val="3B3B3B"/>
          <w:sz w:val="15"/>
          <w:szCs w:val="15"/>
        </w:rPr>
        <w:t xml:space="preserve">|  Notification Service -&gt; Gmail / Chat, DIGEST per reviewer      |</w:t>
      </w:r>
    </w:p>
    <w:p>
      <w:pPr>
        <w:spacing w:after="0" w:line="200"/>
      </w:pPr>
      <w:r>
        <w:rPr>
          <w:rFonts w:ascii="Consolas" w:cs="Consolas" w:eastAsia="Consolas" w:hAnsi="Consolas"/>
          <w:color w:val="3B3B3B"/>
          <w:sz w:val="15"/>
          <w:szCs w:val="15"/>
        </w:rPr>
        <w:t xml:space="preserve">|  Cloud Tasks: SLA timers at 50% and 90% plus escalation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                 v                v</w:t>
      </w:r>
    </w:p>
    <w:p>
      <w:pPr>
        <w:spacing w:after="0" w:line="200"/>
      </w:pPr>
      <w:r>
        <w:rPr>
          <w:rFonts w:ascii="Consolas" w:cs="Consolas" w:eastAsia="Consolas" w:hAnsi="Consolas"/>
          <w:color w:val="3B3B3B"/>
          <w:sz w:val="15"/>
          <w:szCs w:val="15"/>
        </w:rPr>
        <w:t xml:space="preserve">  [ LEGAL ]      [ PROCUREMENT ]     [ FINANCE ]</w:t>
      </w:r>
    </w:p>
    <w:p>
      <w:pPr>
        <w:spacing w:after="0" w:line="200"/>
      </w:pPr>
      <w:r>
        <w:rPr>
          <w:rFonts w:ascii="Consolas" w:cs="Consolas" w:eastAsia="Consolas" w:hAnsi="Consolas"/>
          <w:color w:val="3B3B3B"/>
          <w:sz w:val="15"/>
          <w:szCs w:val="15"/>
        </w:rPr>
        <w:t xml:space="preserve">       (PoC = 3 functions; matrix rows only to add more)</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Reviewer UI (Cloud Run) - clause diff three-pane</w:t>
      </w:r>
    </w:p>
    <w:p>
      <w:pPr>
        <w:spacing w:after="0" w:line="200"/>
      </w:pPr>
      <w:r>
        <w:rPr>
          <w:rFonts w:ascii="Consolas" w:cs="Consolas" w:eastAsia="Consolas" w:hAnsi="Consolas"/>
          <w:color w:val="3B3B3B"/>
          <w:sz w:val="15"/>
          <w:szCs w:val="15"/>
        </w:rPr>
        <w:t xml:space="preserve">    original | proposed | approved language + policy cite</w:t>
      </w:r>
    </w:p>
    <w:p>
      <w:pPr>
        <w:spacing w:after="0" w:line="200"/>
      </w:pPr>
      <w:r>
        <w:rPr>
          <w:rFonts w:ascii="Consolas" w:cs="Consolas" w:eastAsia="Consolas" w:hAnsi="Consolas"/>
          <w:color w:val="3B3B3B"/>
          <w:sz w:val="15"/>
          <w:szCs w:val="15"/>
        </w:rPr>
        <w:t xml:space="preserve">    + AI analysis panel (labelled)</w:t>
      </w:r>
    </w:p>
    <w:p>
      <w:pPr>
        <w:spacing w:after="0" w:line="200"/>
      </w:pPr>
      <w:r>
        <w:rPr>
          <w:rFonts w:ascii="Consolas" w:cs="Consolas" w:eastAsia="Consolas" w:hAnsi="Consolas"/>
          <w:color w:val="3B3B3B"/>
          <w:sz w:val="15"/>
          <w:szCs w:val="15"/>
        </w:rPr>
        <w:t xml:space="preserve">    AlloyDB ROW-LEVEL SECURITY on reviewer_function</w:t>
      </w:r>
    </w:p>
    <w:p>
      <w:pPr>
        <w:spacing w:after="0" w:line="200"/>
      </w:pPr>
      <w:r>
        <w:rPr>
          <w:rFonts w:ascii="Consolas" w:cs="Consolas" w:eastAsia="Consolas" w:hAnsi="Consolas"/>
          <w:color w:val="3B3B3B"/>
          <w:sz w:val="15"/>
          <w:szCs w:val="15"/>
        </w:rPr>
        <w:t xml:space="preserve">    Google Docs API suggestion mode - internal redline surface</w:t>
      </w:r>
    </w:p>
    <w:p>
      <w:pPr>
        <w:spacing w:after="0" w:line="200"/>
      </w:pPr>
      <w:r>
        <w:rPr>
          <w:rFonts w:ascii="Consolas" w:cs="Consolas" w:eastAsia="Consolas" w:hAnsi="Consolas"/>
          <w:color w:val="3B3B3B"/>
          <w:sz w:val="15"/>
          <w:szCs w:val="15"/>
        </w:rPr>
        <w:t xml:space="preserve">    GEP AGENT 4 reviewer assistant - read-only grounded Q&amp;A</w:t>
      </w:r>
    </w:p>
    <w:p>
      <w:pPr>
        <w:spacing w:after="0" w:line="200"/>
      </w:pPr>
      <w:r>
        <w:rPr>
          <w:rFonts w:ascii="Consolas" w:cs="Consolas" w:eastAsia="Consolas" w:hAnsi="Consolas"/>
          <w:color w:val="3B3B3B"/>
          <w:sz w:val="15"/>
          <w:szCs w:val="15"/>
        </w:rPr>
        <w:t xml:space="preserve">       |                 |                |</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REVIEW STATE / COMMENTS / DECISIONS == GATE 2 ==============+</w:t>
      </w:r>
    </w:p>
    <w:p>
      <w:pPr>
        <w:spacing w:after="0" w:line="200"/>
      </w:pPr>
      <w:r>
        <w:rPr>
          <w:rFonts w:ascii="Consolas" w:cs="Consolas" w:eastAsia="Consolas" w:hAnsi="Consolas"/>
          <w:color w:val="3B3B3B"/>
          <w:sz w:val="15"/>
          <w:szCs w:val="15"/>
        </w:rPr>
        <w:t xml:space="preserve">|  Decision API (Cloud Run)                                      |</w:t>
      </w:r>
    </w:p>
    <w:p>
      <w:pPr>
        <w:spacing w:after="0" w:line="200"/>
      </w:pPr>
      <w:r>
        <w:rPr>
          <w:rFonts w:ascii="Consolas" w:cs="Consolas" w:eastAsia="Consolas" w:hAnsi="Consolas"/>
          <w:color w:val="3B3B3B"/>
          <w:sz w:val="15"/>
          <w:szCs w:val="15"/>
        </w:rPr>
        <w:t xml:space="preserve">|    authenticate -&gt; authorise vs clause_type_authority          |</w:t>
      </w:r>
    </w:p>
    <w:p>
      <w:pPr>
        <w:spacing w:after="0" w:line="200"/>
      </w:pPr>
      <w:r>
        <w:rPr>
          <w:rFonts w:ascii="Consolas" w:cs="Consolas" w:eastAsia="Consolas" w:hAnsi="Consolas"/>
          <w:color w:val="3B3B3B"/>
          <w:sz w:val="15"/>
          <w:szCs w:val="15"/>
        </w:rPr>
        <w:t xml:space="preserve">|    (403 = Class F authority breach)                            |</w:t>
      </w:r>
    </w:p>
    <w:p>
      <w:pPr>
        <w:spacing w:after="0" w:line="200"/>
      </w:pPr>
      <w:r>
        <w:rPr>
          <w:rFonts w:ascii="Consolas" w:cs="Consolas" w:eastAsia="Consolas" w:hAnsi="Consolas"/>
          <w:color w:val="3B3B3B"/>
          <w:sz w:val="15"/>
          <w:szCs w:val="15"/>
        </w:rPr>
        <w:t xml:space="preserve">|  * WRITE FIRST, fire Workflows callback SECOND                 |</w:t>
      </w:r>
    </w:p>
    <w:p>
      <w:pPr>
        <w:spacing w:after="0" w:line="200"/>
      </w:pPr>
      <w:r>
        <w:rPr>
          <w:rFonts w:ascii="Consolas" w:cs="Consolas" w:eastAsia="Consolas" w:hAnsi="Consolas"/>
          <w:color w:val="3B3B3B"/>
          <w:sz w:val="15"/>
          <w:szCs w:val="15"/>
        </w:rPr>
        <w:t xml:space="preserve">|  -&gt; review_decision (APPEND-ONLY, supersedes chain)            |</w:t>
      </w:r>
    </w:p>
    <w:p>
      <w:pPr>
        <w:spacing w:after="0" w:line="200"/>
      </w:pPr>
      <w:r>
        <w:rPr>
          <w:rFonts w:ascii="Consolas" w:cs="Consolas" w:eastAsia="Consolas" w:hAnsi="Consolas"/>
          <w:color w:val="3B3B3B"/>
          <w:sz w:val="15"/>
          <w:szCs w:val="15"/>
        </w:rPr>
        <w:t xml:space="preserve">|  -&gt; review_comment (visibility scoped)                          |</w:t>
      </w:r>
    </w:p>
    <w:p>
      <w:pPr>
        <w:spacing w:after="0" w:line="200"/>
      </w:pPr>
      <w:r>
        <w:rPr>
          <w:rFonts w:ascii="Consolas" w:cs="Consolas" w:eastAsia="Consolas" w:hAnsi="Consolas"/>
          <w:color w:val="3B3B3B"/>
          <w:sz w:val="15"/>
          <w:szCs w:val="15"/>
        </w:rPr>
        <w:t xml:space="preserve">|  -&gt; BigQuery domain event (write-once)                          |</w:t>
      </w:r>
    </w:p>
    <w:p>
      <w:pPr>
        <w:spacing w:after="0" w:line="200"/>
      </w:pPr>
      <w:r>
        <w:rPr>
          <w:rFonts w:ascii="Consolas" w:cs="Consolas" w:eastAsia="Consolas" w:hAnsi="Consolas"/>
          <w:color w:val="3B3B3B"/>
          <w:sz w:val="15"/>
          <w:szCs w:val="15"/>
        </w:rPr>
        <w:t xml:space="preserve">|  Workflows branches resume independently; sweeper re-drives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CONFLICT DETECTION == GATE 3 ===============================+</w:t>
      </w:r>
    </w:p>
    <w:p>
      <w:pPr>
        <w:spacing w:after="0" w:line="200"/>
      </w:pPr>
      <w:r>
        <w:rPr>
          <w:rFonts w:ascii="Consolas" w:cs="Consolas" w:eastAsia="Consolas" w:hAnsi="Consolas"/>
          <w:color w:val="3B3B3B"/>
          <w:sz w:val="15"/>
          <w:szCs w:val="15"/>
        </w:rPr>
        <w:t xml:space="preserve">|  Conflict Evaluator     * DETERMINISTIC PREDICATES             |</w:t>
      </w:r>
    </w:p>
    <w:p>
      <w:pPr>
        <w:spacing w:after="0" w:line="200"/>
      </w:pPr>
      <w:r>
        <w:rPr>
          <w:rFonts w:ascii="Consolas" w:cs="Consolas" w:eastAsia="Consolas" w:hAnsi="Consolas"/>
          <w:color w:val="3B3B3B"/>
          <w:sz w:val="15"/>
          <w:szCs w:val="15"/>
        </w:rPr>
        <w:t xml:space="preserve">|    A contradiction | B textual divergence | D policy breach    |</w:t>
      </w:r>
    </w:p>
    <w:p>
      <w:pPr>
        <w:spacing w:after="0" w:line="200"/>
      </w:pPr>
      <w:r>
        <w:rPr>
          <w:rFonts w:ascii="Consolas" w:cs="Consolas" w:eastAsia="Consolas" w:hAnsi="Consolas"/>
          <w:color w:val="3B3B3B"/>
          <w:sz w:val="15"/>
          <w:szCs w:val="15"/>
        </w:rPr>
        <w:t xml:space="preserve">|    E cross-cycle reversal | F authority breach (403 at API)    |</w:t>
      </w:r>
    </w:p>
    <w:p>
      <w:pPr>
        <w:spacing w:after="0" w:line="200"/>
      </w:pPr>
      <w:r>
        <w:rPr>
          <w:rFonts w:ascii="Consolas" w:cs="Consolas" w:eastAsia="Consolas" w:hAnsi="Consolas"/>
          <w:color w:val="3B3B3B"/>
          <w:sz w:val="15"/>
          <w:szCs w:val="15"/>
        </w:rPr>
        <w:t xml:space="preserve">|    C1 clause_dependency rules (declared, numeric-evaluable)     |</w:t>
      </w:r>
    </w:p>
    <w:p>
      <w:pPr>
        <w:spacing w:after="0" w:line="200"/>
      </w:pPr>
      <w:r>
        <w:rPr>
          <w:rFonts w:ascii="Consolas" w:cs="Consolas" w:eastAsia="Consolas" w:hAnsi="Consolas"/>
          <w:color w:val="3B3B3B"/>
          <w:sz w:val="15"/>
          <w:szCs w:val="15"/>
        </w:rPr>
        <w:t xml:space="preserve">|  AGENT 3 characterises only [ai_summary, provenance=model]      |</w:t>
      </w:r>
    </w:p>
    <w:p>
      <w:pPr>
        <w:spacing w:after="0" w:line="200"/>
      </w:pPr>
      <w:r>
        <w:rPr>
          <w:rFonts w:ascii="Consolas" w:cs="Consolas" w:eastAsia="Consolas" w:hAnsi="Consolas"/>
          <w:color w:val="3B3B3B"/>
          <w:sz w:val="15"/>
          <w:szCs w:val="15"/>
        </w:rPr>
        <w:t xml:space="preserve">|  -&gt; clause_conflict + conflict_position (BOTH sides retained)   |</w:t>
      </w:r>
    </w:p>
    <w:p>
      <w:pPr>
        <w:spacing w:after="0" w:line="200"/>
      </w:pPr>
      <w:r>
        <w:rPr>
          <w:rFonts w:ascii="Consolas" w:cs="Consolas" w:eastAsia="Consolas" w:hAnsi="Consolas"/>
          <w:color w:val="3B3B3B"/>
          <w:sz w:val="15"/>
          <w:szCs w:val="15"/>
        </w:rPr>
        <w:t xml:space="preserve">|  -&gt; escalation ladder -&gt; resolver review_task                   |</w:t>
      </w:r>
    </w:p>
    <w:p>
      <w:pPr>
        <w:spacing w:after="0" w:line="200"/>
      </w:pPr>
      <w:r>
        <w:rPr>
          <w:rFonts w:ascii="Consolas" w:cs="Consolas" w:eastAsia="Consolas" w:hAnsi="Consolas"/>
          <w:color w:val="3B3B3B"/>
          <w:sz w:val="15"/>
          <w:szCs w:val="15"/>
        </w:rPr>
        <w:t xml:space="preserve">|  * exits CONFLICT only via human decision = RESOLUTION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PA CONSOLIDATION == GATE 4 =================================+</w:t>
      </w:r>
    </w:p>
    <w:p>
      <w:pPr>
        <w:spacing w:after="0" w:line="200"/>
      </w:pPr>
      <w:r>
        <w:rPr>
          <w:rFonts w:ascii="Consolas" w:cs="Consolas" w:eastAsia="Consolas" w:hAnsi="Consolas"/>
          <w:color w:val="3B3B3B"/>
          <w:sz w:val="15"/>
          <w:szCs w:val="15"/>
        </w:rPr>
        <w:t xml:space="preserve">|  Completion barrier (Cloud Workflows) * DETERMINISTIC          |</w:t>
      </w:r>
    </w:p>
    <w:p>
      <w:pPr>
        <w:spacing w:after="0" w:line="200"/>
      </w:pPr>
      <w:r>
        <w:rPr>
          <w:rFonts w:ascii="Consolas" w:cs="Consolas" w:eastAsia="Consolas" w:hAnsi="Consolas"/>
          <w:color w:val="3B3B3B"/>
          <w:sz w:val="15"/>
          <w:szCs w:val="15"/>
        </w:rPr>
        <w:t xml:space="preserve">|    open_tasks = 0 AND conflicted = 0 AND escalated = 0          |</w:t>
      </w:r>
    </w:p>
    <w:p>
      <w:pPr>
        <w:spacing w:after="0" w:line="200"/>
      </w:pPr>
      <w:r>
        <w:rPr>
          <w:rFonts w:ascii="Consolas" w:cs="Consolas" w:eastAsia="Consolas" w:hAnsi="Consolas"/>
          <w:color w:val="3B3B3B"/>
          <w:sz w:val="15"/>
          <w:szCs w:val="15"/>
        </w:rPr>
        <w:t xml:space="preserve">|  AGENT 3 consolidation (ADK / Pro)                              |</w:t>
      </w:r>
    </w:p>
    <w:p>
      <w:pPr>
        <w:spacing w:after="0" w:line="200"/>
      </w:pPr>
      <w:r>
        <w:rPr>
          <w:rFonts w:ascii="Consolas" w:cs="Consolas" w:eastAsia="Consolas" w:hAnsi="Consolas"/>
          <w:color w:val="3B3B3B"/>
          <w:sz w:val="15"/>
          <w:szCs w:val="15"/>
        </w:rPr>
        <w:t xml:space="preserve">|    C2 coherence scan -&gt; REVIEW_SUGGESTED (advisory only)        |</w:t>
      </w:r>
    </w:p>
    <w:p>
      <w:pPr>
        <w:spacing w:after="0" w:line="200"/>
      </w:pPr>
      <w:r>
        <w:rPr>
          <w:rFonts w:ascii="Consolas" w:cs="Consolas" w:eastAsia="Consolas" w:hAnsi="Consolas"/>
          <w:color w:val="3B3B3B"/>
          <w:sz w:val="15"/>
          <w:szCs w:val="15"/>
        </w:rPr>
        <w:t xml:space="preserve">|    returns change_manifest  [provenance=model]                  |</w:t>
      </w:r>
    </w:p>
    <w:p>
      <w:pPr>
        <w:spacing w:after="0" w:line="200"/>
      </w:pPr>
      <w:r>
        <w:rPr>
          <w:rFonts w:ascii="Consolas" w:cs="Consolas" w:eastAsia="Consolas" w:hAnsi="Consolas"/>
          <w:color w:val="3B3B3B"/>
          <w:sz w:val="15"/>
          <w:szCs w:val="15"/>
        </w:rPr>
        <w:t xml:space="preserve">|  PA Console - approves EACH change individually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CONTRACT VERSION GENERATION --------------------------------+</w:t>
      </w:r>
    </w:p>
    <w:p>
      <w:pPr>
        <w:spacing w:after="0" w:line="200"/>
      </w:pPr>
      <w:r>
        <w:rPr>
          <w:rFonts w:ascii="Consolas" w:cs="Consolas" w:eastAsia="Consolas" w:hAnsi="Consolas"/>
          <w:color w:val="3B3B3B"/>
          <w:sz w:val="15"/>
          <w:szCs w:val="15"/>
        </w:rPr>
        <w:t xml:space="preserve">|  Document Service (Cloud Run, containerised OOXML engine)      |</w:t>
      </w:r>
    </w:p>
    <w:p>
      <w:pPr>
        <w:spacing w:after="0" w:line="200"/>
      </w:pPr>
      <w:r>
        <w:rPr>
          <w:rFonts w:ascii="Consolas" w:cs="Consolas" w:eastAsia="Consolas" w:hAnsi="Consolas"/>
          <w:color w:val="3B3B3B"/>
          <w:sz w:val="15"/>
          <w:szCs w:val="15"/>
        </w:rPr>
        <w:t xml:space="preserve">|    /redline: base blob + manifest -&gt; tracked-changes .docx     |</w:t>
      </w:r>
    </w:p>
    <w:p>
      <w:pPr>
        <w:spacing w:after="0" w:line="200"/>
      </w:pPr>
      <w:r>
        <w:rPr>
          <w:rFonts w:ascii="Consolas" w:cs="Consolas" w:eastAsia="Consolas" w:hAnsi="Consolas"/>
          <w:color w:val="3B3B3B"/>
          <w:sz w:val="15"/>
          <w:szCs w:val="15"/>
        </w:rPr>
        <w:t xml:space="preserve">|    * filter review_comment.visibility AT GENERATION            |</w:t>
      </w:r>
    </w:p>
    <w:p>
      <w:pPr>
        <w:spacing w:after="0" w:line="200"/>
      </w:pPr>
      <w:r>
        <w:rPr>
          <w:rFonts w:ascii="Consolas" w:cs="Consolas" w:eastAsia="Consolas" w:hAnsi="Consolas"/>
          <w:color w:val="3B3B3B"/>
          <w:sz w:val="15"/>
          <w:szCs w:val="15"/>
        </w:rPr>
        <w:t xml:space="preserve">|    * assert zero FUNCTION_ONLY / PA_ONLY comments, fail closed |</w:t>
      </w:r>
    </w:p>
    <w:p>
      <w:pPr>
        <w:spacing w:after="0" w:line="200"/>
      </w:pPr>
      <w:r>
        <w:rPr>
          <w:rFonts w:ascii="Consolas" w:cs="Consolas" w:eastAsia="Consolas" w:hAnsi="Consolas"/>
          <w:color w:val="3B3B3B"/>
          <w:sz w:val="15"/>
          <w:szCs w:val="15"/>
        </w:rPr>
        <w:t xml:space="preserve">|    * OOXML schema validation before release                     |</w:t>
      </w:r>
    </w:p>
    <w:p>
      <w:pPr>
        <w:spacing w:after="0" w:line="200"/>
      </w:pPr>
      <w:r>
        <w:rPr>
          <w:rFonts w:ascii="Consolas" w:cs="Consolas" w:eastAsia="Consolas" w:hAnsi="Consolas"/>
          <w:color w:val="3B3B3B"/>
          <w:sz w:val="15"/>
          <w:szCs w:val="15"/>
        </w:rPr>
        <w:t xml:space="preserve">|  Version Service   * DETERMINISTIC                              |</w:t>
      </w:r>
    </w:p>
    <w:p>
      <w:pPr>
        <w:spacing w:after="0" w:line="200"/>
      </w:pPr>
      <w:r>
        <w:rPr>
          <w:rFonts w:ascii="Consolas" w:cs="Consolas" w:eastAsia="Consolas" w:hAnsi="Consolas"/>
          <w:color w:val="3B3B3B"/>
          <w:sz w:val="15"/>
          <w:szCs w:val="15"/>
        </w:rPr>
        <w:t xml:space="preserve">|    mint version_id n+1 | carry clause_id lineage | snapshot     |</w:t>
      </w:r>
    </w:p>
    <w:p>
      <w:pPr>
        <w:spacing w:after="0" w:line="200"/>
      </w:pPr>
      <w:r>
        <w:rPr>
          <w:rFonts w:ascii="Consolas" w:cs="Consolas" w:eastAsia="Consolas" w:hAnsi="Consolas"/>
          <w:color w:val="3B3B3B"/>
          <w:sz w:val="15"/>
          <w:szCs w:val="15"/>
        </w:rPr>
        <w:t xml:space="preserve">|    revision_change.driving_decision_id                          |</w:t>
      </w:r>
    </w:p>
    <w:p>
      <w:pPr>
        <w:spacing w:after="0" w:line="200"/>
      </w:pPr>
      <w:r>
        <w:rPr>
          <w:rFonts w:ascii="Consolas" w:cs="Consolas" w:eastAsia="Consolas" w:hAnsi="Consolas"/>
          <w:color w:val="3B3B3B"/>
          <w:sz w:val="15"/>
          <w:szCs w:val="15"/>
        </w:rPr>
        <w:t xml:space="preserve">|      &lt;- closes Decision -&gt; Revision                             |</w:t>
      </w:r>
    </w:p>
    <w:p>
      <w:pPr>
        <w:spacing w:after="0" w:line="200"/>
      </w:pPr>
      <w:r>
        <w:rPr>
          <w:rFonts w:ascii="Consolas" w:cs="Consolas" w:eastAsia="Consolas" w:hAnsi="Consolas"/>
          <w:color w:val="3B3B3B"/>
          <w:sz w:val="15"/>
          <w:szCs w:val="15"/>
        </w:rPr>
        <w:t xml:space="preserve">|  -&gt; GCS (generation pinned) | AlloyDB | BigQuery                |</w:t>
      </w:r>
    </w:p>
    <w:p>
      <w:pPr>
        <w:spacing w:after="0" w:line="200"/>
      </w:pPr>
      <w:r>
        <w:rPr>
          <w:rFonts w:ascii="Consolas" w:cs="Consolas" w:eastAsia="Consolas" w:hAnsi="Consolas"/>
          <w:color w:val="3B3B3B"/>
          <w:sz w:val="15"/>
          <w:szCs w:val="15"/>
        </w:rPr>
        <w:t xml:space="preserve">|  -&gt; GEP data store re-import (version metadata for filtering)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v</w:t>
      </w:r>
    </w:p>
    <w:p>
      <w:pPr>
        <w:spacing w:after="0" w:line="200"/>
      </w:pPr>
      <w:r>
        <w:rPr>
          <w:rFonts w:ascii="Consolas" w:cs="Consolas" w:eastAsia="Consolas" w:hAnsi="Consolas"/>
          <w:color w:val="3B3B3B"/>
          <w:sz w:val="15"/>
          <w:szCs w:val="15"/>
        </w:rPr>
        <w:t xml:space="preserve">+-- FINAL REVIEW / APPROVAL ------------------------------------+</w:t>
      </w:r>
    </w:p>
    <w:p>
      <w:pPr>
        <w:spacing w:after="0" w:line="200"/>
      </w:pPr>
      <w:r>
        <w:rPr>
          <w:rFonts w:ascii="Consolas" w:cs="Consolas" w:eastAsia="Consolas" w:hAnsi="Consolas"/>
          <w:color w:val="3B3B3B"/>
          <w:sz w:val="15"/>
          <w:szCs w:val="15"/>
        </w:rPr>
        <w:t xml:space="preserve">|  Document Service /compare -&gt; blackline v(n) vs v(n+1)          |</w:t>
      </w:r>
    </w:p>
    <w:p>
      <w:pPr>
        <w:spacing w:after="0" w:line="200"/>
      </w:pPr>
      <w:r>
        <w:rPr>
          <w:rFonts w:ascii="Consolas" w:cs="Consolas" w:eastAsia="Consolas" w:hAnsi="Consolas"/>
          <w:color w:val="3B3B3B"/>
          <w:sz w:val="15"/>
          <w:szCs w:val="15"/>
        </w:rPr>
        <w:t xml:space="preserve">|  PA plus function leads confirm; transition recorded            |</w:t>
      </w:r>
    </w:p>
    <w:p>
      <w:pPr>
        <w:spacing w:after="0" w:line="200"/>
      </w:pPr>
      <w:r>
        <w:rPr>
          <w:rFonts w:ascii="Consolas" w:cs="Consolas" w:eastAsia="Consolas" w:hAnsi="Consolas"/>
          <w:color w:val="3B3B3B"/>
          <w:sz w:val="15"/>
          <w:szCs w:val="15"/>
        </w:rPr>
        <w:t xml:space="preserve">|  -&gt; issue to supplier (Gmail API in the PoC)                    |</w:t>
      </w:r>
    </w:p>
    <w:p>
      <w:pPr>
        <w:spacing w:after="0" w:line="200"/>
      </w:pPr>
      <w:r>
        <w:rPr>
          <w:rFonts w:ascii="Consolas" w:cs="Consolas" w:eastAsia="Consolas" w:hAnsi="Consolas"/>
          <w:color w:val="3B3B3B"/>
          <w:sz w:val="15"/>
          <w:szCs w:val="15"/>
        </w:rPr>
        <w:t xml:space="preserve">|  -&gt; cycle repeats at intake, DELTA-SCOPED on text_sha256 *     |</w:t>
      </w:r>
    </w:p>
    <w:p>
      <w:pPr>
        <w:spacing w:after="0" w:line="200"/>
      </w:pPr>
      <w:r>
        <w:rPr>
          <w:rFonts w:ascii="Consolas" w:cs="Consolas" w:eastAsia="Consolas" w:hAnsi="Consolas"/>
          <w:color w:val="3B3B3B"/>
          <w:sz w:val="15"/>
          <w:szCs w:val="15"/>
        </w:rPr>
        <w:t xml:space="preserve">|     unchanged clauses inherit prior decision as CARRIED_FORWARD |</w:t>
      </w:r>
    </w:p>
    <w:p>
      <w:pPr>
        <w:spacing w:after="0" w:line="200"/>
      </w:pPr>
      <w:r>
        <w:rPr>
          <w:rFonts w:ascii="Consolas" w:cs="Consolas" w:eastAsia="Consolas" w:hAnsi="Consolas"/>
          <w:color w:val="3B3B3B"/>
          <w:sz w:val="15"/>
          <w:szCs w:val="15"/>
        </w:rPr>
        <w:t xml:space="preserve">+---------------------------------------------------------------+</w:t>
      </w:r>
    </w:p>
    <w:p>
      <w:pPr>
        <w:spacing w:after="0" w:line="200"/>
      </w:pPr>
      <w:r>
        <w:rPr>
          <w:rFonts w:ascii="Consolas" w:cs="Consolas" w:eastAsia="Consolas" w:hAnsi="Consolas"/>
          <w:color w:val="3B3B3B"/>
          <w:sz w:val="15"/>
          <w:szCs w:val="15"/>
        </w:rPr>
        <w:t xml:space="preserve"> </w:t>
      </w:r>
    </w:p>
    <w:p>
      <w:pPr>
        <w:spacing w:after="0" w:line="200"/>
      </w:pPr>
      <w:r>
        <w:rPr>
          <w:rFonts w:ascii="Consolas" w:cs="Consolas" w:eastAsia="Consolas" w:hAnsi="Consolas"/>
          <w:color w:val="3B3B3B"/>
          <w:sz w:val="15"/>
          <w:szCs w:val="15"/>
        </w:rPr>
        <w:t xml:space="preserve">*  = deterministic control point. No model in the path.</w:t>
      </w:r>
    </w:p>
    <w:p>
      <w:pPr>
        <w:spacing w:after="120" w:before="140"/>
      </w:pPr>
      <w:r>
        <w:rPr>
          <w:rFonts w:ascii="Calibri" w:cs="Calibri" w:eastAsia="Calibri" w:hAnsi="Calibri"/>
          <w:b/>
          <w:bCs/>
          <w:color w:val="3B3B3B"/>
          <w:sz w:val="20"/>
          <w:szCs w:val="20"/>
        </w:rPr>
        <w:t xml:space="preserve">The nine marked control points are the architecture. Each is a location where a model could plausibly have been used and deliberately is not.</w:t>
      </w:r>
    </w:p>
    <w:p>
      <w:pPr>
        <w:pStyle w:val="Heading2"/>
        <w:spacing w:after="120" w:before="260"/>
      </w:pPr>
      <w:r>
        <w:rPr>
          <w:rFonts w:ascii="Calibri" w:cs="Calibri" w:eastAsia="Calibri" w:hAnsi="Calibri"/>
          <w:b/>
          <w:bCs/>
          <w:color w:val="3B3B3B"/>
          <w:sz w:val="24"/>
          <w:szCs w:val="24"/>
        </w:rPr>
        <w:t xml:space="preserve">12.6 External enterprise integrations</w:t>
      </w:r>
    </w:p>
    <w:p>
      <w:pPr>
        <w:spacing w:after="120" w:before="0"/>
      </w:pPr>
      <w:r>
        <w:rPr>
          <w:rFonts w:ascii="Calibri" w:cs="Calibri" w:eastAsia="Calibri" w:hAnsi="Calibri"/>
          <w:color w:val="3B3B3B"/>
          <w:sz w:val="20"/>
          <w:szCs w:val="20"/>
        </w:rPr>
        <w:t xml:space="preserve">None built in the proof of concept. All designed for.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2600"/>
        <w:gridCol w:w="2000"/>
        <w:gridCol w:w="2660"/>
      </w:tblGrid>
      <w:tr>
        <w:trPr>
          <w:tblHeader/>
        </w:trPr>
        <w:tc>
          <w:tcPr>
            <w:tcW w:type="dxa" w:w="2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System</w:t>
            </w:r>
          </w:p>
        </w:tc>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Eventual role</w:t>
            </w:r>
          </w:p>
        </w:tc>
        <w:tc>
          <w:tcPr>
            <w:tcW w:type="dxa" w:w="20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PoC substitute</w:t>
            </w:r>
          </w:p>
        </w:tc>
        <w:tc>
          <w:tcPr>
            <w:tcW w:type="dxa" w:w="26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Integration shape</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DocuSign CLM</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Document, version and status system of record</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Custom version service</w:t>
            </w:r>
          </w:p>
        </w:tc>
        <w:tc>
          <w:tcPr>
            <w:tcW w:type="dxa" w:w="2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key production decision. If CLM owns the artefact and version ledger, the version service becomes a thin adapter and the document service may be retired. Do not build a parallel ledger intending to keep it</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SAP Ariba</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Supplier master, sourcing event context, purchase order linkage</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Static supplier reference table</w:t>
            </w:r>
          </w:p>
        </w:tc>
        <w:tc>
          <w:tcPr>
            <w:tcW w:type="dxa" w:w="2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Ariba APIs for supplier validation and contract-to-PO linkage</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SharePoint, iManage, NetDocuments</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Existing contract repository</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Storage plus GEP data store</w:t>
            </w:r>
          </w:p>
        </w:tc>
        <w:tc>
          <w:tcPr>
            <w:tcW w:type="dxa" w:w="2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GEP connectors are index-only; write-back requires their native APIs</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DocuSign eSignature</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Execution</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Out of scope</w:t>
            </w:r>
          </w:p>
        </w:tc>
        <w:tc>
          <w:tcPr>
            <w:tcW w:type="dxa" w:w="2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Envelope API on final approval</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Client identity provider (Entra ID, Okta)</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Enterprise identity</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Workforce Identity Federation direct</w:t>
            </w:r>
          </w:p>
        </w:tc>
        <w:tc>
          <w:tcPr>
            <w:tcW w:type="dxa" w:w="2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SCIM group sync; MFA and conditional access at the IdP</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Exchange / Outlook</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Supplier correspondence</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Gmail API</w:t>
            </w:r>
          </w:p>
        </w:tc>
        <w:tc>
          <w:tcPr>
            <w:tcW w:type="dxa" w:w="2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Graph API subscription; GEP has an Outlook connector for indexing</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ServiceNow / Jira</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Enterprise task surface if reviewers will not adopt a new interface</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Custom reviewer interface</w:t>
            </w:r>
          </w:p>
        </w:tc>
        <w:tc>
          <w:tcPr>
            <w:tcW w:type="dxa" w:w="2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Task mirror with callback on decision</w:t>
            </w:r>
          </w:p>
        </w:tc>
      </w:tr>
      <w:tr>
        <w:tc>
          <w:tcPr>
            <w:tcW w:type="dxa" w:w="2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Vendor master / ERP</w:t>
            </w:r>
          </w:p>
        </w:tc>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entity, spend thresholds for delegation of authority</w:t>
            </w:r>
          </w:p>
        </w:tc>
        <w:tc>
          <w:tcPr>
            <w:tcW w:type="dxa" w:w="20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Static configuration</w:t>
            </w:r>
          </w:p>
        </w:tc>
        <w:tc>
          <w:tcPr>
            <w:tcW w:type="dxa" w:w="26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Required for authority gates, which are out of proof-of-concept scope</w:t>
            </w:r>
          </w:p>
        </w:tc>
      </w:tr>
      <w:tr>
        <w:tc>
          <w:tcPr>
            <w:tcW w:type="dxa" w:w="2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Governance, risk and compliance platform</w:t>
            </w:r>
          </w:p>
        </w:tc>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Playbook source of truth</w:t>
            </w:r>
          </w:p>
        </w:tc>
        <w:tc>
          <w:tcPr>
            <w:tcW w:type="dxa" w:w="20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Approved clause table</w:t>
            </w:r>
          </w:p>
        </w:tc>
        <w:tc>
          <w:tcPr>
            <w:tcW w:type="dxa" w:w="26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Synchronise approved language and effective dates</w:t>
            </w:r>
          </w:p>
        </w:tc>
      </w:tr>
    </w:tbl>
    <w:p>
      <w:pPr>
        <w:pStyle w:val="Heading2"/>
        <w:spacing w:after="120" w:before="260"/>
      </w:pPr>
      <w:r>
        <w:rPr>
          <w:rFonts w:ascii="Calibri" w:cs="Calibri" w:eastAsia="Calibri" w:hAnsi="Calibri"/>
          <w:b/>
          <w:bCs/>
          <w:color w:val="3B3B3B"/>
          <w:sz w:val="24"/>
          <w:szCs w:val="24"/>
        </w:rPr>
        <w:t xml:space="preserve">12.7 Why this is minimum, not reduced</w:t>
      </w:r>
    </w:p>
    <w:p>
      <w:pPr>
        <w:spacing w:after="120" w:before="0"/>
      </w:pPr>
      <w:r>
        <w:rPr>
          <w:rFonts w:ascii="Calibri" w:cs="Calibri" w:eastAsia="Calibri" w:hAnsi="Calibri"/>
          <w:color w:val="3B3B3B"/>
          <w:sz w:val="20"/>
          <w:szCs w:val="20"/>
        </w:rPr>
        <w:t xml:space="preserve">Four things are cut relative to production, and nothing else.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160"/>
      </w:tblGrid>
      <w:tr>
        <w:trPr>
          <w:tblHeader/>
        </w:trPr>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Cut</w:t>
            </w:r>
          </w:p>
        </w:tc>
        <w:tc>
          <w:tcPr>
            <w:tcW w:type="dxa" w:w="6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Rationale</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Five reviewer functions (Tax, Information Security, Privacy, Compliance, business)</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Matrix rows, not architecture. Three functions exercise fan-out, parallelism and conflict fully</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Authority thresholds, eSignature, Ariba</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Downstream of the demonstrated value; adds integration weeks without adding proof</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A2UI reviewer surface</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Blocked by version 0.8 constraints; the external interface is needed regardless</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Bidirectional CLM synchronisation</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consume the entire budget. Read-only integration only</w:t>
            </w:r>
          </w:p>
        </w:tc>
      </w:tr>
    </w:tbl>
    <w:p>
      <w:pPr>
        <w:spacing w:after="120" w:before="0"/>
      </w:pPr>
      <w:r>
        <w:rPr>
          <w:rFonts w:ascii="Calibri" w:cs="Calibri" w:eastAsia="Calibri" w:hAnsi="Calibri"/>
          <w:color w:val="3B3B3B"/>
          <w:sz w:val="20"/>
          <w:szCs w:val="20"/>
        </w:rPr>
        <w:t xml:space="preserve">Four things are not cut, despite the temptation.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160"/>
      </w:tblGrid>
      <w:tr>
        <w:trPr>
          <w:tblHeader/>
        </w:trPr>
        <w:tc>
          <w:tcPr>
            <w:tcW w:type="dxa" w:w="3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Kept</w:t>
            </w:r>
          </w:p>
        </w:tc>
        <w:tc>
          <w:tcPr>
            <w:tcW w:type="dxa" w:w="6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cutting it breaks the proof of concept</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Append-only decisions with supersession</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Retrofitting immutability onto mutable rows means rebuilding, not refactoring</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and clause-instance split</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Cannot be added after data exists. Cross-version lineage becomes unrecoverable</w:t>
            </w:r>
          </w:p>
        </w:tc>
      </w:tr>
      <w:tr>
        <w:tc>
          <w:tcPr>
            <w:tcW w:type="dxa" w:w="3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IAM-enforced zero agent write grants</w:t>
            </w:r>
          </w:p>
        </w:tc>
        <w:tc>
          <w:tcPr>
            <w:tcW w:type="dxa" w:w="61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core control. A proof of concept without it proves nothing about auditability</w:t>
            </w:r>
          </w:p>
        </w:tc>
      </w:tr>
      <w:tr>
        <w:tc>
          <w:tcPr>
            <w:tcW w:type="dxa" w:w="3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Comment visibility filtering at generation</w:t>
            </w:r>
          </w:p>
        </w:tc>
        <w:tc>
          <w:tcPr>
            <w:tcW w:type="dxa" w:w="6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One export defect away from a disclosure incident, even in a pilot</w:t>
            </w:r>
          </w:p>
        </w:tc>
      </w:tr>
    </w:tbl>
    <w:p>
      <w:pPr>
        <w:pStyle w:val="Heading2"/>
        <w:spacing w:after="120" w:before="260"/>
      </w:pPr>
      <w:r>
        <w:rPr>
          <w:rFonts w:ascii="Calibri" w:cs="Calibri" w:eastAsia="Calibri" w:hAnsi="Calibri"/>
          <w:b/>
          <w:bCs/>
          <w:color w:val="3B3B3B"/>
          <w:sz w:val="24"/>
          <w:szCs w:val="24"/>
        </w:rPr>
        <w:t xml:space="preserve">12.8 Sizing and exit criteria</w:t>
      </w:r>
    </w:p>
    <w:p>
      <w:pPr>
        <w:spacing w:after="120" w:before="0"/>
      </w:pPr>
      <w:r>
        <w:rPr>
          <w:rFonts w:ascii="Calibri" w:cs="Calibri" w:eastAsia="Calibri" w:hAnsi="Calibri"/>
          <w:color w:val="3B3B3B"/>
          <w:sz w:val="20"/>
          <w:szCs w:val="20"/>
        </w:rPr>
        <w:t xml:space="preserve">Eight to ten weeks with five to six people: one architect, two backend engineers for services and workflow, one data and machine learning engineer for agents and the evaluation harness, one frontend engineer for the reviewer interface and PA console, and half a client-side legal subject matter expert for taxonomy, playbook and labelling.</w:t>
      </w:r>
    </w:p>
    <w:p>
      <w:pPr>
        <w:pStyle w:val="Heading3"/>
        <w:spacing w:after="100" w:before="200"/>
      </w:pPr>
      <w:r>
        <w:rPr>
          <w:rFonts w:ascii="Calibri" w:cs="Calibri" w:eastAsia="Calibri" w:hAnsi="Calibri"/>
          <w:b/>
          <w:bCs/>
          <w:color w:val="5B2A86"/>
          <w:sz w:val="21"/>
          <w:szCs w:val="21"/>
        </w:rPr>
        <w:t xml:space="preserve">Client critical path, starting week 1</w:t>
      </w:r>
    </w:p>
    <w:p>
      <w:pPr>
        <w:pStyle w:val="ListParagraph"/>
        <w:numPr>
          <w:ilvl w:val="0"/>
          <w:numId w:val="2"/>
        </w:numPr>
        <w:spacing w:after="60"/>
      </w:pPr>
      <w:r>
        <w:rPr>
          <w:rFonts w:ascii="Calibri" w:cs="Calibri" w:eastAsia="Calibri" w:hAnsi="Calibri"/>
          <w:color w:val="3B3B3B"/>
          <w:sz w:val="20"/>
          <w:szCs w:val="20"/>
        </w:rPr>
        <w:t xml:space="preserve">Clause type authority matrix signed by Legal, Procurement and Finance</w:t>
      </w:r>
    </w:p>
    <w:p>
      <w:pPr>
        <w:pStyle w:val="ListParagraph"/>
        <w:numPr>
          <w:ilvl w:val="0"/>
          <w:numId w:val="2"/>
        </w:numPr>
        <w:spacing w:after="60"/>
      </w:pPr>
      <w:r>
        <w:rPr>
          <w:rFonts w:ascii="Calibri" w:cs="Calibri" w:eastAsia="Calibri" w:hAnsi="Calibri"/>
          <w:color w:val="3B3B3B"/>
          <w:sz w:val="20"/>
          <w:szCs w:val="20"/>
        </w:rPr>
        <w:t xml:space="preserve">15 to 20 clause types with preferred plus fallback language</w:t>
      </w:r>
    </w:p>
    <w:p>
      <w:pPr>
        <w:pStyle w:val="ListParagraph"/>
        <w:numPr>
          <w:ilvl w:val="0"/>
          <w:numId w:val="2"/>
        </w:numPr>
        <w:spacing w:after="60"/>
      </w:pPr>
      <w:r>
        <w:rPr>
          <w:rFonts w:ascii="Calibri" w:cs="Calibri" w:eastAsia="Calibri" w:hAnsi="Calibri"/>
          <w:color w:val="3B3B3B"/>
          <w:sz w:val="20"/>
          <w:szCs w:val="20"/>
        </w:rPr>
        <w:t xml:space="preserve">30 real supplier contracts labelled for segmentation and classification ground truth</w:t>
      </w:r>
    </w:p>
    <w:p>
      <w:pPr>
        <w:pStyle w:val="ListParagraph"/>
        <w:numPr>
          <w:ilvl w:val="0"/>
          <w:numId w:val="2"/>
        </w:numPr>
        <w:spacing w:after="60"/>
      </w:pPr>
      <w:r>
        <w:rPr>
          <w:rFonts w:ascii="Calibri" w:cs="Calibri" w:eastAsia="Calibri" w:hAnsi="Calibri"/>
          <w:color w:val="3B3B3B"/>
          <w:sz w:val="20"/>
          <w:szCs w:val="20"/>
        </w:rPr>
        <w:t xml:space="preserve">Indexing scope approved against supplier confidentiality obligations</w:t>
      </w:r>
    </w:p>
    <w:p>
      <w:pPr>
        <w:pStyle w:val="Heading3"/>
        <w:spacing w:after="100" w:before="200"/>
      </w:pPr>
      <w:r>
        <w:rPr>
          <w:rFonts w:ascii="Calibri" w:cs="Calibri" w:eastAsia="Calibri" w:hAnsi="Calibri"/>
          <w:b/>
          <w:bCs/>
          <w:color w:val="5B2A86"/>
          <w:sz w:val="21"/>
          <w:szCs w:val="21"/>
        </w:rPr>
        <w:t xml:space="preserve">Exit criteria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5400"/>
        <w:gridCol w:w="3360"/>
      </w:tblGrid>
      <w:tr>
        <w:trPr>
          <w:tblHeader/>
        </w:trPr>
        <w:tc>
          <w:tcPr>
            <w:tcW w:type="dxa" w:w="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5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Criterion</w:t>
            </w:r>
          </w:p>
        </w:tc>
        <w:tc>
          <w:tcPr>
            <w:tcW w:type="dxa" w:w="3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Threshold</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w:t>
            </w:r>
          </w:p>
        </w:tc>
        <w:tc>
          <w:tcPr>
            <w:tcW w:type="dxa" w:w="5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classification accuracy on the labelled golden set</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Agreed floor; if routing is frequently wrong, adoption fails regardless of architecture</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w:t>
            </w:r>
          </w:p>
        </w:tc>
        <w:tc>
          <w:tcPr>
            <w:tcW w:type="dxa" w:w="5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Generated document opens and renders correctly in Word</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20 or more real supplier templates, 100 per cent</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w:t>
            </w:r>
          </w:p>
        </w:tc>
        <w:tc>
          <w:tcPr>
            <w:tcW w:type="dxa" w:w="5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Zero agent-originated writes to decision, status, conflict or version tables</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Provable by IAM inspection and continuous-integration assertion</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w:t>
            </w:r>
          </w:p>
        </w:tc>
        <w:tc>
          <w:tcPr>
            <w:tcW w:type="dxa" w:w="5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Full Contract to Version to Section to Clause to Review to Decision to Revision chain queryable for any changed word</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single SQL query</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w:t>
            </w:r>
          </w:p>
        </w:tc>
        <w:tc>
          <w:tcPr>
            <w:tcW w:type="dxa" w:w="5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Conflict classes A, B, D, E and F detected deterministically and reproducibly</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100 per cent on constructed test cases</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6</w:t>
            </w:r>
          </w:p>
        </w:tc>
        <w:tc>
          <w:tcPr>
            <w:tcW w:type="dxa" w:w="5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One negotiation cycle completed with correct delta scoping and clause lineage</w:t>
            </w:r>
          </w:p>
        </w:tc>
        <w:tc>
          <w:tcPr>
            <w:tcW w:type="dxa" w:w="3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End to end</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7</w:t>
            </w:r>
          </w:p>
        </w:tc>
        <w:tc>
          <w:tcPr>
            <w:tcW w:type="dxa" w:w="5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Zero internal-visibility comments in any supplier-facing artefact</w:t>
            </w:r>
          </w:p>
        </w:tc>
        <w:tc>
          <w:tcPr>
            <w:tcW w:type="dxa" w:w="3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Automated assertion</w:t>
            </w:r>
          </w:p>
        </w:tc>
      </w:tr>
    </w:tbl>
    <w:p>
      <w:pPr>
        <w:spacing w:after="120" w:before="100"/>
      </w:pPr>
      <w:r>
        <w:rPr>
          <w:rFonts w:ascii="Calibri" w:cs="Calibri" w:eastAsia="Calibri" w:hAnsi="Calibri"/>
          <w:color w:val="3B3B3B"/>
          <w:sz w:val="20"/>
          <w:szCs w:val="20"/>
        </w:rPr>
        <w:t xml:space="preserve">Criteria 1 and 2 are the viability gates; neither is knowable from the architecture and both need instrumentation from week one. Criteria 3, 4 and 7 are the controls that make the proof of concept productionisable rather than merely demonstrable.</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13. Consolidated Recommendations</w:t>
      </w:r>
    </w:p>
    <w:p>
      <w:pPr>
        <w:pStyle w:val="Heading2"/>
        <w:spacing w:after="120" w:before="260"/>
      </w:pPr>
      <w:r>
        <w:rPr>
          <w:rFonts w:ascii="Calibri" w:cs="Calibri" w:eastAsia="Calibri" w:hAnsi="Calibri"/>
          <w:b/>
          <w:bCs/>
          <w:color w:val="3B3B3B"/>
          <w:sz w:val="24"/>
          <w:szCs w:val="24"/>
        </w:rPr>
        <w:t xml:space="preserve">13.1 Architectural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400"/>
        <w:gridCol w:w="5360"/>
      </w:tblGrid>
      <w:tr>
        <w:trPr>
          <w:tblHeader/>
        </w:trPr>
        <w:tc>
          <w:tcPr>
            <w:tcW w:type="dxa" w:w="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Recommendation</w:t>
            </w:r>
          </w:p>
        </w:tc>
        <w:tc>
          <w:tcPr>
            <w:tcW w:type="dxa" w:w="5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Rationale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A1</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Position Gemini Enterprise as the intelligence and interaction layer over a contract system of record — not as a CLM replacement</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GEP has no document of record, version lineage, task object or clause entity. Positioning it as a CLM requires rebuilding a CLM</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A2</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Cloud Workflows or Application Integration owns the process state machine; ADK agents are invoked as stateless steps</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Using Agent Runtime as the workflow engine places the audit trail inside agent session events and inherits a model-invoked gate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A3</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AlloyDB for PostgreSQL as the transactional system of record with enforced foreign keys</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traceability requirement is a referential integrity requirement. Application-enforced integrity cannot be defended in an audit</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A4</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Separate clause identity (contract-scoped) from clause text (version-scoped)</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Makes cross-version traceability a single join. Cannot be retrofitted once data exists</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A5</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Reviewers receive immutable clause packets, never documents</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Converts server-side OOXML merge — an unsolved problem — into database aggregation plus regeneration</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A6</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One containerised document service behind a two-method interface, with a swappable engine</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Fidelity failures on real supplier templates are likely; the escape hatch must be cheap</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A7</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Reviewer work surface as an external application, not A2UI, for the proof of concept</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A2UI version 0.8 component ceiling plus A2A registration constraint; and clause-level authorisation must not sit inside a model-driven agent</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A8</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Reduce to four agents from eleven candidates</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An agent is justified only where iterative reasoning over tool results is required. Routing, gating and persistence must never be agents</w:t>
            </w:r>
          </w:p>
        </w:tc>
      </w:tr>
    </w:tbl>
    <w:p>
      <w:pPr>
        <w:pStyle w:val="Heading2"/>
        <w:spacing w:after="120" w:before="260"/>
      </w:pPr>
      <w:r>
        <w:rPr>
          <w:rFonts w:ascii="Calibri" w:cs="Calibri" w:eastAsia="Calibri" w:hAnsi="Calibri"/>
          <w:b/>
          <w:bCs/>
          <w:color w:val="3B3B3B"/>
          <w:sz w:val="24"/>
          <w:szCs w:val="24"/>
        </w:rPr>
        <w:t xml:space="preserve">13.2 Control and governance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400"/>
        <w:gridCol w:w="5360"/>
      </w:tblGrid>
      <w:tr>
        <w:trPr>
          <w:tblHeader/>
        </w:trPr>
        <w:tc>
          <w:tcPr>
            <w:tcW w:type="dxa" w:w="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Recommendation</w:t>
            </w:r>
          </w:p>
        </w:tc>
        <w:tc>
          <w:tcPr>
            <w:tcW w:type="dxa" w:w="5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Rationale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C1</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Enforce the deterministic boundary with IAM, not convention: agent service accounts hold zero write grants on decision, conflict, task status, approval transition and version tables</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strongest of four controls. Prompt instructions and application checks can be bypassed by a code change; a missing IAM grant cannot</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C2</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Routing, conflict detection, severity banding, version increment, completion gating and delta scoping are all rule-based and versioned</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Each is an audit-visible control that must be reproducible and explainable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C3</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Append-only decisions with a supersession chain; never update a decision row</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An update destroys the record of what was originally decided — precisely the fact an auditor will request</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C4</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Provenance tag every field that can contain model output and render it with visible AI attribution</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Allows an auditor to query for any state change traceable to a non-human principal and receive zero rows</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C5</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Disable Memory Bank for all contract-workflow agents</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TTL expiry and model-driven memory generation place commercially sensitive terms outside the retention model, the classification scheme and the audit chain</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C6</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Enforce clause visibility in database row-level security via a server-side packet API</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GEP access control is document-level. Filtering in agent tool code puts the control point inside a model-driven process</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C7</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Filter comment visibility at document generation with an automated pre-transmission assertion</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Function-only deliberation in a supplier-facing artefact is a disclosure incident. Interface-only filtering is one defect away from disclosure</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C8</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Constrain model selection by organisation policy to Google-managed models</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Third-party models via Model Garden carry different data-handling terms; a developer switching model changes the security posture without a review</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C9</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Classify prompt and trace storage at the same level as the contract repository</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Traces contain clause text and negotiation positions. Broad debug access makes observability the softest path to sensitive data</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C10</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Timeouts never auto-approve; escalation ladders always terminate in a named individual</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Deemed approval indistinguishable from human approval is indefensible for indemnity and liability clauses. A looping ladder is a deadlock</w:t>
            </w:r>
          </w:p>
        </w:tc>
      </w:tr>
    </w:tbl>
    <w:p>
      <w:pPr>
        <w:pStyle w:val="Heading2"/>
        <w:spacing w:after="120" w:before="260"/>
      </w:pPr>
      <w:r>
        <w:rPr>
          <w:rFonts w:ascii="Calibri" w:cs="Calibri" w:eastAsia="Calibri" w:hAnsi="Calibri"/>
          <w:b/>
          <w:bCs/>
          <w:color w:val="3B3B3B"/>
          <w:sz w:val="24"/>
          <w:szCs w:val="24"/>
        </w:rPr>
        <w:t xml:space="preserve">13.3 Programme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400"/>
        <w:gridCol w:w="5360"/>
      </w:tblGrid>
      <w:tr>
        <w:trPr>
          <w:tblHeader/>
        </w:trPr>
        <w:tc>
          <w:tcPr>
            <w:tcW w:type="dxa" w:w="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3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Recommendation</w:t>
            </w:r>
          </w:p>
        </w:tc>
        <w:tc>
          <w:tcPr>
            <w:tcW w:type="dxa" w:w="53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Rationale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Start the clause type authority matrix sign-off in week 1</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Cross-functional policy decision requiring seven functions. It is the critical path and typically takes longer than the code it unblocks</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Assume the contract playbook does not exist and budget to build it</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Without an approved-clause corpus keyed by clause type, deviation detection has no baseline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P3</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Obtain 30 lawyer-labelled contracts as ground truth before writing the segmenter</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Segmentation and classification accuracy is the project's real risk, not orchestration</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P4</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Obtain Procurement Legal sign-off on the indexing scope before any data store is created</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Supplier confidentiality obligations may prohibit enterprise-wide indexing. This is a legal exposure, not a technical one</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P5</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Obtain a written legal position on erasure versus legal hold before build</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conflict has no technical resolution and is the item most likely to stop a go-live at user acceptance testing</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P6</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Verify the actual subscription edition and obtain the executed Service Specific Terms</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Training restriction and data processing addendum coverage are tier-dependent. Edition selection is a security control</w:t>
            </w:r>
          </w:p>
        </w:tc>
      </w:tr>
      <w:tr>
        <w:tc>
          <w:tcPr>
            <w:tcW w:type="dxa" w:w="6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P7</w:t>
            </w:r>
          </w:p>
        </w:tc>
        <w:tc>
          <w:tcPr>
            <w:tcW w:type="dxa" w:w="3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Gate production go-live on general availability for every critical-path component</w:t>
            </w:r>
          </w:p>
        </w:tc>
        <w:tc>
          <w:tcPr>
            <w:tcW w:type="dxa" w:w="53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Several relevant components are Preview and typically fall outside service level agreements and compliance attestation</w:t>
            </w:r>
          </w:p>
        </w:tc>
      </w:tr>
      <w:tr>
        <w:tc>
          <w:tcPr>
            <w:tcW w:type="dxa" w:w="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P8</w:t>
            </w:r>
          </w:p>
        </w:tc>
        <w:tc>
          <w:tcPr>
            <w:tcW w:type="dxa" w:w="3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Reduce scope, not rigour</w:t>
            </w:r>
          </w:p>
        </w:tc>
        <w:tc>
          <w:tcPr>
            <w:tcW w:type="dxa" w:w="53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proof of concept with reduced controls demonstrates well and cannot be productionised — the worst available outcome</w:t>
            </w:r>
          </w:p>
        </w:tc>
      </w:tr>
    </w:tbl>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14. Questions for Google Engineering</w:t>
      </w:r>
    </w:p>
    <w:p>
      <w:pPr>
        <w:spacing w:after="120" w:before="0"/>
      </w:pPr>
      <w:r>
        <w:rPr>
          <w:rFonts w:ascii="Calibri" w:cs="Calibri" w:eastAsia="Calibri" w:hAnsi="Calibri"/>
          <w:color w:val="3B3B3B"/>
          <w:sz w:val="20"/>
          <w:szCs w:val="20"/>
        </w:rPr>
        <w:t xml:space="preserve">Grouped by area and prioritised. P1 items materially affect the proof-of-concept architecture and should be answered before design freeze. P2 items affect production planning. P3 items are useful context.</w:t>
      </w:r>
    </w:p>
    <w:p>
      <w:pPr>
        <w:spacing w:after="120" w:before="0"/>
      </w:pPr>
      <w:r>
        <w:rPr>
          <w:rFonts w:ascii="Calibri" w:cs="Calibri" w:eastAsia="Calibri" w:hAnsi="Calibri"/>
          <w:b/>
          <w:bCs/>
          <w:color w:val="3B3B3B"/>
          <w:sz w:val="20"/>
          <w:szCs w:val="20"/>
        </w:rPr>
        <w:t xml:space="preserve">Section 14.7 is the most important. Several of this assessment's conclusions are negative findings — capabilities we assert are absent. Negative findings are the ones most worth testing against Google engineering directly, because an undocumented capability or an imminent roadmap item would change the design.</w:t>
      </w:r>
    </w:p>
    <w:p>
      <w:pPr>
        <w:pStyle w:val="Heading2"/>
        <w:spacing w:after="120" w:before="260"/>
      </w:pPr>
      <w:r>
        <w:rPr>
          <w:rFonts w:ascii="Calibri" w:cs="Calibri" w:eastAsia="Calibri" w:hAnsi="Calibri"/>
          <w:b/>
          <w:bCs/>
          <w:color w:val="3B3B3B"/>
          <w:sz w:val="24"/>
          <w:szCs w:val="24"/>
        </w:rPr>
        <w:t xml:space="preserve">14.1 Gap closure and roadmap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Question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it matters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there a roadmap for a first-class task, work-queue or assignment object in Gemini Enterprise, beyond Inbox notifications? If so, what is the expected timeline and shape?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single largest gap. Would reduce custom scope materially</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document version lineage on the roadmap for data stores, or is refresh-replaces-content the permanent model?</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Determines whether the custom version ledger is temporary or permanent</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any OOXML tracked-changes generation capability planned in Document AI, Workspace APIs or elsewhere on Google Cloud?</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remove the need for a custom document service or commercial engine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sub-document or chunk-level access control on the data store roadmap?</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allow clause-level visibility to be enforced by the platform rather than the application</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clause-level or semantic-section segmentation planned as a Document AI capability, as distinct from layout blocks?</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Currently our highest-risk custom component</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6</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Are there plans for a native business-event audit surface, as distinct from Cloud Audit Logs of API calls?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reduce the custom audit stream</w:t>
            </w:r>
          </w:p>
        </w:tc>
      </w:tr>
    </w:tbl>
    <w:p>
      <w:pPr>
        <w:pStyle w:val="Heading2"/>
        <w:spacing w:after="120" w:before="260"/>
      </w:pPr>
      <w:r>
        <w:rPr>
          <w:rFonts w:ascii="Calibri" w:cs="Calibri" w:eastAsia="Calibri" w:hAnsi="Calibri"/>
          <w:b/>
          <w:bCs/>
          <w:color w:val="3B3B3B"/>
          <w:sz w:val="24"/>
          <w:szCs w:val="24"/>
        </w:rPr>
        <w:t xml:space="preserve">14.2 Agent Platform, orchestration and runtime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Question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it matters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7</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Confirm the current maximum execution duration and maximum callback wait duration for Cloud Workflows in our target region, and whether either can be raised by quota request.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Multi-week negotiation cycles may exceed a single execution lifetime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8</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For Agent Runtime long-running agents, what is the documented maximum state retention duration, and what happens to in-flight state on a runtime version upgrade?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are recommending Workflows over Agent Runtime as conductor; this validates or overturns that</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9</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Can a single ADK long-running tool invocation be resumed by multiple independent callers, or is one-pause-one-resumer the supported contract?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Central to our conclusion that ADK long-running tools do not fit a multi-party review barrier</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10</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there a supported pattern for deterministic, non-model-invoked gating in ADK — can a tool be configured to always require confirmation rather than relying on the model to call an approval tool?</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gate whose invocation depends on inference is not a control. If this exists, it changes our assessment</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11</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specifically do we gain by hosting stateless analysis agents on Agent Runtime versus Cloud Run, and how does the cost model compare at our volumes?</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Hosting decision for three agents</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12</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Application Integration or Cloud Workflows the recommended orchestration layer for a gated, multi-party, human-in-the-loop business process on Google Cloud today?</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have recommended Workflows; a Google view would strengthen or revise that</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13</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How should idempotency and exactly-once semantics be handled across Workflows re-drives when the downstream write is to AlloyDB?</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Sweeper re-drive is central to our resilience design</w:t>
            </w:r>
          </w:p>
        </w:tc>
      </w:tr>
    </w:tbl>
    <w:p>
      <w:pPr>
        <w:pStyle w:val="Heading2"/>
        <w:spacing w:after="120" w:before="260"/>
      </w:pPr>
      <w:r>
        <w:rPr>
          <w:rFonts w:ascii="Calibri" w:cs="Calibri" w:eastAsia="Calibri" w:hAnsi="Calibri"/>
          <w:b/>
          <w:bCs/>
          <w:color w:val="3B3B3B"/>
          <w:sz w:val="24"/>
          <w:szCs w:val="24"/>
        </w:rPr>
        <w:t xml:space="preserve">14.3 A2UI and the reviewer surface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Question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it matters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14</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Confirm the A2UI specification version supported in Gemini Enterprise today and the roadmap to newer versions.</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understand v0.8 only; newer versions may change the decision</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15</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A2UI rendering still restricted to agents registered via the A2A path, excluding managed agents registered via the ADK definition? If so, is closing that on the roadmap?</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Directly determines hosting, identity and registration design for the reviewer agent</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16</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Can the A2UI component catalogue be extended with custom components inside Gemini Enterprise, or is the catalogue fixed?</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 clause-diff grid and side-by-side comparison are not obviously expressible in the standard catalogue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17</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there a supported or recommended pattern for a data grid or side-by-side document diff component within the Gemini Enterprise surface?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This is the component that decides whether the reviewer interface can live in GEP at all</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18</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Can an embedded or externally hosted application be surfaced inside the Gemini Enterprise app while inheriting its identity context?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allow one surface rather than two</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19</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How is per-record authorisation expected to be enforced for an A2UI agent — is delegated user identity available to the agent's tool calls, or does the agent act with its own service identity?</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Determines whether clause-level access can be enforced safely in a GEP-hosted agent</w:t>
            </w:r>
          </w:p>
        </w:tc>
      </w:tr>
    </w:tbl>
    <w:p>
      <w:pPr>
        <w:pStyle w:val="Heading2"/>
        <w:spacing w:after="120" w:before="260"/>
      </w:pPr>
      <w:r>
        <w:rPr>
          <w:rFonts w:ascii="Calibri" w:cs="Calibri" w:eastAsia="Calibri" w:hAnsi="Calibri"/>
          <w:b/>
          <w:bCs/>
          <w:color w:val="3B3B3B"/>
          <w:sz w:val="24"/>
          <w:szCs w:val="24"/>
        </w:rPr>
        <w:t xml:space="preserve">14.4 Document processing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Question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it matters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20</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Current page limits for the Document AI layout parser and OCR processor, and the general-availability timeline for DOCX layout parsing.</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Long master agreements with exhibits will exceed the 500-page OCR cap</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21</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Are page offsets, character offsets and bounding boxes stable across parser versions? What is the versioning and deprecation policy?</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Our source-location durability model pins parser version; we need to know the guarantee</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22</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Recommended approach for documents with exhibits and schedules that restart clause numbering.</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dominant real-world segmentation failure mode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23</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General-availability timeline and service level agreement coverage for Custom Extractor derived fields and signature detection.</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Currently Preview on specific model versions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24</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there guidance or a reference implementation for clause-boundary detection on top of the DocumentLayout proto?</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accelerate our highest-risk component</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25</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For the Bring Your Own Parsed Document capability, what is the allowlist process and does it apply to our subscription?</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P3</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let us use a superior external parse while retaining GEP retrieval</w:t>
            </w:r>
          </w:p>
        </w:tc>
      </w:tr>
    </w:tbl>
    <w:p>
      <w:pPr>
        <w:pStyle w:val="Heading2"/>
        <w:spacing w:after="120" w:before="260"/>
      </w:pPr>
      <w:r>
        <w:rPr>
          <w:rFonts w:ascii="Calibri" w:cs="Calibri" w:eastAsia="Calibri" w:hAnsi="Calibri"/>
          <w:b/>
          <w:bCs/>
          <w:color w:val="3B3B3B"/>
          <w:sz w:val="24"/>
          <w:szCs w:val="24"/>
        </w:rPr>
        <w:t xml:space="preserve">14.5 Security, governance and data handling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Question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it matters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26</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Confirm the exact edition on our subscription and the applicable Service Specific Terms, including the scope of the Training Restriction. Please provide the executed terms.</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Data-handling posture is tier-dependent; this is a security control</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27</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Precisely what prompt, response and trace content is logged and retained, by default and when configured — with retention windows per surface (assistant, agent, connector, observability)?</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Traces will contain supplier commercial terms; classification and retention depend on this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28</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Can Memory Bank be disabled at organisation-policy level rather than only per agent?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are treating Memory Bank as prohibited for this domain and want platform-level enforcement</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29</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Can model selection be constrained by organisation policy to Google-managed models only, excluding third-party Model Garden models?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Prevents a developer changing the data-handling posture without a security review</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30</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For third-party connectors, is FQDN-restricted egress the only mitigation available, or is a private connectivity path such as Private Service Connect on the roadmap?</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VPC Service Controls does not enclose connector egress; this is a material limitation for our CISO</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31</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Which components are not covered by CMEK or external key manager? Please confirm the current exclusion list.</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Needed for the security architecture document</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32</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data residency options apply to the Gemini Enterprise app for our regions, and does a regional rather than global app location support our data?</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 contracts may carry residency obligations</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33</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Access Transparency available at our subscription tier, and what does it cover for Gemini Enterprise and Agent Platform specifically?</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Google administrative access visibility is a standard security review question</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34</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is the recommended pattern for guarding against prompt injection embedded in untrusted third-party documents, beyond Model Armor?</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Supplier documents flow directly into prompts</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35</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 data store purge and deletion: what is the propagation guarantee, and does purging remove all derived artefacts including embeddings?</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Required for the retention and erasure position</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36</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How should Agent Identity and SPIFFE-based identity be used to enforce least privilege on agent database access in practice?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Our primary control depends on agent identity being distinct and enforceable</w:t>
            </w:r>
          </w:p>
        </w:tc>
      </w:tr>
    </w:tbl>
    <w:p>
      <w:pPr>
        <w:pStyle w:val="Heading2"/>
        <w:spacing w:after="120" w:before="260"/>
      </w:pPr>
      <w:r>
        <w:rPr>
          <w:rFonts w:ascii="Calibri" w:cs="Calibri" w:eastAsia="Calibri" w:hAnsi="Calibri"/>
          <w:b/>
          <w:bCs/>
          <w:color w:val="3B3B3B"/>
          <w:sz w:val="24"/>
          <w:szCs w:val="24"/>
        </w:rPr>
        <w:t xml:space="preserve">14.6 Commercial and operational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Question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Why it matters</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37</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is the appropriate licensing model for reviewers who use the assistant occasionally rather than daily? Is the Frontline edition suitable and what does it restrict?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Eight reviewer functions across a large procurement organisation drives licence cost</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38</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How does pooled quota behave for a bursty batch workload — per-clause fan-out produces spiky inference demand. What overage controls apply?</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Cost predictability for the business case</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39</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Are Provisioned Throughput commitments necessary at our expected volumes, and how are orders placed, scheduled and changed?</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Capacity planning</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40</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service level agreement and support tier apply to Preview components if any remain on our critical path?</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Security and operational review dependency</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41</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Are there reference architectures, published case studies or referenceable customers doing agentic contract lifecycle management on Gemini Enterprise?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Client confidence and design validation</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42</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What is the deprecation policy and notice period for Agent Platform components, given the recent consolidation from Vertex AI?</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Multi-year platform commitment</w:t>
            </w:r>
          </w:p>
        </w:tc>
      </w:tr>
    </w:tbl>
    <w:p>
      <w:pPr>
        <w:pStyle w:val="Heading2"/>
        <w:spacing w:after="120" w:before="260"/>
      </w:pPr>
      <w:r>
        <w:rPr>
          <w:rFonts w:ascii="Calibri" w:cs="Calibri" w:eastAsia="Calibri" w:hAnsi="Calibri"/>
          <w:b/>
          <w:bCs/>
          <w:color w:val="3B3B3B"/>
          <w:sz w:val="24"/>
          <w:szCs w:val="24"/>
        </w:rPr>
        <w:t xml:space="preserve">14.7 Validation of our assumptions — the most important set</w:t>
      </w:r>
    </w:p>
    <w:p>
      <w:pPr>
        <w:spacing w:after="120" w:before="0"/>
      </w:pPr>
      <w:r>
        <w:rPr>
          <w:rFonts w:ascii="Calibri" w:cs="Calibri" w:eastAsia="Calibri" w:hAnsi="Calibri"/>
          <w:color w:val="3B3B3B"/>
          <w:sz w:val="20"/>
          <w:szCs w:val="20"/>
        </w:rPr>
        <w:t xml:space="preserve">Each question below states a conclusion we have reached and asks Google engineering to confirm or correct it. These are framed as assertions deliberately, so that disagreement surfaces rather than being politely absorbed.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6100"/>
        <w:gridCol w:w="700"/>
        <w:gridCol w:w="2060"/>
      </w:tblGrid>
      <w:tr>
        <w:trPr>
          <w:tblHeader/>
        </w:trPr>
        <w:tc>
          <w:tcPr>
            <w:tcW w:type="dxa" w:w="5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w:t>
            </w:r>
          </w:p>
        </w:tc>
        <w:tc>
          <w:tcPr>
            <w:tcW w:type="dxa" w:w="61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Assertion for confirmation or correction</w:t>
            </w:r>
          </w:p>
        </w:tc>
        <w:tc>
          <w:tcPr>
            <w:tcW w:type="dxa" w:w="7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Pri</w:t>
            </w:r>
          </w:p>
        </w:tc>
        <w:tc>
          <w:tcPr>
            <w:tcW w:type="dxa" w:w="20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Impact if wrong</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43</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Gemini Enterprise provides no task, work-queue or assignment object, and that reviewer assignment, status, escalation and reassignment are therefore entirely custom. Correct?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Removes or retains a large block of custom scope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44</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data store refresh replaces indexed content and creates no version, so contract version lineage must be modelled externally. Correct?</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Determines whether a custom version ledger is needed at all</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45</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nothing in Gemini Enterprise, Agent Platform or Document AI generates OOXML tracked-changes markup, and that a custom or commercial component is unavoidable. Correct?</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One of three S1 technical risks</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46</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GEP access control is document-level and that clause-level visibility must be enforced in the application database. Correct?</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Central security control design</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47</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Agent Platform Sessions and Memory Bank are unsuitable as a system of record for legal decisions, and that Memory Bank in particular should be disabled for this domain. Do you agree?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architecture and governance position</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48</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the workflow state machine belongs in Cloud Workflows rather than in an Agent Runtime long-running agent, primarily because the audit trail must not live in agent session events. Do you agree?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single largest orchestration decision</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49</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approved clause retrieval must be a deterministic keyed lookup rather than vector similarity, so that deviation findings are reproducible. Do you agree?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Determines whether GEP retrieval is in the comparison path</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50</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We assert that ADK long-running tools are unsuitable as an approval gate for a regulated workflow because gate invocation depends on model inference. Do you agree, and is there a mitigation we have missed?</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Would materially simplify the design if wrong</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51</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our deterministic-versus-generative boundary consistent with Google's guidance for regulated and auditable workflows? Would you draw the line differently anywhere?</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Core architectural principle</w:t>
            </w:r>
          </w:p>
        </w:tc>
      </w:tr>
      <w:tr>
        <w:tc>
          <w:tcPr>
            <w:tcW w:type="dxa" w:w="5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52</w:t>
            </w:r>
          </w:p>
        </w:tc>
        <w:tc>
          <w:tcPr>
            <w:tcW w:type="dxa" w:w="61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Is there anything in this design that fights the platform, or that you would approach differently on Gemini Enterprise?</w:t>
            </w:r>
          </w:p>
        </w:tc>
        <w:tc>
          <w:tcPr>
            <w:tcW w:type="dxa" w:w="7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P1</w:t>
            </w:r>
          </w:p>
        </w:tc>
        <w:tc>
          <w:tcPr>
            <w:tcW w:type="dxa" w:w="20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The open question that most often surfaces the thing we missed</w:t>
            </w:r>
          </w:p>
        </w:tc>
      </w:tr>
      <w:tr>
        <w:tc>
          <w:tcPr>
            <w:tcW w:type="dxa" w:w="5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53</w:t>
            </w:r>
          </w:p>
        </w:tc>
        <w:tc>
          <w:tcPr>
            <w:tcW w:type="dxa" w:w="61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 your experience with comparable engagements, where does this class of solution most commonly fail?</w:t>
            </w:r>
          </w:p>
        </w:tc>
        <w:tc>
          <w:tcPr>
            <w:tcW w:type="dxa" w:w="7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P2</w:t>
            </w:r>
          </w:p>
        </w:tc>
        <w:tc>
          <w:tcPr>
            <w:tcW w:type="dxa" w:w="20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Risk register completeness</w:t>
            </w:r>
          </w:p>
        </w:tc>
      </w:tr>
    </w:tbl>
    <w:p>
      <w:pPr>
        <w:pStyle w:val="Heading2"/>
        <w:spacing w:after="120" w:before="260"/>
      </w:pPr>
      <w:r>
        <w:rPr>
          <w:rFonts w:ascii="Calibri" w:cs="Calibri" w:eastAsia="Calibri" w:hAnsi="Calibri"/>
          <w:b/>
          <w:bCs/>
          <w:color w:val="3B3B3B"/>
          <w:sz w:val="24"/>
          <w:szCs w:val="24"/>
        </w:rPr>
        <w:t xml:space="preserve">14.8 Suggested meeting structure</w:t>
      </w:r>
    </w:p>
    <w:p>
      <w:pPr>
        <w:spacing w:after="120" w:before="0"/>
      </w:pPr>
      <w:r>
        <w:rPr>
          <w:rFonts w:ascii="Calibri" w:cs="Calibri" w:eastAsia="Calibri" w:hAnsi="Calibri"/>
          <w:color w:val="3B3B3B"/>
          <w:sz w:val="20"/>
          <w:szCs w:val="20"/>
        </w:rPr>
        <w:t xml:space="preserve">Ninety minutes, in this order. Fifteen minutes on our architecture summary — the Stage 10 diagram and the deterministic boundary. Thirty minutes on section 14.7, the assumption validation set, because everything else depends on whether our negative findings hold. Twenty minutes on sections 14.1 to 14.3 — gap closure roadmap, orchestration and the A2UI reviewer-surface question, which is our largest open design decision. Fifteen minutes on section 14.5, security and data handling, with the CISO's representative present. Ten minutes on commercial and next steps.</w:t>
      </w:r>
    </w:p>
    <w:p>
      <w:pPr>
        <w:spacing w:after="120" w:before="0"/>
      </w:pPr>
      <w:r>
        <w:rPr>
          <w:rFonts w:ascii="Calibri" w:cs="Calibri" w:eastAsia="Calibri" w:hAnsi="Calibri"/>
          <w:b/>
          <w:bCs/>
          <w:color w:val="3B3B3B"/>
          <w:sz w:val="20"/>
          <w:szCs w:val="20"/>
        </w:rPr>
        <w:t xml:space="preserve">Request in advance: written answers to questions 7, 14, 15, 20, 26, 27 and 30. These are factual, documentation-based, and better answered from a source than from memory in a meeting.</w:t>
      </w:r>
    </w:p>
    <w:p>
      <w:r>
        <w:br w:type="page"/>
      </w:r>
    </w:p>
    <w:p>
      <w:pPr>
        <w:pStyle w:val="Heading1"/>
        <w:pBdr>
          <w:bottom w:val="single" w:color="5B2A86" w:sz="8" w:space="4"/>
        </w:pBdr>
        <w:spacing w:after="180" w:before="360"/>
      </w:pPr>
      <w:r>
        <w:rPr>
          <w:rFonts w:ascii="Calibri" w:cs="Calibri" w:eastAsia="Calibri" w:hAnsi="Calibri"/>
          <w:b/>
          <w:bCs/>
          <w:color w:val="5B2A86"/>
          <w:sz w:val="30"/>
          <w:szCs w:val="30"/>
        </w:rPr>
        <w:t xml:space="preserve">15. Client-Side Dependencies and Critical Path</w:t>
      </w:r>
    </w:p>
    <w:p>
      <w:pPr>
        <w:spacing w:after="120" w:before="0"/>
      </w:pPr>
      <w:r>
        <w:rPr>
          <w:rFonts w:ascii="Calibri" w:cs="Calibri" w:eastAsia="Calibri" w:hAnsi="Calibri"/>
          <w:color w:val="3B3B3B"/>
          <w:sz w:val="20"/>
          <w:szCs w:val="20"/>
        </w:rPr>
        <w:t xml:space="preserve">Reproduced here as a standalone summary because these items are the most common cause of slippage and are not within Accenture's control.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2200"/>
        <w:gridCol w:w="2200"/>
        <w:gridCol w:w="2560"/>
      </w:tblGrid>
      <w:tr>
        <w:trPr>
          <w:tblHeader/>
        </w:trPr>
        <w:tc>
          <w:tcPr>
            <w:tcW w:type="dxa" w:w="24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Dependency</w:t>
            </w:r>
          </w:p>
        </w:tc>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Owner</w:t>
            </w:r>
          </w:p>
        </w:tc>
        <w:tc>
          <w:tcPr>
            <w:tcW w:type="dxa" w:w="2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Needed by</w:t>
            </w:r>
          </w:p>
        </w:tc>
        <w:tc>
          <w:tcPr>
            <w:tcW w:type="dxa" w:w="25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5"/>
                <w:szCs w:val="15"/>
              </w:rPr>
              <w:t xml:space="preserve">Consequence if late</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Clause type authority matrix, signed by all in-scope functions</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Procurement, Finance (plus Tax, InfoSec, Privacy, Compliance for production)</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End of week 2</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Routing and conflict detection cannot be built. Provisional matrix allows the build to proceed but requires rework on sign-off</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15 to 20 clause types with preferred and fallback language</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with Procurement</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End of week 3</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Deviation detection has no baseline. This is the deliverable most likely not to exist today</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30 real supplier contracts labelled for segmentation and classification</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Legal subject matter expert</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End of week 2</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No ground truth means no accuracy measurement, which means viability gate 1 cannot be evaluated</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Indexing scope approval against supplier confidentiality obligations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 Legal</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Before any data store is created</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Potential breach of supplier confidentiality clauses. Legal exposure, not a technical delay</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20 or more real supplier templates for document fidelity testing</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End of week 5</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Viability gate 2 cannot be evaluated. Synthetic documents do not surface real fidelity failures</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classification scheme for contracts, packets and traces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Chief Information Security Officer</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End of week 3</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Retention, DLP and access design cannot be finalised</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Written position on erasure versus legal hold</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Data Protection Officer</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Before production go-live</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Most likely single cause of a blocked go-live at user acceptance testing</w:t>
            </w:r>
          </w:p>
        </w:tc>
      </w:tr>
      <w:tr>
        <w:tc>
          <w:tcPr>
            <w:tcW w:type="dxa" w:w="24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Confirmed subscription edition and executed Service Specific Terms</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w:t>
            </w:r>
          </w:p>
        </w:tc>
        <w:tc>
          <w:tcPr>
            <w:tcW w:type="dxa" w:w="2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Before security review</w:t>
            </w:r>
          </w:p>
        </w:tc>
        <w:tc>
          <w:tcPr>
            <w:tcW w:type="dxa" w:w="25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Security review cannot be completed; data-handling posture is unverified</w:t>
            </w:r>
          </w:p>
        </w:tc>
      </w:tr>
      <w:tr>
        <w:tc>
          <w:tcPr>
            <w:tcW w:type="dxa" w:w="24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Decision on the target contract system of record</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Procurement and IT leadership</w:t>
            </w:r>
          </w:p>
        </w:tc>
        <w:tc>
          <w:tcPr>
            <w:tcW w:type="dxa" w:w="220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Before production design</w:t>
            </w:r>
          </w:p>
        </w:tc>
        <w:tc>
          <w:tcPr>
            <w:tcW w:type="dxa" w:w="2560"/>
            <w:tcMar>
              <w:top w:type="dxa" w:w="60"/>
              <w:left w:type="dxa" w:w="90"/>
              <w:bottom w:type="dxa" w:w="60"/>
              <w:right w:type="dxa" w:w="90"/>
            </w:tcMar>
            <w:vAlign w:val="top"/>
          </w:tcPr>
          <w:p>
            <w:pPr>
              <w:spacing w:after="20"/>
            </w:pPr>
            <w:r>
              <w:rPr>
                <w:rFonts w:ascii="Calibri" w:cs="Calibri" w:eastAsia="Calibri" w:hAnsi="Calibri"/>
                <w:color w:val="3B3B3B"/>
                <w:sz w:val="15"/>
                <w:szCs w:val="15"/>
              </w:rPr>
              <w:t xml:space="preserve">Determines whether the custom version ledger and document service are permanent or transitional</w:t>
            </w:r>
          </w:p>
        </w:tc>
      </w:tr>
    </w:tbl>
    <w:p>
      <w:pPr>
        <w:pStyle w:val="Heading1"/>
        <w:pBdr>
          <w:bottom w:val="single" w:color="5B2A86" w:sz="8" w:space="4"/>
        </w:pBdr>
        <w:spacing w:after="180" w:before="360"/>
      </w:pPr>
      <w:r>
        <w:rPr>
          <w:rFonts w:ascii="Calibri" w:cs="Calibri" w:eastAsia="Calibri" w:hAnsi="Calibri"/>
          <w:b/>
          <w:bCs/>
          <w:color w:val="5B2A86"/>
          <w:sz w:val="30"/>
          <w:szCs w:val="30"/>
        </w:rPr>
        <w:t xml:space="preserve">16. Appendix — Classification Legend and Source Basis</w:t>
      </w:r>
    </w:p>
    <w:p>
      <w:pPr>
        <w:pStyle w:val="Heading2"/>
        <w:spacing w:after="120" w:before="260"/>
      </w:pPr>
      <w:r>
        <w:rPr>
          <w:rFonts w:ascii="Calibri" w:cs="Calibri" w:eastAsia="Calibri" w:hAnsi="Calibri"/>
          <w:b/>
          <w:bCs/>
          <w:color w:val="3B3B3B"/>
          <w:sz w:val="24"/>
          <w:szCs w:val="24"/>
        </w:rPr>
        <w:t xml:space="preserve">16.1 Capability classification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6"/>
                <w:szCs w:val="16"/>
              </w:rPr>
              <w:t xml:space="preserve">Classification</w:t>
            </w:r>
          </w:p>
        </w:tc>
        <w:tc>
          <w:tcPr>
            <w:tcW w:type="dxa" w:w="67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6"/>
                <w:szCs w:val="16"/>
              </w:rPr>
              <w:t xml:space="preserve">Definition</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Native GEP</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Provided directly by Gemini Enterprise as a documented product capability</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Google Cloud Integration (GCI)</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Achievable using another documented Google Cloud or Google Workspace service</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Custom Implementation</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Requires development specific to this solution</w:t>
            </w:r>
          </w:p>
        </w:tc>
      </w:tr>
      <w:tr>
        <w:tc>
          <w:tcPr>
            <w:tcW w:type="dxa" w:w="26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External System Required</w:t>
            </w:r>
          </w:p>
        </w:tc>
        <w:tc>
          <w:tcPr>
            <w:tcW w:type="dxa" w:w="67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Requires a third-party enterprise system</w:t>
            </w:r>
          </w:p>
        </w:tc>
      </w:tr>
      <w:tr>
        <w:tc>
          <w:tcPr>
            <w:tcW w:type="dxa" w:w="26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Not Clearly Supported</w:t>
            </w:r>
          </w:p>
        </w:tc>
        <w:tc>
          <w:tcPr>
            <w:tcW w:type="dxa" w:w="67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No documented capability; represents a material implementation risk</w:t>
            </w:r>
          </w:p>
        </w:tc>
      </w:tr>
    </w:tbl>
    <w:p>
      <w:pPr>
        <w:pStyle w:val="Heading2"/>
        <w:spacing w:after="120" w:before="260"/>
      </w:pPr>
      <w:r>
        <w:rPr>
          <w:rFonts w:ascii="Calibri" w:cs="Calibri" w:eastAsia="Calibri" w:hAnsi="Calibri"/>
          <w:b/>
          <w:bCs/>
          <w:color w:val="3B3B3B"/>
          <w:sz w:val="24"/>
          <w:szCs w:val="24"/>
        </w:rPr>
        <w:t xml:space="preserve">16.2 Severity scale (Stage 9)</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8160"/>
      </w:tblGrid>
      <w:tr>
        <w:trPr>
          <w:tblHeader/>
        </w:trPr>
        <w:tc>
          <w:tcPr>
            <w:tcW w:type="dxa" w:w="120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6"/>
                <w:szCs w:val="16"/>
              </w:rPr>
              <w:t xml:space="preserve">Level</w:t>
            </w:r>
          </w:p>
        </w:tc>
        <w:tc>
          <w:tcPr>
            <w:tcW w:type="dxa" w:w="8160"/>
            <w:shd w:fill="5B2A86" w:color="auto" w:val="clear"/>
            <w:tcMar>
              <w:top w:type="dxa" w:w="60"/>
              <w:left w:type="dxa" w:w="90"/>
              <w:bottom w:type="dxa" w:w="60"/>
              <w:right w:type="dxa" w:w="90"/>
            </w:tcMar>
            <w:vAlign w:val="top"/>
          </w:tcPr>
          <w:p>
            <w:pPr>
              <w:spacing w:after="20"/>
            </w:pPr>
            <w:r>
              <w:rPr>
                <w:rFonts w:ascii="Calibri" w:cs="Calibri" w:eastAsia="Calibri" w:hAnsi="Calibri"/>
                <w:b/>
                <w:bCs/>
                <w:color w:val="FFFFFF"/>
                <w:sz w:val="16"/>
                <w:szCs w:val="16"/>
              </w:rPr>
              <w:t xml:space="preserve">Definition</w:t>
            </w:r>
          </w:p>
        </w:tc>
      </w:tr>
      <w:tr>
        <w:tc>
          <w:tcPr>
            <w:tcW w:type="dxa" w:w="12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S1</w:t>
            </w:r>
          </w:p>
        </w:tc>
        <w:tc>
          <w:tcPr>
            <w:tcW w:type="dxa" w:w="81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Will kill the proof of concept if unaddressed. Blocks a credible demonstration or produces client-visible failure</w:t>
            </w:r>
          </w:p>
        </w:tc>
      </w:tr>
      <w:tr>
        <w:tc>
          <w:tcPr>
            <w:tcW w:type="dxa" w:w="120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S2</w:t>
            </w:r>
          </w:p>
        </w:tc>
        <w:tc>
          <w:tcPr>
            <w:tcW w:type="dxa" w:w="8160"/>
            <w:shd w:fill="F2F2F2" w:color="auto" w:val="clear"/>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Will degrade trust. The proof of concept completes but the client questions viability</w:t>
            </w:r>
          </w:p>
        </w:tc>
      </w:tr>
      <w:tr>
        <w:tc>
          <w:tcPr>
            <w:tcW w:type="dxa" w:w="120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S3</w:t>
            </w:r>
          </w:p>
        </w:tc>
        <w:tc>
          <w:tcPr>
            <w:tcW w:type="dxa" w:w="8160"/>
            <w:tcMar>
              <w:top w:type="dxa" w:w="60"/>
              <w:left w:type="dxa" w:w="90"/>
              <w:bottom w:type="dxa" w:w="60"/>
              <w:right w:type="dxa" w:w="90"/>
            </w:tcMar>
            <w:vAlign w:val="top"/>
          </w:tcPr>
          <w:p>
            <w:pPr>
              <w:spacing w:after="20"/>
            </w:pPr>
            <w:r>
              <w:rPr>
                <w:rFonts w:ascii="Calibri" w:cs="Calibri" w:eastAsia="Calibri" w:hAnsi="Calibri"/>
                <w:color w:val="3B3B3B"/>
                <w:sz w:val="16"/>
                <w:szCs w:val="16"/>
              </w:rPr>
              <w:t xml:space="preserve">Manageable at proof-of-concept scale. Real in production; deferrable with a documented position</w:t>
            </w:r>
          </w:p>
        </w:tc>
      </w:tr>
    </w:tbl>
    <w:p>
      <w:pPr>
        <w:pStyle w:val="Heading2"/>
        <w:spacing w:after="120" w:before="260"/>
      </w:pPr>
      <w:r>
        <w:rPr>
          <w:rFonts w:ascii="Calibri" w:cs="Calibri" w:eastAsia="Calibri" w:hAnsi="Calibri"/>
          <w:b/>
          <w:bCs/>
          <w:color w:val="3B3B3B"/>
          <w:sz w:val="24"/>
          <w:szCs w:val="24"/>
        </w:rPr>
        <w:t xml:space="preserve">16.3 Source basis</w:t>
      </w:r>
    </w:p>
    <w:p>
      <w:pPr>
        <w:spacing w:after="120" w:before="0"/>
      </w:pPr>
      <w:r>
        <w:rPr>
          <w:rFonts w:ascii="Calibri" w:cs="Calibri" w:eastAsia="Calibri" w:hAnsi="Calibri"/>
          <w:color w:val="3B3B3B"/>
          <w:sz w:val="20"/>
          <w:szCs w:val="20"/>
        </w:rPr>
        <w:t xml:space="preserve">The assessment draws on current official Google Cloud documentation as at August 2026, principally:</w:t>
      </w:r>
    </w:p>
    <w:p>
      <w:pPr>
        <w:pStyle w:val="ListParagraph"/>
        <w:numPr>
          <w:ilvl w:val="0"/>
          <w:numId w:val="3"/>
        </w:numPr>
        <w:spacing w:after="60"/>
      </w:pPr>
      <w:r>
        <w:rPr>
          <w:rFonts w:ascii="Calibri" w:cs="Calibri" w:eastAsia="Calibri" w:hAnsi="Calibri"/>
          <w:color w:val="3B3B3B"/>
          <w:sz w:val="20"/>
          <w:szCs w:val="20"/>
        </w:rPr>
        <w:t xml:space="preserve">Gemini Enterprise documentation — concepts, agents overview, Agent Designer, editions, security overview, IAM and access control, identity provider configuration, VPC Service Controls, CMEK, Model Armor, Access Transparency, parse and chunk documents, connectors, A2UI agent registration, audit logging, observability settings, traces and metrics</w:t>
      </w:r>
    </w:p>
    <w:p>
      <w:pPr>
        <w:pStyle w:val="ListParagraph"/>
        <w:numPr>
          <w:ilvl w:val="0"/>
          <w:numId w:val="3"/>
        </w:numPr>
        <w:spacing w:after="60"/>
      </w:pPr>
      <w:r>
        <w:rPr>
          <w:rFonts w:ascii="Calibri" w:cs="Calibri" w:eastAsia="Calibri" w:hAnsi="Calibri"/>
          <w:color w:val="3B3B3B"/>
          <w:sz w:val="20"/>
          <w:szCs w:val="20"/>
        </w:rPr>
        <w:t xml:space="preserve">Gemini Enterprise Agent Platform documentation — platform overview, Agent Runtime, Agent Platform Sessions, Memory Bank, Agent Identity, Agent Gateway, semantic governance policies, zero data retention, release notes</w:t>
      </w:r>
    </w:p>
    <w:p>
      <w:pPr>
        <w:pStyle w:val="ListParagraph"/>
        <w:numPr>
          <w:ilvl w:val="0"/>
          <w:numId w:val="3"/>
        </w:numPr>
        <w:spacing w:after="60"/>
      </w:pPr>
      <w:r>
        <w:rPr>
          <w:rFonts w:ascii="Calibri" w:cs="Calibri" w:eastAsia="Calibri" w:hAnsi="Calibri"/>
          <w:color w:val="3B3B3B"/>
          <w:sz w:val="20"/>
          <w:szCs w:val="20"/>
        </w:rPr>
        <w:t xml:space="preserve">Document AI documentation — layout parser, Custom Extractor with generative AI, derived fields and signature detection</w:t>
      </w:r>
    </w:p>
    <w:p>
      <w:pPr>
        <w:pStyle w:val="ListParagraph"/>
        <w:numPr>
          <w:ilvl w:val="0"/>
          <w:numId w:val="3"/>
        </w:numPr>
        <w:spacing w:after="60"/>
      </w:pPr>
      <w:r>
        <w:rPr>
          <w:rFonts w:ascii="Calibri" w:cs="Calibri" w:eastAsia="Calibri" w:hAnsi="Calibri"/>
          <w:color w:val="3B3B3B"/>
          <w:sz w:val="20"/>
          <w:szCs w:val="20"/>
        </w:rPr>
        <w:t xml:space="preserve">Google Workspace documentation — Docs API comments and suggestions, tracked-changes round-trip behaviour</w:t>
      </w:r>
    </w:p>
    <w:p>
      <w:pPr>
        <w:pStyle w:val="ListParagraph"/>
        <w:numPr>
          <w:ilvl w:val="0"/>
          <w:numId w:val="3"/>
        </w:numPr>
        <w:spacing w:after="60"/>
      </w:pPr>
      <w:r>
        <w:rPr>
          <w:rFonts w:ascii="Calibri" w:cs="Calibri" w:eastAsia="Calibri" w:hAnsi="Calibri"/>
          <w:color w:val="3B3B3B"/>
          <w:sz w:val="20"/>
          <w:szCs w:val="20"/>
        </w:rPr>
        <w:t xml:space="preserve">Agent Development Kit documentation — function tools, long-running function tools, human-in-the-loop patterns</w:t>
      </w:r>
    </w:p>
    <w:p>
      <w:pPr>
        <w:pStyle w:val="ListParagraph"/>
        <w:numPr>
          <w:ilvl w:val="0"/>
          <w:numId w:val="3"/>
        </w:numPr>
        <w:spacing w:after="60"/>
      </w:pPr>
      <w:r>
        <w:rPr>
          <w:rFonts w:ascii="Calibri" w:cs="Calibri" w:eastAsia="Calibri" w:hAnsi="Calibri"/>
          <w:color w:val="3B3B3B"/>
          <w:sz w:val="20"/>
          <w:szCs w:val="20"/>
        </w:rPr>
        <w:t xml:space="preserve">Google Cloud blog announcements for Gemini Enterprise and Gemini Enterprise Agent Platform, April to May 2026</w:t>
      </w:r>
    </w:p>
    <w:p>
      <w:pPr>
        <w:spacing w:after="120" w:before="100"/>
      </w:pPr>
      <w:r>
        <w:rPr>
          <w:rFonts w:ascii="Calibri" w:cs="Calibri" w:eastAsia="Calibri" w:hAnsi="Calibri"/>
          <w:color w:val="3B3B3B"/>
          <w:sz w:val="20"/>
          <w:szCs w:val="20"/>
        </w:rPr>
        <w:t xml:space="preserve">Capabilities not present in official documentation are treated as unsupported. Where community or third-party sources informed a conclusion — principally on the practical limits of the ADK human-in-the-loop pattern and on OOXML revision-markup tooling — that is noted in the relevant stage.</w:t>
      </w:r>
    </w:p>
    <w:p>
      <w:pPr>
        <w:pStyle w:val="Heading2"/>
        <w:spacing w:after="120" w:before="260"/>
      </w:pPr>
      <w:r>
        <w:rPr>
          <w:rFonts w:ascii="Calibri" w:cs="Calibri" w:eastAsia="Calibri" w:hAnsi="Calibri"/>
          <w:b/>
          <w:bCs/>
          <w:color w:val="3B3B3B"/>
          <w:sz w:val="24"/>
          <w:szCs w:val="24"/>
        </w:rPr>
        <w:t xml:space="preserve">16.4 Currency caveat</w:t>
      </w:r>
    </w:p>
    <w:p>
      <w:pPr>
        <w:spacing w:after="120" w:before="0"/>
      </w:pPr>
      <w:r>
        <w:rPr>
          <w:rFonts w:ascii="Calibri" w:cs="Calibri" w:eastAsia="Calibri" w:hAnsi="Calibri"/>
          <w:color w:val="3B3B3B"/>
          <w:sz w:val="20"/>
          <w:szCs w:val="20"/>
        </w:rPr>
        <w:t xml:space="preserve">Gemini Enterprise and Gemini Enterprise Agent Platform are both evolving rapidly; Agent Platform was announced in April 2026 and several relevant components are in Preview or were recently made generally available. Every capability assertion in this document should be re-verified against current documentation at design freeze, and the negative findings in particular should be tested directly with Google engineering using the question set in section 14.</w:t>
      </w:r>
    </w:p>
    <w:sectPr>
      <w:footerReference w:type="default" r:id="rId9"/>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08080"/>
        <w:sz w:val="15"/>
        <w:szCs w:val="15"/>
      </w:rPr>
      <w:t xml:space="preserve">Gemini Enterprise — Agentic CLM Feasibility Assessment   |   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08080"/>
        <w:sz w:val="15"/>
        <w:szCs w:val="15"/>
      </w:rPr>
      <w:t xml:space="preserve">Gemini Enterprise — Agentic CLM Feasibility Assessment   |   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08080"/>
        <w:sz w:val="15"/>
        <w:szCs w:val="15"/>
      </w:rPr>
      <w:t xml:space="preserve">Gemini Enterprise — Agentic CLM Feasibility Assessment   |   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2A86"/>
      <w:sz w:val="30"/>
      <w:szCs w:val="30"/>
    </w:rPr>
  </w:style>
  <w:style w:type="paragraph" w:styleId="Heading2">
    <w:name w:val="Heading 2"/>
    <w:basedOn w:val="Normal"/>
    <w:next w:val="Normal"/>
    <w:qFormat/>
    <w:rPr>
      <w:rFonts w:ascii="Calibri" w:cs="Calibri" w:eastAsia="Calibri" w:hAnsi="Calibri"/>
      <w:b/>
      <w:bCs/>
      <w:color w:val="3B3B3B"/>
      <w:sz w:val="24"/>
      <w:szCs w:val="24"/>
    </w:rPr>
  </w:style>
  <w:style w:type="paragraph" w:styleId="Heading3">
    <w:name w:val="Heading 3"/>
    <w:basedOn w:val="Normal"/>
    <w:next w:val="Normal"/>
    <w:qFormat/>
    <w:rPr>
      <w:rFonts w:ascii="Calibri" w:cs="Calibri" w:eastAsia="Calibri" w:hAnsi="Calibri"/>
      <w:b/>
      <w:bCs/>
      <w:color w:val="5B2A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 Enterprise — Agentic CLM Feasibility Assessment</dc:title>
  <dc:creator>Accenture</dc:creator>
  <dc:description>Ten-stage technical feasibility assessment of Gemini Enterprise for an agentic contract lifecycle management use case in Indirect Supply Chain / Procurement.</dc:description>
  <cp:lastModifiedBy>Un-named</cp:lastModifiedBy>
  <cp:revision>1</cp:revision>
  <dcterms:created xsi:type="dcterms:W3CDTF">2026-08-13T14:11:52.237Z</dcterms:created>
  <dcterms:modified xsi:type="dcterms:W3CDTF">2026-08-13T14:11:52.238Z</dcterms:modified>
</cp:coreProperties>
</file>

<file path=docProps/custom.xml><?xml version="1.0" encoding="utf-8"?>
<Properties xmlns="http://schemas.openxmlformats.org/officeDocument/2006/custom-properties" xmlns:vt="http://schemas.openxmlformats.org/officeDocument/2006/docPropsVTypes"/>
</file>