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80"/>
      </w:pPr>
      <w:r>
        <w:rPr>
          <w:rFonts w:ascii="Calibri" w:hAnsi="Calibri"/>
          <w:b/>
          <w:color w:val="8A6D1D"/>
          <w:sz w:val="20"/>
        </w:rPr>
        <w:t>CUSTOMER TECHNICAL ASSESSMENT</w:t>
      </w:r>
    </w:p>
    <w:p>
      <w:pPr>
        <w:spacing w:before="0" w:after="160"/>
      </w:pPr>
      <w:r>
        <w:rPr>
          <w:rFonts w:ascii="Calibri" w:hAnsi="Calibri"/>
          <w:b/>
          <w:color w:val="0B2545"/>
          <w:sz w:val="60"/>
        </w:rPr>
        <w:t>Gemini Enterprise Contract Review PoC</w:t>
      </w:r>
    </w:p>
    <w:p>
      <w:pPr>
        <w:spacing w:before="0" w:after="480"/>
      </w:pPr>
      <w:r>
        <w:rPr>
          <w:rFonts w:ascii="Calibri" w:hAnsi="Calibri"/>
          <w:color w:val="667085"/>
          <w:sz w:val="28"/>
        </w:rPr>
        <w:t>Consolidated feasibility, reference architecture, risk, evaluation, and implementation assessment</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700"/>
        <w:gridCol w:w="6660"/>
      </w:tblGrid>
      <w:tr>
        <w:trPr>
          <w:cantSplit/>
          <w:tblHeader w:val="true"/>
          <w:cantSplit/>
        </w:trPr>
        <w:tc>
          <w:tcPr>
            <w:tcW w:type="dxa" w:w="27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Document attribute</w:t>
            </w:r>
          </w:p>
        </w:tc>
        <w:tc>
          <w:tcPr>
            <w:tcW w:type="dxa" w:w="66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Value</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Status</w:t>
            </w:r>
          </w:p>
        </w:tc>
        <w:tc>
          <w:tcPr>
            <w:tcW w:type="dxa" w:w="6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Customer review</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Scope</w:t>
            </w:r>
          </w:p>
        </w:tc>
        <w:tc>
          <w:tcPr>
            <w:tcW w:type="dxa" w:w="6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AI-assisted contract review and redline recommendations</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Platform</w:t>
            </w:r>
          </w:p>
        </w:tc>
        <w:tc>
          <w:tcPr>
            <w:tcW w:type="dxa" w:w="6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Gemini Enterprise</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Report date</w:t>
            </w:r>
          </w:p>
        </w:tc>
        <w:tc>
          <w:tcPr>
            <w:tcW w:type="dxa" w:w="6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August 14, 2026</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Platform evidence</w:t>
            </w:r>
          </w:p>
        </w:tc>
        <w:tc>
          <w:tcPr>
            <w:tcW w:type="dxa" w:w="6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Official Google Cloud documentation validated during Stage 3</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Future boundary</w:t>
            </w:r>
          </w:p>
        </w:tc>
        <w:tc>
          <w:tcPr>
            <w:tcW w:type="dxa" w:w="6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9"/>
              </w:rPr>
              <w:t>SAP Ariba integration is not part of the PoC</w:t>
            </w:r>
          </w:p>
        </w:tc>
      </w:tr>
    </w:tbl>
    <w:p>
      <w:pPr>
        <w:spacing w:before="0" w:after="60"/>
      </w:pPr>
    </w:p>
    <w:p>
      <w:pPr>
        <w:spacing w:before="80" w:after="200" w:line="264" w:lineRule="auto"/>
        <w:ind w:left="173" w:right="115"/>
        <w:shd w:fill="EAF6EE"/>
        <w:pBdr>
          <w:left w:val="single" w:sz="18" w:space="6" w:color="548235"/>
        </w:pBdr>
      </w:pPr>
      <w:r>
        <w:rPr>
          <w:rFonts w:ascii="Calibri" w:hAnsi="Calibri"/>
          <w:b/>
          <w:color w:val="0B2545"/>
          <w:sz w:val="22"/>
        </w:rPr>
        <w:t xml:space="preserve">Recommendation: </w:t>
      </w:r>
      <w:r>
        <w:rPr>
          <w:rFonts w:ascii="Calibri" w:hAnsi="Calibri"/>
          <w:color w:val="1D2939"/>
          <w:sz w:val="22"/>
        </w:rPr>
        <w:t>Proceed conditionally with one Contract Review Agent, one grounded data store, and manual human-review coordination. Do not position the PoC as a complete contract lifecycle management implementation.</w:t>
      </w:r>
    </w:p>
    <w:p>
      <w:pPr>
        <w:spacing w:before="0" w:after="120" w:line="264" w:lineRule="auto"/>
      </w:pPr>
      <w:r>
        <w:rPr>
          <w:rFonts w:ascii="Calibri" w:hAnsi="Calibri"/>
          <w:i/>
          <w:color w:val="667085"/>
          <w:sz w:val="22"/>
        </w:rPr>
        <w:t>This assessment consolidates the approved outputs from Stages 1–10. It uses customer-supplied process context and official Google Cloud evidence; unsupported legal, policy, and platform assumptions are excluded.</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Pr>
      <w:r>
        <w:rPr>
          <w:rFonts w:ascii="Calibri" w:hAnsi="Calibri"/>
          <w:b/>
          <w:color w:val="2E74B5"/>
          <w:sz w:val="32"/>
        </w:rPr>
        <w:t>Document Contents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0"/>
        <w:gridCol w:w="3100"/>
        <w:gridCol w:w="5360"/>
      </w:tblGrid>
      <w:tr>
        <w:trPr>
          <w:cantSplit/>
          <w:tblHeader w:val="true"/>
          <w:cantSplit/>
        </w:trPr>
        <w:tc>
          <w:tcPr>
            <w:tcW w:type="dxa" w:w="9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Section</w:t>
            </w:r>
          </w:p>
        </w:tc>
        <w:tc>
          <w:tcPr>
            <w:tcW w:type="dxa" w:w="31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Title</w:t>
            </w:r>
          </w:p>
        </w:tc>
        <w:tc>
          <w:tcPr>
            <w:tcW w:type="dxa" w:w="53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Focus</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1</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Executive Summary</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PoC decision, demonstration boundary, and entry conditions</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2</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Current-State Review Process</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Faithful reconstruction of the supplied business workflow</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3</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PoC Functional and Non-Functional Boundary</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Included, human-controlled, future, and excluded capabilities</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4</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Gemini Enterprise Feasibility</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Requirement-to-platform mapping and verified status</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5</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Recommended Reference Architecture</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Smallest viable technical design and data flow</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6</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Contract Review Agent Design</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Internal stages, output contract, and evidence controls</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7</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Contract Review Workflow</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End-to-end operational sequence</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8</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Human Review and Consolidation</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Reviewer routing, normalized feedback, and conflicts</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9</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Contract Knowledge and Grounding</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Contract inputs, approved references, and storage</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10</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Technical Risks and Constraints</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Blocking issues, PoC limitations, and production considerations</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11</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PoC Evaluation Framework</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Dataset, metrics, baseline, and decision record</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12</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Implementation Roadmap</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Gated delivery increments and acceptance evidence</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13</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Future Expansion</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Potential future capabilities without solution design</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Stage Traceability</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Stage-by-stage output capture and report mapping</w:t>
            </w:r>
          </w:p>
        </w:tc>
      </w:tr>
      <w:tr>
        <w:trPr>
          <w:cantSplit/>
        </w:trPr>
        <w:tc>
          <w:tcPr>
            <w:tcW w:type="dxa" w:w="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B</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Official Google Cloud References</w:t>
            </w:r>
          </w:p>
        </w:tc>
        <w:tc>
          <w:tcPr>
            <w:tcW w:type="dxa" w:w="5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Platform evidence used in Stage 3</w:t>
            </w:r>
          </w:p>
        </w:tc>
      </w:tr>
    </w:tbl>
    <w:p>
      <w:pPr>
        <w:spacing w:before="0" w:after="60"/>
      </w:pPr>
    </w:p>
    <w:p>
      <w:r>
        <w:br w:type="page"/>
      </w:r>
    </w:p>
    <w:p>
      <w:pPr>
        <w:pStyle w:val="Heading1"/>
        <w:keepNext/>
      </w:pPr>
      <w:r>
        <w:rPr>
          <w:rFonts w:ascii="Calibri" w:hAnsi="Calibri"/>
          <w:b/>
          <w:color w:val="2E74B5"/>
          <w:sz w:val="32"/>
        </w:rPr>
        <w:t>1. Executive Summary</w:t>
      </w:r>
    </w:p>
    <w:p>
      <w:pPr>
        <w:spacing w:before="80" w:after="200" w:line="264" w:lineRule="auto"/>
        <w:ind w:left="173" w:right="115"/>
        <w:shd w:fill="F4F7FB"/>
        <w:pBdr>
          <w:left w:val="single" w:sz="18" w:space="6" w:color="2E74B5"/>
        </w:pBdr>
      </w:pPr>
      <w:r>
        <w:rPr>
          <w:rFonts w:ascii="Calibri" w:hAnsi="Calibri"/>
          <w:b/>
          <w:color w:val="0B2545"/>
          <w:sz w:val="22"/>
        </w:rPr>
        <w:t xml:space="preserve">Feasibility decision: </w:t>
      </w:r>
      <w:r>
        <w:rPr>
          <w:rFonts w:ascii="Calibri" w:hAnsi="Calibri"/>
          <w:color w:val="1D2939"/>
          <w:sz w:val="22"/>
        </w:rPr>
        <w:t>The PoC is technically feasible within a narrow, evidence-grounded scope. Feasibility is conditional on tenant validation, an approved reference corpus, representative contracts, human reviewer participation, and agreed evaluation targets.</w:t>
      </w:r>
    </w:p>
    <w:p>
      <w:pPr>
        <w:pStyle w:val="Heading2"/>
        <w:keepNext/>
      </w:pPr>
      <w:r>
        <w:rPr>
          <w:rFonts w:ascii="Calibri" w:hAnsi="Calibri"/>
          <w:b/>
          <w:color w:val="2E74B5"/>
          <w:sz w:val="26"/>
        </w:rPr>
        <w:t>What the PoC will demonstrate</w:t>
      </w:r>
    </w:p>
    <w:p>
      <w:pPr>
        <w:spacing w:before="0" w:after="80" w:line="280" w:lineRule="auto"/>
        <w:numPr>
          <w:ilvl w:val="0"/>
          <w:numId w:val="10"/>
        </w:numPr>
      </w:pPr>
      <w:r>
        <w:rPr>
          <w:rFonts w:ascii="Calibri" w:hAnsi="Calibri"/>
          <w:color w:val="1D2939"/>
          <w:sz w:val="22"/>
        </w:rPr>
        <w:t>Procurement Agent contract upload and native document understanding.</w:t>
      </w:r>
    </w:p>
    <w:p>
      <w:pPr>
        <w:spacing w:before="0" w:after="80" w:line="280" w:lineRule="auto"/>
        <w:numPr>
          <w:ilvl w:val="0"/>
          <w:numId w:val="10"/>
        </w:numPr>
      </w:pPr>
      <w:r>
        <w:rPr>
          <w:rFonts w:ascii="Calibri" w:hAnsi="Calibri"/>
          <w:color w:val="1D2939"/>
          <w:sz w:val="22"/>
        </w:rPr>
        <w:t>Clause extraction, classification, and comparison with customer-approved references.</w:t>
      </w:r>
    </w:p>
    <w:p>
      <w:pPr>
        <w:spacing w:before="0" w:after="80" w:line="280" w:lineRule="auto"/>
        <w:numPr>
          <w:ilvl w:val="0"/>
          <w:numId w:val="10"/>
        </w:numPr>
      </w:pPr>
      <w:r>
        <w:rPr>
          <w:rFonts w:ascii="Calibri" w:hAnsi="Calibri"/>
          <w:color w:val="1D2939"/>
          <w:sz w:val="22"/>
        </w:rPr>
        <w:t>Deviation identification, policy checks, and customer-rule-based risk support.</w:t>
      </w:r>
    </w:p>
    <w:p>
      <w:pPr>
        <w:spacing w:before="0" w:after="80" w:line="280" w:lineRule="auto"/>
        <w:numPr>
          <w:ilvl w:val="0"/>
          <w:numId w:val="10"/>
        </w:numPr>
      </w:pPr>
      <w:r>
        <w:rPr>
          <w:rFonts w:ascii="Calibri" w:hAnsi="Calibri"/>
          <w:color w:val="1D2939"/>
          <w:sz w:val="22"/>
        </w:rPr>
        <w:t>Evidence-backed textual redline recommendations and structured before/after comparison.</w:t>
      </w:r>
    </w:p>
    <w:p>
      <w:pPr>
        <w:spacing w:before="0" w:after="80" w:line="280" w:lineRule="auto"/>
        <w:numPr>
          <w:ilvl w:val="0"/>
          <w:numId w:val="10"/>
        </w:numPr>
      </w:pPr>
      <w:r>
        <w:rPr>
          <w:rFonts w:ascii="Calibri" w:hAnsi="Calibri"/>
          <w:color w:val="1D2939"/>
          <w:sz w:val="22"/>
        </w:rPr>
        <w:t>Review-package preparation, reviewer recommendations, feedback consolidation, and conflict flagging.</w:t>
      </w:r>
    </w:p>
    <w:p>
      <w:pPr>
        <w:spacing w:before="0" w:after="80" w:line="280" w:lineRule="auto"/>
        <w:numPr>
          <w:ilvl w:val="0"/>
          <w:numId w:val="10"/>
        </w:numPr>
      </w:pPr>
      <w:r>
        <w:rPr>
          <w:rFonts w:ascii="Calibri" w:hAnsi="Calibri"/>
          <w:color w:val="1D2939"/>
          <w:sz w:val="22"/>
        </w:rPr>
        <w:t>Measured reduction in Procurement Agent review, clause-location, deviation-analysis, and consolidation effort.</w:t>
      </w:r>
    </w:p>
    <w:p>
      <w:pPr>
        <w:pStyle w:val="Heading2"/>
        <w:keepNext/>
      </w:pPr>
      <w:r>
        <w:rPr>
          <w:rFonts w:ascii="Calibri" w:hAnsi="Calibri"/>
          <w:b/>
          <w:color w:val="2E74B5"/>
          <w:sz w:val="26"/>
        </w:rPr>
        <w:t>What the PoC will not demonstrate</w:t>
      </w:r>
    </w:p>
    <w:p>
      <w:pPr>
        <w:spacing w:before="0" w:after="80" w:line="280" w:lineRule="auto"/>
        <w:numPr>
          <w:ilvl w:val="0"/>
          <w:numId w:val="11"/>
        </w:numPr>
      </w:pPr>
      <w:r>
        <w:rPr>
          <w:rFonts w:ascii="Calibri" w:hAnsi="Calibri"/>
          <w:color w:val="1D2939"/>
          <w:sz w:val="22"/>
        </w:rPr>
        <w:t>Autonomous legal interpretation, risk acceptance, approval, or conflict resolution.</w:t>
      </w:r>
    </w:p>
    <w:p>
      <w:pPr>
        <w:spacing w:before="0" w:after="80" w:line="280" w:lineRule="auto"/>
        <w:numPr>
          <w:ilvl w:val="0"/>
          <w:numId w:val="11"/>
        </w:numPr>
      </w:pPr>
      <w:r>
        <w:rPr>
          <w:rFonts w:ascii="Calibri" w:hAnsi="Calibri"/>
          <w:color w:val="1D2939"/>
          <w:sz w:val="22"/>
        </w:rPr>
        <w:t>Native concurrent reviewer assignment, reminders, deadlines, or durable workflow state.</w:t>
      </w:r>
    </w:p>
    <w:p>
      <w:pPr>
        <w:spacing w:before="0" w:after="80" w:line="280" w:lineRule="auto"/>
        <w:numPr>
          <w:ilvl w:val="0"/>
          <w:numId w:val="11"/>
        </w:numPr>
      </w:pPr>
      <w:r>
        <w:rPr>
          <w:rFonts w:ascii="Calibri" w:hAnsi="Calibri"/>
          <w:color w:val="1D2939"/>
          <w:sz w:val="22"/>
        </w:rPr>
        <w:t>Authoritative in-place contract editing or Microsoft Word Track Changes.</w:t>
      </w:r>
    </w:p>
    <w:p>
      <w:pPr>
        <w:spacing w:before="0" w:after="80" w:line="280" w:lineRule="auto"/>
        <w:numPr>
          <w:ilvl w:val="0"/>
          <w:numId w:val="11"/>
        </w:numPr>
      </w:pPr>
      <w:r>
        <w:rPr>
          <w:rFonts w:ascii="Calibri" w:hAnsi="Calibri"/>
          <w:color w:val="1D2939"/>
          <w:sz w:val="22"/>
        </w:rPr>
        <w:t>Complete CLM document repository, negotiation version control, execution, obligations, or renewals.</w:t>
      </w:r>
    </w:p>
    <w:p>
      <w:pPr>
        <w:spacing w:before="0" w:after="80" w:line="280" w:lineRule="auto"/>
        <w:numPr>
          <w:ilvl w:val="0"/>
          <w:numId w:val="11"/>
        </w:numPr>
      </w:pPr>
      <w:r>
        <w:rPr>
          <w:rFonts w:ascii="Calibri" w:hAnsi="Calibri"/>
          <w:color w:val="1D2939"/>
          <w:sz w:val="22"/>
        </w:rPr>
        <w:t>Supplier communication or SAP Ariba integration.</w:t>
      </w:r>
    </w:p>
    <w:p>
      <w:pPr>
        <w:pStyle w:val="Heading2"/>
        <w:keepNext/>
      </w:pPr>
      <w:r>
        <w:rPr>
          <w:rFonts w:ascii="Calibri" w:hAnsi="Calibri"/>
          <w:b/>
          <w:color w:val="2E74B5"/>
          <w:sz w:val="26"/>
        </w:rPr>
        <w:t>PoC entry conditions</w:t>
      </w:r>
    </w:p>
    <w:p>
      <w:pPr>
        <w:spacing w:before="0" w:after="80" w:line="280" w:lineRule="auto"/>
        <w:numPr>
          <w:ilvl w:val="0"/>
          <w:numId w:val="12"/>
        </w:numPr>
      </w:pPr>
      <w:r>
        <w:rPr>
          <w:rFonts w:ascii="Calibri" w:hAnsi="Calibri"/>
          <w:color w:val="1D2939"/>
          <w:sz w:val="22"/>
        </w:rPr>
        <w:t>Approved, versioned contract templates, clauses, fallback language, policies, risk rules, and reviewer ownership rules required by the selected capabilities.</w:t>
      </w:r>
    </w:p>
    <w:p>
      <w:pPr>
        <w:spacing w:before="0" w:after="80" w:line="280" w:lineRule="auto"/>
        <w:numPr>
          <w:ilvl w:val="0"/>
          <w:numId w:val="12"/>
        </w:numPr>
      </w:pPr>
      <w:r>
        <w:rPr>
          <w:rFonts w:ascii="Calibri" w:hAnsi="Calibri"/>
          <w:color w:val="1D2939"/>
          <w:sz w:val="22"/>
        </w:rPr>
        <w:t>Representative contracts and a customer-reviewed evaluation set.</w:t>
      </w:r>
    </w:p>
    <w:p>
      <w:pPr>
        <w:spacing w:before="0" w:after="80" w:line="280" w:lineRule="auto"/>
        <w:numPr>
          <w:ilvl w:val="0"/>
          <w:numId w:val="12"/>
        </w:numPr>
      </w:pPr>
      <w:r>
        <w:rPr>
          <w:rFonts w:ascii="Calibri" w:hAnsi="Calibri"/>
          <w:color w:val="1D2939"/>
          <w:sz w:val="22"/>
        </w:rPr>
        <w:t>Validated tenant upload, data-store retrieval, citation, access-control, region, retention, and logging behavior.</w:t>
      </w:r>
    </w:p>
    <w:p>
      <w:pPr>
        <w:spacing w:before="0" w:after="80" w:line="280" w:lineRule="auto"/>
        <w:numPr>
          <w:ilvl w:val="0"/>
          <w:numId w:val="12"/>
        </w:numPr>
      </w:pPr>
      <w:r>
        <w:rPr>
          <w:rFonts w:ascii="Calibri" w:hAnsi="Calibri"/>
          <w:color w:val="1D2939"/>
          <w:sz w:val="22"/>
        </w:rPr>
        <w:t>Procurement Agent, Reviewer 1–3, Necessary Approver, and Legal participation according to the supplied workflow.</w:t>
      </w:r>
    </w:p>
    <w:p>
      <w:r>
        <w:br w:type="page"/>
      </w:r>
    </w:p>
    <w:p>
      <w:pPr>
        <w:pStyle w:val="Heading1"/>
        <w:keepNext/>
      </w:pPr>
      <w:r>
        <w:rPr>
          <w:rFonts w:ascii="Calibri" w:hAnsi="Calibri"/>
          <w:b/>
          <w:color w:val="2E74B5"/>
          <w:sz w:val="32"/>
        </w:rPr>
        <w:t>2. Current-State Review Process</w:t>
      </w:r>
    </w:p>
    <w:p>
      <w:pPr>
        <w:spacing w:before="0" w:after="120" w:line="264" w:lineRule="auto"/>
      </w:pPr>
      <w:r>
        <w:rPr>
          <w:rFonts w:ascii="Calibri" w:hAnsi="Calibri"/>
          <w:i w:val="0"/>
          <w:color w:val="1D2939"/>
          <w:sz w:val="22"/>
        </w:rPr>
        <w:t>The supplied workflow is reconstructed below without adding reviewer groups, decision rules, or system behavior that was not provided.</w:t>
      </w:r>
    </w:p>
    <w:p>
      <w:pPr>
        <w:spacing w:before="0" w:after="80" w:line="280" w:lineRule="auto"/>
        <w:numPr>
          <w:ilvl w:val="0"/>
          <w:numId w:val="13"/>
        </w:numPr>
      </w:pPr>
      <w:r>
        <w:rPr>
          <w:rFonts w:ascii="Calibri" w:hAnsi="Calibri"/>
          <w:color w:val="1D2939"/>
          <w:sz w:val="22"/>
        </w:rPr>
        <w:t>The supplier sends the contract by email.</w:t>
      </w:r>
    </w:p>
    <w:p>
      <w:pPr>
        <w:spacing w:before="0" w:after="80" w:line="280" w:lineRule="auto"/>
        <w:numPr>
          <w:ilvl w:val="0"/>
          <w:numId w:val="13"/>
        </w:numPr>
      </w:pPr>
      <w:r>
        <w:rPr>
          <w:rFonts w:ascii="Calibri" w:hAnsi="Calibri"/>
          <w:color w:val="1D2939"/>
          <w:sz w:val="22"/>
        </w:rPr>
        <w:t>The Procurement Agent receives and loads the document, assigns an identifier, and determines the paper or contract type.</w:t>
      </w:r>
    </w:p>
    <w:p>
      <w:pPr>
        <w:spacing w:before="0" w:after="80" w:line="280" w:lineRule="auto"/>
        <w:numPr>
          <w:ilvl w:val="0"/>
          <w:numId w:val="13"/>
        </w:numPr>
      </w:pPr>
      <w:r>
        <w:rPr>
          <w:rFonts w:ascii="Calibri" w:hAnsi="Calibri"/>
          <w:color w:val="1D2939"/>
          <w:sz w:val="22"/>
        </w:rPr>
        <w:t>The contract is reviewed for clauses, deviations, risks, and potential redlines.</w:t>
      </w:r>
    </w:p>
    <w:p>
      <w:pPr>
        <w:spacing w:before="0" w:after="80" w:line="280" w:lineRule="auto"/>
        <w:numPr>
          <w:ilvl w:val="0"/>
          <w:numId w:val="13"/>
        </w:numPr>
      </w:pPr>
      <w:r>
        <w:rPr>
          <w:rFonts w:ascii="Calibri" w:hAnsi="Calibri"/>
          <w:color w:val="1D2939"/>
          <w:sz w:val="22"/>
        </w:rPr>
        <w:t>Relevant findings are routed to Reviewers 1–3 according to their responsibilities.</w:t>
      </w:r>
    </w:p>
    <w:p>
      <w:pPr>
        <w:spacing w:before="0" w:after="80" w:line="280" w:lineRule="auto"/>
        <w:numPr>
          <w:ilvl w:val="0"/>
          <w:numId w:val="13"/>
        </w:numPr>
      </w:pPr>
      <w:r>
        <w:rPr>
          <w:rFonts w:ascii="Calibri" w:hAnsi="Calibri"/>
          <w:color w:val="1D2939"/>
          <w:sz w:val="22"/>
        </w:rPr>
        <w:t>Reviewers 1–3 may review assigned sections concurrently.</w:t>
      </w:r>
    </w:p>
    <w:p>
      <w:pPr>
        <w:spacing w:before="0" w:after="80" w:line="280" w:lineRule="auto"/>
        <w:numPr>
          <w:ilvl w:val="0"/>
          <w:numId w:val="13"/>
        </w:numPr>
      </w:pPr>
      <w:r>
        <w:rPr>
          <w:rFonts w:ascii="Calibri" w:hAnsi="Calibri"/>
          <w:color w:val="1D2939"/>
          <w:sz w:val="22"/>
        </w:rPr>
        <w:t>The Necessary Approver performs the required approval step.</w:t>
      </w:r>
    </w:p>
    <w:p>
      <w:pPr>
        <w:spacing w:before="0" w:after="80" w:line="280" w:lineRule="auto"/>
        <w:numPr>
          <w:ilvl w:val="0"/>
          <w:numId w:val="13"/>
        </w:numPr>
      </w:pPr>
      <w:r>
        <w:rPr>
          <w:rFonts w:ascii="Calibri" w:hAnsi="Calibri"/>
          <w:color w:val="1D2939"/>
          <w:sz w:val="22"/>
        </w:rPr>
        <w:t>Reviewer feedback is consolidated.</w:t>
      </w:r>
    </w:p>
    <w:p>
      <w:pPr>
        <w:spacing w:before="0" w:after="80" w:line="280" w:lineRule="auto"/>
        <w:numPr>
          <w:ilvl w:val="0"/>
          <w:numId w:val="13"/>
        </w:numPr>
      </w:pPr>
      <w:r>
        <w:rPr>
          <w:rFonts w:ascii="Calibri" w:hAnsi="Calibri"/>
          <w:color w:val="1D2939"/>
          <w:sz w:val="22"/>
        </w:rPr>
        <w:t>Legal reviews the consolidated contract and may propose changes.</w:t>
      </w:r>
    </w:p>
    <w:p>
      <w:pPr>
        <w:spacing w:before="0" w:after="80" w:line="280" w:lineRule="auto"/>
        <w:numPr>
          <w:ilvl w:val="0"/>
          <w:numId w:val="13"/>
        </w:numPr>
      </w:pPr>
      <w:r>
        <w:rPr>
          <w:rFonts w:ascii="Calibri" w:hAnsi="Calibri"/>
          <w:color w:val="1D2939"/>
          <w:sz w:val="22"/>
        </w:rPr>
        <w:t>The Procurement Agent reviews Legal changes, reviewer conflicts, and the change summary.</w:t>
      </w:r>
    </w:p>
    <w:p>
      <w:pPr>
        <w:spacing w:before="0" w:after="80" w:line="280" w:lineRule="auto"/>
        <w:numPr>
          <w:ilvl w:val="0"/>
          <w:numId w:val="13"/>
        </w:numPr>
      </w:pPr>
      <w:r>
        <w:rPr>
          <w:rFonts w:ascii="Calibri" w:hAnsi="Calibri"/>
          <w:color w:val="1D2939"/>
          <w:sz w:val="22"/>
        </w:rPr>
        <w:t>The Procurement Agent performs the final review and determines whether targeted re-review is required.</w:t>
      </w:r>
    </w:p>
    <w:p>
      <w:pPr>
        <w:spacing w:before="0" w:after="80" w:line="280" w:lineRule="auto"/>
        <w:numPr>
          <w:ilvl w:val="0"/>
          <w:numId w:val="13"/>
        </w:numPr>
      </w:pPr>
      <w:r>
        <w:rPr>
          <w:rFonts w:ascii="Calibri" w:hAnsi="Calibri"/>
          <w:color w:val="1D2939"/>
          <w:sz w:val="22"/>
        </w:rPr>
        <w:t>After internal review, the supplier-facing contract is prepared through the current business process.</w:t>
      </w:r>
    </w:p>
    <w:p>
      <w:pPr>
        <w:spacing w:before="80" w:after="200" w:line="264" w:lineRule="auto"/>
        <w:ind w:left="173" w:right="115"/>
        <w:shd w:fill="FFF4CE"/>
        <w:pBdr>
          <w:left w:val="single" w:sz="18" w:space="6" w:color="C89B00"/>
        </w:pBdr>
      </w:pPr>
      <w:r>
        <w:rPr>
          <w:rFonts w:ascii="Calibri" w:hAnsi="Calibri"/>
          <w:b/>
          <w:color w:val="0B2545"/>
          <w:sz w:val="22"/>
        </w:rPr>
        <w:t xml:space="preserve">Requires validation: </w:t>
      </w:r>
      <w:r>
        <w:rPr>
          <w:rFonts w:ascii="Calibri" w:hAnsi="Calibri"/>
          <w:color w:val="1D2939"/>
          <w:sz w:val="22"/>
        </w:rPr>
        <w:t>The supplied workflow does not fully define reviewer ownership mappings, conflict authority, approval criteria, version mechanics, notification behavior, or existing system boundaries. These items must be confirmed by the customer and must not be inferred by the solution.</w:t>
      </w:r>
    </w:p>
    <w:p>
      <w:pPr>
        <w:pStyle w:val="Heading2"/>
        <w:keepNext/>
      </w:pPr>
      <w:r>
        <w:rPr>
          <w:rFonts w:ascii="Calibri" w:hAnsi="Calibri"/>
          <w:b/>
          <w:color w:val="2E74B5"/>
          <w:sz w:val="26"/>
        </w:rPr>
        <w:t>Current process artifacts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00"/>
        <w:gridCol w:w="7160"/>
      </w:tblGrid>
      <w:tr>
        <w:trPr>
          <w:cantSplit/>
          <w:tblHeader w:val="true"/>
          <w:cantSplit/>
        </w:trPr>
        <w:tc>
          <w:tcPr>
            <w:tcW w:type="dxa" w:w="22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Artifact group</w:t>
            </w:r>
          </w:p>
        </w:tc>
        <w:tc>
          <w:tcPr>
            <w:tcW w:type="dxa" w:w="71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Content</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Input</w:t>
            </w:r>
          </w:p>
        </w:tc>
        <w:tc>
          <w:tcPr>
            <w:tcW w:type="dxa" w:w="71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Supplier contract, contract identifier, and paper/type classification</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Analysis</w:t>
            </w:r>
          </w:p>
        </w:tc>
        <w:tc>
          <w:tcPr>
            <w:tcW w:type="dxa" w:w="71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Clause findings, deviations, risks, supporting references, and redline recommendations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Human review</w:t>
            </w:r>
          </w:p>
        </w:tc>
        <w:tc>
          <w:tcPr>
            <w:tcW w:type="dxa" w:w="71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Reviewer decisions, comments, proposed changes, Necessary Approver decision, and Legal changes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Consolidation</w:t>
            </w:r>
          </w:p>
        </w:tc>
        <w:tc>
          <w:tcPr>
            <w:tcW w:type="dxa" w:w="71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Finding-level response matrix, conflict summary, change summary, and unresolved items</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Final review</w:t>
            </w:r>
          </w:p>
        </w:tc>
        <w:tc>
          <w:tcPr>
            <w:tcW w:type="dxa" w:w="71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Procurement Agent decision and final internal review package</w:t>
            </w:r>
          </w:p>
        </w:tc>
      </w:tr>
    </w:tbl>
    <w:p>
      <w:pPr>
        <w:spacing w:before="0" w:after="60"/>
      </w:pPr>
    </w:p>
    <w:p>
      <w:r>
        <w:br w:type="page"/>
      </w:r>
    </w:p>
    <w:p>
      <w:pPr>
        <w:pStyle w:val="Heading1"/>
        <w:keepNext/>
      </w:pPr>
      <w:r>
        <w:rPr>
          <w:rFonts w:ascii="Calibri" w:hAnsi="Calibri"/>
          <w:b/>
          <w:color w:val="2E74B5"/>
          <w:sz w:val="32"/>
        </w:rPr>
        <w:t>3. PoC Functional and Non-Functional Boundary</w:t>
      </w:r>
    </w:p>
    <w:p>
      <w:pPr>
        <w:pStyle w:val="Heading2"/>
        <w:keepNext/>
      </w:pPr>
      <w:r>
        <w:rPr>
          <w:rFonts w:ascii="Calibri" w:hAnsi="Calibri"/>
          <w:b/>
          <w:color w:val="2E74B5"/>
          <w:sz w:val="26"/>
        </w:rPr>
        <w:t>Non-functional boundary</w:t>
      </w:r>
    </w:p>
    <w:p>
      <w:pPr>
        <w:spacing w:before="0" w:after="80" w:line="280" w:lineRule="auto"/>
        <w:numPr>
          <w:ilvl w:val="0"/>
          <w:numId w:val="14"/>
        </w:numPr>
      </w:pPr>
      <w:r>
        <w:rPr>
          <w:rFonts w:ascii="Calibri" w:hAnsi="Calibri"/>
          <w:b/>
          <w:color w:val="1D2939"/>
          <w:sz w:val="22"/>
        </w:rPr>
        <w:t xml:space="preserve">Evidence: </w:t>
      </w:r>
      <w:r>
        <w:rPr>
          <w:rFonts w:ascii="Calibri" w:hAnsi="Calibri"/>
          <w:color w:val="1D2939"/>
          <w:sz w:val="22"/>
        </w:rPr>
        <w:t>Every material finding links contract text and an approved source to the deviation, risk explanation, and action.</w:t>
      </w:r>
    </w:p>
    <w:p>
      <w:pPr>
        <w:spacing w:before="0" w:after="80" w:line="280" w:lineRule="auto"/>
        <w:numPr>
          <w:ilvl w:val="0"/>
          <w:numId w:val="14"/>
        </w:numPr>
      </w:pPr>
      <w:r>
        <w:rPr>
          <w:rFonts w:ascii="Calibri" w:hAnsi="Calibri"/>
          <w:b/>
          <w:color w:val="1D2939"/>
          <w:sz w:val="22"/>
        </w:rPr>
        <w:t xml:space="preserve">Human control: </w:t>
      </w:r>
      <w:r>
        <w:rPr>
          <w:rFonts w:ascii="Calibri" w:hAnsi="Calibri"/>
          <w:color w:val="1D2939"/>
          <w:sz w:val="22"/>
        </w:rPr>
        <w:t>Humans accept, reject, modify, approve, escalate, and make the final decision.</w:t>
      </w:r>
    </w:p>
    <w:p>
      <w:pPr>
        <w:spacing w:before="0" w:after="80" w:line="280" w:lineRule="auto"/>
        <w:numPr>
          <w:ilvl w:val="0"/>
          <w:numId w:val="14"/>
        </w:numPr>
      </w:pPr>
      <w:r>
        <w:rPr>
          <w:rFonts w:ascii="Calibri" w:hAnsi="Calibri"/>
          <w:b/>
          <w:color w:val="1D2939"/>
          <w:sz w:val="22"/>
        </w:rPr>
        <w:t xml:space="preserve">Accuracy: </w:t>
      </w:r>
      <w:r>
        <w:rPr>
          <w:rFonts w:ascii="Calibri" w:hAnsi="Calibri"/>
          <w:color w:val="1D2939"/>
          <w:sz w:val="22"/>
        </w:rPr>
        <w:t>Measured against a customer-labeled contract set; no unsupported numeric threshold is assumed.</w:t>
      </w:r>
    </w:p>
    <w:p>
      <w:pPr>
        <w:spacing w:before="0" w:after="80" w:line="280" w:lineRule="auto"/>
        <w:numPr>
          <w:ilvl w:val="0"/>
          <w:numId w:val="14"/>
        </w:numPr>
      </w:pPr>
      <w:r>
        <w:rPr>
          <w:rFonts w:ascii="Calibri" w:hAnsi="Calibri"/>
          <w:b/>
          <w:color w:val="1D2939"/>
          <w:sz w:val="22"/>
        </w:rPr>
        <w:t xml:space="preserve">Security: </w:t>
      </w:r>
      <w:r>
        <w:rPr>
          <w:rFonts w:ascii="Calibri" w:hAnsi="Calibri"/>
          <w:color w:val="1D2939"/>
          <w:sz w:val="22"/>
        </w:rPr>
        <w:t>Restricted access, approved data use, and validated region, retention, and logging behavior.</w:t>
      </w:r>
    </w:p>
    <w:p>
      <w:pPr>
        <w:spacing w:before="0" w:after="80" w:line="280" w:lineRule="auto"/>
        <w:numPr>
          <w:ilvl w:val="0"/>
          <w:numId w:val="14"/>
        </w:numPr>
      </w:pPr>
      <w:r>
        <w:rPr>
          <w:rFonts w:ascii="Calibri" w:hAnsi="Calibri"/>
          <w:b/>
          <w:color w:val="1D2939"/>
          <w:sz w:val="22"/>
        </w:rPr>
        <w:t xml:space="preserve">Traceability: </w:t>
      </w:r>
      <w:r>
        <w:rPr>
          <w:rFonts w:ascii="Calibri" w:hAnsi="Calibri"/>
          <w:color w:val="1D2939"/>
          <w:sz w:val="22"/>
        </w:rPr>
        <w:t>Contract ID, version, Finding ID, source ID, reviewer attribution, and decision status are retained.</w:t>
      </w:r>
    </w:p>
    <w:p>
      <w:pPr>
        <w:spacing w:before="0" w:after="80" w:line="280" w:lineRule="auto"/>
        <w:numPr>
          <w:ilvl w:val="0"/>
          <w:numId w:val="14"/>
        </w:numPr>
      </w:pPr>
      <w:r>
        <w:rPr>
          <w:rFonts w:ascii="Calibri" w:hAnsi="Calibri"/>
          <w:b/>
          <w:color w:val="1D2939"/>
          <w:sz w:val="22"/>
        </w:rPr>
        <w:t xml:space="preserve">Audit boundary: </w:t>
      </w:r>
      <w:r>
        <w:rPr>
          <w:rFonts w:ascii="Calibri" w:hAnsi="Calibri"/>
          <w:color w:val="1D2939"/>
          <w:sz w:val="22"/>
        </w:rPr>
        <w:t>Exported review packages provide basic traceability but are not a production CLM audit system.</w:t>
      </w:r>
    </w:p>
    <w:p>
      <w:pPr>
        <w:pStyle w:val="Heading2"/>
        <w:keepNext/>
      </w:pPr>
      <w:r>
        <w:rPr>
          <w:rFonts w:ascii="Calibri" w:hAnsi="Calibri"/>
          <w:b/>
          <w:color w:val="2E74B5"/>
          <w:sz w:val="26"/>
        </w:rPr>
        <w:t>Functional boundary</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50"/>
        <w:gridCol w:w="2250"/>
        <w:gridCol w:w="4660"/>
      </w:tblGrid>
      <w:tr>
        <w:trPr>
          <w:cantSplit/>
          <w:tblHeader w:val="true"/>
          <w:cantSplit/>
        </w:trPr>
        <w:tc>
          <w:tcPr>
            <w:tcW w:type="dxa" w:w="245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Activity</w:t>
            </w:r>
          </w:p>
        </w:tc>
        <w:tc>
          <w:tcPr>
            <w:tcW w:type="dxa" w:w="225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Classification</w:t>
            </w:r>
          </w:p>
        </w:tc>
        <w:tc>
          <w:tcPr>
            <w:tcW w:type="dxa" w:w="46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PoC boundary</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Contract upload and metadata</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human activity</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PA uploads the current contract and supplies ID, version, and type.</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Document understanding</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AI + human review</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Native parsing first; uncertain content is flagged.</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Clause extraction and classification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AI + human review</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Customer taxonomy; exact contract location and text retained.</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Approved-clause comparison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AI + human review</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Only applicable customer references may be used.</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Deviation detection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AI + human review</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Modified, missing, additional, ambiguous, contradictory, and unmapped findings.</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Policy and risk analysis</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AI + human review</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Only where customer policies and risk rules exist.</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Redline recommendation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AI + human review</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Textual proposal and structured before/after comparison.</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Reviewer recommendation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AI + human review</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Only through an approved ownership matrix.</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Review-package preparation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AI assisted</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Structured findings, evidence, confidence, and human-review status.</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Reviewer decisions and approval</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human activity</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Reviewer 1–3, Necessary Approver, and Legal remain authoritative.</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Feedback consolidation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AI + human review</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Normalized feedback linked by Finding ID.</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Conflict detection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AI + human review</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AI flags and summarizes; PA resolves or escalates.</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Final Procurement Agent review</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human activity</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AI supports but does not decide.</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Assignments, notifications, reminders</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human activity</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PA coordinates through the existing channel.</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Basic version identification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PoC — human activity</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Contract and package IDs; not CLM version control.</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Parallel workflow orchestration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Future phase</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Not evidenced as a native named-reviewer capability.</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In-document editing / Track Changes</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Out of scope</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Text recommendations only.</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SAP Ariba integration</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Future phase</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Future integration — not part of PoC.</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Execution, e-signature, obligations</w:t>
            </w:r>
          </w:p>
        </w:tc>
        <w:tc>
          <w:tcPr>
            <w:tcW w:type="dxa" w:w="2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Out of scope</w:t>
            </w:r>
          </w:p>
        </w:tc>
        <w:tc>
          <w:tcPr>
            <w:tcW w:type="dxa" w:w="46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Not part of contract-review validation.</w:t>
            </w:r>
          </w:p>
        </w:tc>
      </w:tr>
    </w:tbl>
    <w:p>
      <w:pPr>
        <w:spacing w:before="0" w:after="60"/>
      </w:pPr>
    </w:p>
    <w:p>
      <w:pPr>
        <w:sectPr>
          <w:headerReference w:type="default" r:id="rId11"/>
          <w:footerReference w:type="default" r:id="rId12"/>
          <w:pgSz w:w="12240" w:h="15840"/>
          <w:pgMar w:top="1440" w:right="1440" w:bottom="1440" w:left="1440" w:header="708" w:footer="708" w:gutter="0"/>
          <w:cols w:space="720"/>
          <w:docGrid w:linePitch="360"/>
        </w:sectPr>
      </w:pPr>
    </w:p>
    <w:p>
      <w:pPr>
        <w:pStyle w:val="Heading1"/>
        <w:keepNext/>
      </w:pPr>
      <w:r>
        <w:rPr>
          <w:rFonts w:ascii="Calibri" w:hAnsi="Calibri"/>
          <w:b/>
          <w:color w:val="2E74B5"/>
          <w:sz w:val="32"/>
        </w:rPr>
        <w:t>4. Gemini Enterprise Feasibility</w:t>
      </w:r>
    </w:p>
    <w:p>
      <w:pPr>
        <w:spacing w:before="0" w:after="120" w:line="264" w:lineRule="auto"/>
      </w:pPr>
      <w:r>
        <w:rPr>
          <w:rFonts w:ascii="Calibri" w:hAnsi="Calibri"/>
          <w:i w:val="0"/>
          <w:color w:val="1D2939"/>
          <w:sz w:val="22"/>
        </w:rPr>
        <w:t>Platform evidence was validated against official Google Cloud documentation during Stage 3. Exact tenant behavior, model availability, and preview or allowlisted features require tenant validation.</w:t>
      </w:r>
    </w:p>
    <w:tbl>
      <w:tblPr>
        <w:tblStyle w:val="TableGrid"/>
        <w:tblW w:type="dxa" w:w="129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2500"/>
        <w:gridCol w:w="2100"/>
        <w:gridCol w:w="4800"/>
        <w:gridCol w:w="1260"/>
      </w:tblGrid>
      <w:tr>
        <w:trPr>
          <w:cantSplit/>
          <w:tblHeader w:val="true"/>
          <w:cantSplit/>
        </w:trPr>
        <w:tc>
          <w:tcPr>
            <w:tcW w:type="dxa" w:w="23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Requirement</w:t>
            </w:r>
          </w:p>
        </w:tc>
        <w:tc>
          <w:tcPr>
            <w:tcW w:type="dxa" w:w="25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Gemini Enterprise capability</w:t>
            </w:r>
          </w:p>
        </w:tc>
        <w:tc>
          <w:tcPr>
            <w:tcW w:type="dxa" w:w="21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Status</w:t>
            </w:r>
          </w:p>
        </w:tc>
        <w:tc>
          <w:tcPr>
            <w:tcW w:type="dxa" w:w="48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Configuration / limitation</w:t>
            </w:r>
          </w:p>
        </w:tc>
        <w:tc>
          <w:tcPr>
            <w:tcW w:type="dxa" w:w="12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Evidence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Direct contract input</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Assistant file upload and analysis</w:t>
            </w:r>
          </w:p>
        </w:tc>
        <w:tc>
          <w:tcPr>
            <w:tcW w:type="dxa" w:w="2100"/>
            <w:shd w:fill="EAF6EE"/>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Subject to documented file-type and size limits.</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[2]</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Upload reaches selected agent</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Agent Designer input path</w:t>
            </w:r>
          </w:p>
        </w:tc>
        <w:tc>
          <w:tcPr>
            <w:tcW w:type="dxa" w:w="2100"/>
            <w:shd w:fill="FFF4CE"/>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Requires validation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Test exact tenant upload-to-agent handoff; retain assistant fallback.</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[3], [4]</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Single staged review agent</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Agent Designer and Flow Builder</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Configure fixed stages, instructions, knowledge, and output structure.</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[3], [4]</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Platform model selection</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Models available through the application</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Availability depends on tenant and region.</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[10]</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Approved enterprise knowledge</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Gemini Enterprise data stores</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Curated sources, agent connection, and access controls required.</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[5]</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Cloud Storage collection</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Cloud Storage ingestion</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Use controlled import; do not claim live CLM synchronization.</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[6]</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Native document processing</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Layout, digital, and OCR parsing</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Complex scans, tables, and appendices require validation.</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[7]</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Structured clause-level output</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Prompted tables and reports</w:t>
            </w:r>
          </w:p>
        </w:tc>
        <w:tc>
          <w:tcPr>
            <w:tcW w:type="dxa" w:w="2100"/>
            <w:shd w:fill="FFF4CE"/>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Requires validation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Strict schema consistency must be evaluated.</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[8]</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Clause extraction/classification</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Gemini model plus grounded knowledge</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Quality depends on parsing, taxonomy, instructions, and evaluation.</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[3], [7]</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Deviation and policy analysis</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Comparison against retrieved sources</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Requires approved, applicable customer references.</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[3], [5]</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Risk assessment</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Rule-grounded analysis</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Customer risk categories, levels, and rules are mandatory.</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[3], [5]</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Textual redline recommendation</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Generated text and structured artifact</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Supports recommendation, replacement proposal, and before/after presentation.</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[8], [9]</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Authoritative in-place editing</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explicit validated capability</w:t>
            </w:r>
          </w:p>
        </w:tc>
        <w:tc>
          <w:tcPr>
            <w:tcW w:type="dxa" w:w="2100"/>
            <w:shd w:fill="FDECEC"/>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Not evidenced</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AI artifact editing is not authoritative contract editing.</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[9]</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Microsoft Word Track Changes</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explicit validated capability</w:t>
            </w:r>
          </w:p>
        </w:tc>
        <w:tc>
          <w:tcPr>
            <w:tcW w:type="dxa" w:w="2100"/>
            <w:shd w:fill="FDECEC"/>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Not evidenced</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Must not be promised.</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[9]</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Reviewer recommendation</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Ownership-matrix application</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Recommendation only; PA performs routing.</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[3]</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Manual human review</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Gemini Enterprise user interaction</w:t>
            </w:r>
          </w:p>
        </w:tc>
        <w:tc>
          <w:tcPr>
            <w:tcW w:type="dxa" w:w="2100"/>
            <w:shd w:fill="EAF6EE"/>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Humans review and revise generated analysis.</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[1], [2]</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Workflow Agent human step</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Workflow human-intervention capability</w:t>
            </w:r>
          </w:p>
        </w:tc>
        <w:tc>
          <w:tcPr>
            <w:tcW w:type="dxa" w:w="2100"/>
            <w:shd w:fill="FFF4CE"/>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Requires validation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Tenant availability, pause, assignment, and resume behavior require testing.</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[11]</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Concurrent named reviewers</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Parallel assignment/orchestration</w:t>
            </w:r>
          </w:p>
        </w:tc>
        <w:tc>
          <w:tcPr>
            <w:tcW w:type="dxa" w:w="2100"/>
            <w:shd w:fill="FDECEC"/>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Not evidenced</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Manual PoC workaround required.</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[3], [11]</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Feedback consolidation</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Upload/paste feedback for analysis</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PA collects and submits normalized feedback.</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[2], [8]</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Conflict detection</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Comparison of attributed reviewer positions</w:t>
            </w:r>
          </w:p>
        </w:tc>
        <w:tc>
          <w:tcPr>
            <w:tcW w:type="dxa" w:w="2100"/>
            <w:shd w:fill="FFF4CE"/>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Requires validation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AI may flag and summarize but cannot resolve.</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[3]</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Basic PoC version identification</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Session and package metadata</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Manual contract, package, and Finding IDs.</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[2]</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Full CLM version control</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validated lifecycle repository</w:t>
            </w:r>
          </w:p>
        </w:tc>
        <w:tc>
          <w:tcPr>
            <w:tcW w:type="dxa" w:w="2100"/>
            <w:shd w:fill="FDECEC"/>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Not evidenced</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Conversation and file history are insufficient.</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[2], [9]</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Technical observability</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Metrics, traces, and logging</w:t>
            </w:r>
          </w:p>
        </w:tc>
        <w:tc>
          <w:tcPr>
            <w:tcW w:type="dxa" w:w="2100"/>
            <w:shd w:fill="F4F7FB"/>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Supported with configuration</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Does not provide a complete business-decision audit.</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[1], [13]</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ADK / Agent Runtime</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Custom agent development</w:t>
            </w:r>
          </w:p>
        </w:tc>
        <w:tc>
          <w:tcPr>
            <w:tcW w:type="dxa" w:w="2100"/>
            <w:shd w:fill="F2F4F7"/>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Out of scope</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Evaluate only if a mandatory gap cannot be met natively.</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[12]</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Document AI</w:t>
            </w:r>
          </w:p>
        </w:tc>
        <w:tc>
          <w:tcPr>
            <w:tcW w:type="dxa" w:w="2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Advanced document processing</w:t>
            </w:r>
          </w:p>
        </w:tc>
        <w:tc>
          <w:tcPr>
            <w:tcW w:type="dxa" w:w="2100"/>
            <w:shd w:fill="F2F4F7"/>
            <w:tcMar>
              <w:top w:w="80" w:type="dxa"/>
              <w:start w:w="120" w:type="dxa"/>
              <w:bottom w:w="80" w:type="dxa"/>
              <w:end w:w="120" w:type="dxa"/>
            </w:tcMar>
            <w:vAlign w:val="center"/>
          </w:tcPr>
          <w:p>
            <w:pPr>
              <w:spacing w:before="0" w:after="0" w:line="252" w:lineRule="auto"/>
              <w:jc w:val="center"/>
            </w:pPr>
            <w:r>
              <w:rPr>
                <w:b/>
              </w:rPr>
            </w:r>
            <w:r>
              <w:rPr>
                <w:rFonts w:ascii="Calibri" w:hAnsi="Calibri"/>
                <w:b w:val="0"/>
                <w:color w:val="1D2939"/>
                <w:sz w:val="16"/>
              </w:rPr>
              <w:t>Out of scope</w:t>
            </w:r>
          </w:p>
        </w:tc>
        <w:tc>
          <w:tcPr>
            <w:tcW w:type="dxa" w:w="48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Evaluate only after native parsing demonstrably fails.</w:t>
            </w:r>
          </w:p>
        </w:tc>
        <w:tc>
          <w:tcPr>
            <w:tcW w:type="dxa" w:w="12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[7]</w:t>
            </w:r>
          </w:p>
        </w:tc>
      </w:tr>
    </w:tbl>
    <w:p>
      <w:pPr>
        <w:spacing w:before="0" w:after="60"/>
      </w:pPr>
    </w:p>
    <w:p>
      <w:pPr>
        <w:spacing w:before="80" w:after="200" w:line="264" w:lineRule="auto"/>
        <w:ind w:left="173" w:right="115"/>
        <w:shd w:fill="FFF4CE"/>
        <w:pBdr>
          <w:left w:val="single" w:sz="18" w:space="6" w:color="C89B00"/>
        </w:pBdr>
      </w:pPr>
      <w:r>
        <w:rPr>
          <w:rFonts w:ascii="Calibri" w:hAnsi="Calibri"/>
          <w:b/>
          <w:color w:val="0B2545"/>
          <w:sz w:val="22"/>
        </w:rPr>
        <w:t xml:space="preserve">Status interpretation: </w:t>
      </w:r>
      <w:r>
        <w:rPr>
          <w:rFonts w:ascii="Calibri" w:hAnsi="Calibri"/>
          <w:color w:val="1D2939"/>
          <w:sz w:val="22"/>
        </w:rPr>
        <w:t>Supported does not mean contract-review accuracy is guaranteed. Retrieval quality, structured output consistency, extraction, deviations, risk agreement, redline quality, and conflict detection remain PoC evaluation outcomes.</w:t>
      </w:r>
    </w:p>
    <w:p>
      <w:pPr>
        <w:sectPr>
          <w:headerReference w:type="default" r:id="rId13"/>
          <w:footerReference w:type="default" r:id="rId14"/>
          <w:pgSz w:w="15840" w:h="12240" w:orient="landscape"/>
          <w:pgMar w:top="1440" w:right="1440" w:bottom="1440" w:left="1440" w:header="708" w:footer="708" w:gutter="0"/>
          <w:cols w:space="720"/>
          <w:docGrid w:linePitch="360"/>
        </w:sectPr>
      </w:pPr>
    </w:p>
    <w:p>
      <w:pPr>
        <w:pStyle w:val="Heading1"/>
        <w:keepNext/>
      </w:pPr>
      <w:r>
        <w:rPr>
          <w:rFonts w:ascii="Calibri" w:hAnsi="Calibri"/>
          <w:b/>
          <w:color w:val="2E74B5"/>
          <w:sz w:val="32"/>
        </w:rPr>
        <w:t>5. Recommended Reference Architecture</w:t>
      </w:r>
    </w:p>
    <w:p>
      <w:pPr>
        <w:spacing w:before="80" w:after="200" w:line="264" w:lineRule="auto"/>
        <w:ind w:left="173" w:right="115"/>
        <w:shd w:fill="F4F7FB"/>
        <w:pBdr>
          <w:left w:val="single" w:sz="18" w:space="6" w:color="2E74B5"/>
        </w:pBdr>
      </w:pPr>
      <w:r>
        <w:rPr>
          <w:rFonts w:ascii="Calibri" w:hAnsi="Calibri"/>
          <w:b/>
          <w:color w:val="0B2545"/>
          <w:sz w:val="22"/>
        </w:rPr>
        <w:t xml:space="preserve">Architecture decision: </w:t>
      </w:r>
      <w:r>
        <w:rPr>
          <w:rFonts w:ascii="Calibri" w:hAnsi="Calibri"/>
          <w:color w:val="1D2939"/>
          <w:sz w:val="22"/>
        </w:rPr>
        <w:t>Use one Contract Review Agent with two modes—initial review and feedback consolidation. Do not introduce a second agent unless a future, validated technical separation requires it.</w:t>
      </w:r>
    </w:p>
    <w:p>
      <w:pPr>
        <w:jc w:val="center"/>
      </w:pPr>
      <w:r>
        <w:drawing>
          <wp:inline xmlns:a="http://schemas.openxmlformats.org/drawingml/2006/main" xmlns:pic="http://schemas.openxmlformats.org/drawingml/2006/picture">
            <wp:extent cx="5806440" cy="6014858"/>
            <wp:docPr id="1" name="Gemini Enterprise contract review reference architecture" descr="Procurement Agent uploads a session-scoped contract to Gemini Enterprise. One Contract Review Agent uses an approved knowledge data store, prepares a review package, supports manual reviewers and the Necessary Approver, consolidates Legal and reviewer feedback, flags unresolved conflicts, and returns the package to the Procurement Agent. SAP Ariba is shown only as future integration outside the PoC."/>
            <wp:cNvGraphicFramePr>
              <a:graphicFrameLocks noChangeAspect="1"/>
            </wp:cNvGraphicFramePr>
            <a:graphic>
              <a:graphicData uri="http://schemas.openxmlformats.org/drawingml/2006/picture">
                <pic:pic>
                  <pic:nvPicPr>
                    <pic:cNvPr id="0" name="gemini_contract_review_reference_architecture.png"/>
                    <pic:cNvPicPr/>
                  </pic:nvPicPr>
                  <pic:blipFill>
                    <a:blip r:embed="rId17"/>
                    <a:stretch>
                      <a:fillRect/>
                    </a:stretch>
                  </pic:blipFill>
                  <pic:spPr>
                    <a:xfrm>
                      <a:off x="0" y="0"/>
                      <a:ext cx="5806440" cy="6014858"/>
                    </a:xfrm>
                    <a:prstGeom prst="rect"/>
                  </pic:spPr>
                </pic:pic>
              </a:graphicData>
            </a:graphic>
          </wp:inline>
        </w:drawing>
      </w:r>
    </w:p>
    <w:p>
      <w:pPr>
        <w:spacing w:before="80" w:after="200"/>
        <w:jc w:val="center"/>
      </w:pPr>
      <w:r>
        <w:rPr>
          <w:rFonts w:ascii="Calibri" w:hAnsi="Calibri"/>
          <w:i/>
          <w:color w:val="667085"/>
          <w:sz w:val="18"/>
        </w:rPr>
        <w:t>Figure 1. Minimum viable Gemini Enterprise contract-review reference architecture</w:t>
      </w:r>
    </w:p>
    <w:p>
      <w:pPr>
        <w:pStyle w:val="Heading2"/>
        <w:keepNext/>
      </w:pPr>
      <w:r>
        <w:rPr>
          <w:rFonts w:ascii="Calibri" w:hAnsi="Calibri"/>
          <w:b/>
          <w:color w:val="2E74B5"/>
          <w:sz w:val="26"/>
        </w:rPr>
        <w:t>Minimum data flow</w:t>
      </w:r>
    </w:p>
    <w:p>
      <w:pPr>
        <w:spacing w:before="0" w:after="80" w:line="280" w:lineRule="auto"/>
        <w:numPr>
          <w:ilvl w:val="0"/>
          <w:numId w:val="15"/>
        </w:numPr>
      </w:pPr>
      <w:r>
        <w:rPr>
          <w:rFonts w:ascii="Calibri" w:hAnsi="Calibri"/>
          <w:color w:val="1D2939"/>
          <w:sz w:val="22"/>
        </w:rPr>
        <w:t>The Procurement Agent uploads the current contract and supplies contract ID, version, and type.</w:t>
      </w:r>
    </w:p>
    <w:p>
      <w:pPr>
        <w:spacing w:before="0" w:after="80" w:line="280" w:lineRule="auto"/>
        <w:numPr>
          <w:ilvl w:val="0"/>
          <w:numId w:val="15"/>
        </w:numPr>
      </w:pPr>
      <w:r>
        <w:rPr>
          <w:rFonts w:ascii="Calibri" w:hAnsi="Calibri"/>
          <w:color w:val="1D2939"/>
          <w:sz w:val="22"/>
        </w:rPr>
        <w:t>The agent retrieves applicable approved references from one Gemini Enterprise data store.</w:t>
      </w:r>
    </w:p>
    <w:p>
      <w:pPr>
        <w:spacing w:before="0" w:after="80" w:line="280" w:lineRule="auto"/>
        <w:numPr>
          <w:ilvl w:val="0"/>
          <w:numId w:val="15"/>
        </w:numPr>
      </w:pPr>
      <w:r>
        <w:rPr>
          <w:rFonts w:ascii="Calibri" w:hAnsi="Calibri"/>
          <w:color w:val="1D2939"/>
          <w:sz w:val="22"/>
        </w:rPr>
        <w:t>The agent generates clause findings, deviations, risks, recommendations, evidence, and reviewer suggestions.</w:t>
      </w:r>
    </w:p>
    <w:p>
      <w:pPr>
        <w:spacing w:before="0" w:after="80" w:line="280" w:lineRule="auto"/>
        <w:numPr>
          <w:ilvl w:val="0"/>
          <w:numId w:val="15"/>
        </w:numPr>
      </w:pPr>
      <w:r>
        <w:rPr>
          <w:rFonts w:ascii="Calibri" w:hAnsi="Calibri"/>
          <w:color w:val="1D2939"/>
          <w:sz w:val="22"/>
        </w:rPr>
        <w:t>The Procurement Agent validates and manually distributes relevant findings.</w:t>
      </w:r>
    </w:p>
    <w:p>
      <w:pPr>
        <w:spacing w:before="0" w:after="80" w:line="280" w:lineRule="auto"/>
        <w:numPr>
          <w:ilvl w:val="0"/>
          <w:numId w:val="15"/>
        </w:numPr>
      </w:pPr>
      <w:r>
        <w:rPr>
          <w:rFonts w:ascii="Calibri" w:hAnsi="Calibri"/>
          <w:color w:val="1D2939"/>
          <w:sz w:val="22"/>
        </w:rPr>
        <w:t>Reviewer and Legal feedback returns through the Procurement Agent as normalized input.</w:t>
      </w:r>
    </w:p>
    <w:p>
      <w:pPr>
        <w:spacing w:before="0" w:after="80" w:line="280" w:lineRule="auto"/>
        <w:numPr>
          <w:ilvl w:val="0"/>
          <w:numId w:val="15"/>
        </w:numPr>
      </w:pPr>
      <w:r>
        <w:rPr>
          <w:rFonts w:ascii="Calibri" w:hAnsi="Calibri"/>
          <w:color w:val="1D2939"/>
          <w:sz w:val="22"/>
        </w:rPr>
        <w:t>The same agent consolidates feedback, preserves attribution, and flags unresolved conflicts.</w:t>
      </w:r>
    </w:p>
    <w:p>
      <w:pPr>
        <w:spacing w:before="0" w:after="80" w:line="280" w:lineRule="auto"/>
        <w:numPr>
          <w:ilvl w:val="0"/>
          <w:numId w:val="15"/>
        </w:numPr>
      </w:pPr>
      <w:r>
        <w:rPr>
          <w:rFonts w:ascii="Calibri" w:hAnsi="Calibri"/>
          <w:color w:val="1D2939"/>
          <w:sz w:val="22"/>
        </w:rPr>
        <w:t>The Procurement Agent performs the final review and determines any targeted re-review.</w:t>
      </w:r>
    </w:p>
    <w:p>
      <w:pPr>
        <w:spacing w:before="0" w:after="120" w:line="264" w:lineRule="auto"/>
      </w:pPr>
      <w:r>
        <w:rPr>
          <w:rFonts w:ascii="Calibri" w:hAnsi="Calibri"/>
          <w:i w:val="0"/>
          <w:color w:val="1D2939"/>
          <w:sz w:val="22"/>
        </w:rPr>
        <w:t>No multi-agent architecture, custom UI, workflow engine, event bus, custom API layer, knowledge graph, vector database, or relational database is required for the PoC.</w:t>
      </w:r>
    </w:p>
    <w:p>
      <w:pPr>
        <w:pStyle w:val="Heading1"/>
        <w:keepNext/>
      </w:pPr>
      <w:r>
        <w:rPr>
          <w:rFonts w:ascii="Calibri" w:hAnsi="Calibri"/>
          <w:b/>
          <w:color w:val="2E74B5"/>
          <w:sz w:val="32"/>
        </w:rPr>
        <w:t>6. Contract Review Agent Design</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00"/>
        <w:gridCol w:w="7160"/>
      </w:tblGrid>
      <w:tr>
        <w:trPr>
          <w:cantSplit/>
          <w:tblHeader w:val="true"/>
          <w:cantSplit/>
        </w:trPr>
        <w:tc>
          <w:tcPr>
            <w:tcW w:type="dxa" w:w="22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Agent mode</w:t>
            </w:r>
          </w:p>
        </w:tc>
        <w:tc>
          <w:tcPr>
            <w:tcW w:type="dxa" w:w="71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Responsibility</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Initial review</w:t>
            </w:r>
          </w:p>
        </w:tc>
        <w:tc>
          <w:tcPr>
            <w:tcW w:type="dxa" w:w="71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Document structure, clauses, retrieval, comparison, deviation analysis, customer-rule-based risk support, redline recommendation, and package preparation.</w:t>
            </w:r>
          </w:p>
        </w:tc>
      </w:tr>
      <w:tr>
        <w:trPr>
          <w:cantSplit/>
        </w:trPr>
        <w:tc>
          <w:tcPr>
            <w:tcW w:type="dxa" w:w="2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Feedback consolidation</w:t>
            </w:r>
          </w:p>
        </w:tc>
        <w:tc>
          <w:tcPr>
            <w:tcW w:type="dxa" w:w="71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Finding-ID matching, response normalization, agreement detection, conflict flagging, attribution preservation, and consolidated-package preparation.</w:t>
            </w:r>
          </w:p>
        </w:tc>
      </w:tr>
    </w:tbl>
    <w:p>
      <w:pPr>
        <w:spacing w:before="0" w:after="60"/>
      </w:pPr>
    </w:p>
    <w:p>
      <w:pPr>
        <w:pStyle w:val="Heading2"/>
        <w:keepNext/>
      </w:pPr>
      <w:r>
        <w:rPr>
          <w:rFonts w:ascii="Calibri" w:hAnsi="Calibri"/>
          <w:b/>
          <w:color w:val="2E74B5"/>
          <w:sz w:val="26"/>
        </w:rPr>
        <w:t>Fixed processing stages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7060"/>
      </w:tblGrid>
      <w:tr>
        <w:trPr>
          <w:cantSplit/>
          <w:tblHeader w:val="true"/>
          <w:cantSplit/>
        </w:trPr>
        <w:tc>
          <w:tcPr>
            <w:tcW w:type="dxa" w:w="23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Stage</w:t>
            </w:r>
          </w:p>
        </w:tc>
        <w:tc>
          <w:tcPr>
            <w:tcW w:type="dxa" w:w="70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Required behavior</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Receive contract</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Validate file readability, contract ID, version, and type.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Understand structure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Identify headings, sections, tables, schedules, appendices, and cross-references.</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Identify clauses</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Extract and classify relevant language; preserve location and surrounding text.</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Retrieve approved reference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Retrieve only current, applicable, customer-approved material.</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Compare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Show contract language and reference language together.</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Identify deviation</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Classify aligned, modified, missing, additional, ambiguous, contradictory, unmapped, or uncertain.</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Apply defined risk</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Use only customer-supplied category, level, trigger, and rule.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Generate recommendation</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Produce only evidence-supported action and replacement language.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Prepare package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Create stable Finding IDs, evidence, confidence, reviewer status, and limitations.</w:t>
            </w:r>
          </w:p>
        </w:tc>
      </w:tr>
    </w:tbl>
    <w:p>
      <w:pPr>
        <w:spacing w:before="0" w:after="60"/>
      </w:pPr>
    </w:p>
    <w:p>
      <w:pPr>
        <w:pStyle w:val="Heading2"/>
        <w:keepNext/>
      </w:pPr>
      <w:r>
        <w:rPr>
          <w:rFonts w:ascii="Calibri" w:hAnsi="Calibri"/>
          <w:b/>
          <w:color w:val="2E74B5"/>
          <w:sz w:val="26"/>
        </w:rPr>
        <w:t>Clause finding output contract</w:t>
      </w:r>
    </w:p>
    <w:p>
      <w:pPr>
        <w:spacing w:before="80" w:after="200" w:line="264" w:lineRule="auto"/>
        <w:ind w:left="173" w:right="115"/>
        <w:shd w:fill="F4F7FB"/>
        <w:pBdr>
          <w:left w:val="single" w:sz="18" w:space="6" w:color="2E74B5"/>
        </w:pBdr>
      </w:pPr>
      <w:r>
        <w:rPr>
          <w:rFonts w:ascii="Calibri" w:hAnsi="Calibri"/>
          <w:b/>
          <w:color w:val="0B2545"/>
          <w:sz w:val="22"/>
        </w:rPr>
        <w:t xml:space="preserve">Required fields: </w:t>
      </w:r>
      <w:r>
        <w:rPr>
          <w:rFonts w:ascii="Calibri" w:hAnsi="Calibri"/>
          <w:color w:val="1D2939"/>
          <w:sz w:val="22"/>
        </w:rPr>
        <w:t>Finding ID | Clause | Clause Status | Contract Location | Contract Text | Reference Availability | Reference Source | Reference Version | Reference Text | Deviation | Deviation Type | Risk Category | Risk Level | Risk Rule | Reason | Recommended Action | Suggested Redline | Evidence | Reviewer Required | Reviewer Rule | Extraction Confidence | Reference-Match Confidence | Overall Confidence | Decision</w:t>
      </w:r>
    </w:p>
    <w:p>
      <w:pPr>
        <w:spacing w:before="80" w:after="200" w:line="264" w:lineRule="auto"/>
        <w:ind w:left="173" w:right="115"/>
        <w:shd w:fill="FFF4CE"/>
        <w:pBdr>
          <w:left w:val="single" w:sz="18" w:space="6" w:color="C89B00"/>
        </w:pBdr>
      </w:pPr>
      <w:r>
        <w:rPr>
          <w:rFonts w:ascii="Calibri" w:hAnsi="Calibri"/>
          <w:b/>
          <w:color w:val="0B2545"/>
          <w:sz w:val="22"/>
        </w:rPr>
        <w:t xml:space="preserve">No-reference behavior: </w:t>
      </w:r>
      <w:r>
        <w:rPr>
          <w:rFonts w:ascii="Calibri" w:hAnsi="Calibri"/>
          <w:color w:val="1D2939"/>
          <w:sz w:val="22"/>
        </w:rPr>
        <w:t>Reference: Not available. Suggested Redline: Not provided. Decision: Human review required — insufficient policy evidence.</w:t>
      </w:r>
    </w:p>
    <w:p>
      <w:pPr>
        <w:pStyle w:val="Heading2"/>
        <w:keepNext/>
      </w:pPr>
      <w:r>
        <w:rPr>
          <w:rFonts w:ascii="Calibri" w:hAnsi="Calibri"/>
          <w:b/>
          <w:color w:val="2E74B5"/>
          <w:sz w:val="26"/>
        </w:rPr>
        <w:t>Controlled exception handling</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7060"/>
      </w:tblGrid>
      <w:tr>
        <w:trPr>
          <w:cantSplit/>
          <w:tblHeader w:val="true"/>
          <w:cantSplit/>
        </w:trPr>
        <w:tc>
          <w:tcPr>
            <w:tcW w:type="dxa" w:w="23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Condition</w:t>
            </w:r>
          </w:p>
        </w:tc>
        <w:tc>
          <w:tcPr>
            <w:tcW w:type="dxa" w:w="70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Agent behavior</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Missing clause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Assert only when an approved template, checklist, or policy requires it.</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Modified clause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Show current text, reference text, and material difference.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Additional clause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Do not treat absence from a template as automatic non-compliance.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Ambiguous language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Quote the ambiguity and require human interpretation.</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Contradictory provisions</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Link affected findings; do not resolve without an approved rule.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Insufficient evidence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Withhold risk level and redline; require human review.</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Low-confidence extraction</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Mark provisional and require manual source-text verification.</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Unmapped language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Do not force the nearest clause category.</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Conflicting references</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Present each source; do not select without an approved precedence rule.</w:t>
            </w:r>
          </w:p>
        </w:tc>
      </w:tr>
    </w:tbl>
    <w:p>
      <w:pPr>
        <w:spacing w:before="0" w:after="60"/>
      </w:pPr>
    </w:p>
    <w:p>
      <w:r>
        <w:br w:type="page"/>
      </w:r>
    </w:p>
    <w:p>
      <w:pPr>
        <w:pStyle w:val="Heading1"/>
        <w:keepNext/>
      </w:pPr>
      <w:r>
        <w:rPr>
          <w:rFonts w:ascii="Calibri" w:hAnsi="Calibri"/>
          <w:b/>
          <w:color w:val="2E74B5"/>
          <w:sz w:val="32"/>
        </w:rPr>
        <w:t>7. Contract Review Workflow</w:t>
      </w:r>
    </w:p>
    <w:p>
      <w:pPr>
        <w:spacing w:before="0" w:after="80" w:line="280" w:lineRule="auto"/>
        <w:numPr>
          <w:ilvl w:val="0"/>
          <w:numId w:val="16"/>
        </w:numPr>
      </w:pPr>
      <w:r>
        <w:rPr>
          <w:rFonts w:ascii="Calibri" w:hAnsi="Calibri"/>
          <w:b/>
          <w:color w:val="1D2939"/>
          <w:sz w:val="22"/>
        </w:rPr>
        <w:t xml:space="preserve">Contract submission: </w:t>
      </w:r>
      <w:r>
        <w:rPr>
          <w:rFonts w:ascii="Calibri" w:hAnsi="Calibri"/>
          <w:color w:val="1D2939"/>
          <w:sz w:val="22"/>
        </w:rPr>
        <w:t>PA uploads the current version and supplies ID, version, and type.</w:t>
      </w:r>
    </w:p>
    <w:p>
      <w:pPr>
        <w:spacing w:before="0" w:after="80" w:line="280" w:lineRule="auto"/>
        <w:numPr>
          <w:ilvl w:val="0"/>
          <w:numId w:val="16"/>
        </w:numPr>
      </w:pPr>
      <w:r>
        <w:rPr>
          <w:rFonts w:ascii="Calibri" w:hAnsi="Calibri"/>
          <w:b/>
          <w:color w:val="1D2939"/>
          <w:sz w:val="22"/>
        </w:rPr>
        <w:t xml:space="preserve">Input validation: </w:t>
      </w:r>
      <w:r>
        <w:rPr>
          <w:rFonts w:ascii="Calibri" w:hAnsi="Calibri"/>
          <w:color w:val="1D2939"/>
          <w:sz w:val="22"/>
        </w:rPr>
        <w:t>Agent verifies readability and required metadata.</w:t>
      </w:r>
    </w:p>
    <w:p>
      <w:pPr>
        <w:spacing w:before="0" w:after="80" w:line="280" w:lineRule="auto"/>
        <w:numPr>
          <w:ilvl w:val="0"/>
          <w:numId w:val="16"/>
        </w:numPr>
      </w:pPr>
      <w:r>
        <w:rPr>
          <w:rFonts w:ascii="Calibri" w:hAnsi="Calibri"/>
          <w:b/>
          <w:color w:val="1D2939"/>
          <w:sz w:val="22"/>
        </w:rPr>
        <w:t xml:space="preserve">Structure analysis: </w:t>
      </w:r>
      <w:r>
        <w:rPr>
          <w:rFonts w:ascii="Calibri" w:hAnsi="Calibri"/>
          <w:color w:val="1D2939"/>
          <w:sz w:val="22"/>
        </w:rPr>
        <w:t>Agent identifies clauses, schedules, tables, appendices, and document relationships.</w:t>
      </w:r>
    </w:p>
    <w:p>
      <w:pPr>
        <w:spacing w:before="0" w:after="80" w:line="280" w:lineRule="auto"/>
        <w:numPr>
          <w:ilvl w:val="0"/>
          <w:numId w:val="16"/>
        </w:numPr>
      </w:pPr>
      <w:r>
        <w:rPr>
          <w:rFonts w:ascii="Calibri" w:hAnsi="Calibri"/>
          <w:b/>
          <w:color w:val="1D2939"/>
          <w:sz w:val="22"/>
        </w:rPr>
        <w:t xml:space="preserve">Clause analysis: </w:t>
      </w:r>
      <w:r>
        <w:rPr>
          <w:rFonts w:ascii="Calibri" w:hAnsi="Calibri"/>
          <w:color w:val="1D2939"/>
          <w:sz w:val="22"/>
        </w:rPr>
        <w:t>Agent classifies present, modified, missing, additional, ambiguous, contradictory, or unmapped language.</w:t>
      </w:r>
    </w:p>
    <w:p>
      <w:pPr>
        <w:spacing w:before="0" w:after="80" w:line="280" w:lineRule="auto"/>
        <w:numPr>
          <w:ilvl w:val="0"/>
          <w:numId w:val="16"/>
        </w:numPr>
      </w:pPr>
      <w:r>
        <w:rPr>
          <w:rFonts w:ascii="Calibri" w:hAnsi="Calibri"/>
          <w:b/>
          <w:color w:val="1D2939"/>
          <w:sz w:val="22"/>
        </w:rPr>
        <w:t xml:space="preserve">Grounded retrieval: </w:t>
      </w:r>
      <w:r>
        <w:rPr>
          <w:rFonts w:ascii="Calibri" w:hAnsi="Calibri"/>
          <w:color w:val="1D2939"/>
          <w:sz w:val="22"/>
        </w:rPr>
        <w:t>Agent retrieves applicable approved references and records source evidence.</w:t>
      </w:r>
    </w:p>
    <w:p>
      <w:pPr>
        <w:spacing w:before="0" w:after="80" w:line="280" w:lineRule="auto"/>
        <w:numPr>
          <w:ilvl w:val="0"/>
          <w:numId w:val="16"/>
        </w:numPr>
      </w:pPr>
      <w:r>
        <w:rPr>
          <w:rFonts w:ascii="Calibri" w:hAnsi="Calibri"/>
          <w:b/>
          <w:color w:val="1D2939"/>
          <w:sz w:val="22"/>
        </w:rPr>
        <w:t xml:space="preserve">Deviation and risk analysis: </w:t>
      </w:r>
      <w:r>
        <w:rPr>
          <w:rFonts w:ascii="Calibri" w:hAnsi="Calibri"/>
          <w:color w:val="1D2939"/>
          <w:sz w:val="22"/>
        </w:rPr>
        <w:t>Agent compares language and applies customer rules where available.</w:t>
      </w:r>
    </w:p>
    <w:p>
      <w:pPr>
        <w:spacing w:before="0" w:after="80" w:line="280" w:lineRule="auto"/>
        <w:numPr>
          <w:ilvl w:val="0"/>
          <w:numId w:val="16"/>
        </w:numPr>
      </w:pPr>
      <w:r>
        <w:rPr>
          <w:rFonts w:ascii="Calibri" w:hAnsi="Calibri"/>
          <w:b/>
          <w:color w:val="1D2939"/>
          <w:sz w:val="22"/>
        </w:rPr>
        <w:t xml:space="preserve">Recommendation: </w:t>
      </w:r>
      <w:r>
        <w:rPr>
          <w:rFonts w:ascii="Calibri" w:hAnsi="Calibri"/>
          <w:color w:val="1D2939"/>
          <w:sz w:val="22"/>
        </w:rPr>
        <w:t>Agent produces supported action and textual redline where authorized.</w:t>
      </w:r>
    </w:p>
    <w:p>
      <w:pPr>
        <w:spacing w:before="0" w:after="80" w:line="280" w:lineRule="auto"/>
        <w:numPr>
          <w:ilvl w:val="0"/>
          <w:numId w:val="16"/>
        </w:numPr>
      </w:pPr>
      <w:r>
        <w:rPr>
          <w:rFonts w:ascii="Calibri" w:hAnsi="Calibri"/>
          <w:b/>
          <w:color w:val="1D2939"/>
          <w:sz w:val="22"/>
        </w:rPr>
        <w:t xml:space="preserve">Package preparation: </w:t>
      </w:r>
      <w:r>
        <w:rPr>
          <w:rFonts w:ascii="Calibri" w:hAnsi="Calibri"/>
          <w:color w:val="1D2939"/>
          <w:sz w:val="22"/>
        </w:rPr>
        <w:t>Findings include evidence, confidence, and recommended reviewer.</w:t>
      </w:r>
    </w:p>
    <w:p>
      <w:pPr>
        <w:spacing w:before="0" w:after="80" w:line="280" w:lineRule="auto"/>
        <w:numPr>
          <w:ilvl w:val="0"/>
          <w:numId w:val="16"/>
        </w:numPr>
      </w:pPr>
      <w:r>
        <w:rPr>
          <w:rFonts w:ascii="Calibri" w:hAnsi="Calibri"/>
          <w:b/>
          <w:color w:val="1D2939"/>
          <w:sz w:val="22"/>
        </w:rPr>
        <w:t xml:space="preserve">PA validation: </w:t>
      </w:r>
      <w:r>
        <w:rPr>
          <w:rFonts w:ascii="Calibri" w:hAnsi="Calibri"/>
          <w:color w:val="1D2939"/>
          <w:sz w:val="22"/>
        </w:rPr>
        <w:t>PA accepts, rejects, modifies, or defers each AI finding.</w:t>
      </w:r>
    </w:p>
    <w:p>
      <w:pPr>
        <w:spacing w:before="0" w:after="80" w:line="280" w:lineRule="auto"/>
        <w:numPr>
          <w:ilvl w:val="0"/>
          <w:numId w:val="16"/>
        </w:numPr>
      </w:pPr>
      <w:r>
        <w:rPr>
          <w:rFonts w:ascii="Calibri" w:hAnsi="Calibri"/>
          <w:b/>
          <w:color w:val="1D2939"/>
          <w:sz w:val="22"/>
        </w:rPr>
        <w:t xml:space="preserve">Manual reviewer coordination: </w:t>
      </w:r>
      <w:r>
        <w:rPr>
          <w:rFonts w:ascii="Calibri" w:hAnsi="Calibri"/>
          <w:color w:val="1D2939"/>
          <w:sz w:val="22"/>
        </w:rPr>
        <w:t>PA distributes relevant findings to the supplied reviewer personas.</w:t>
      </w:r>
    </w:p>
    <w:p>
      <w:pPr>
        <w:spacing w:before="0" w:after="80" w:line="280" w:lineRule="auto"/>
        <w:numPr>
          <w:ilvl w:val="0"/>
          <w:numId w:val="16"/>
        </w:numPr>
      </w:pPr>
      <w:r>
        <w:rPr>
          <w:rFonts w:ascii="Calibri" w:hAnsi="Calibri"/>
          <w:b/>
          <w:color w:val="1D2939"/>
          <w:sz w:val="22"/>
        </w:rPr>
        <w:t xml:space="preserve">Feedback consolidation: </w:t>
      </w:r>
      <w:r>
        <w:rPr>
          <w:rFonts w:ascii="Calibri" w:hAnsi="Calibri"/>
          <w:color w:val="1D2939"/>
          <w:sz w:val="22"/>
        </w:rPr>
        <w:t>Agent links normalized feedback to Finding IDs and preserves attribution.</w:t>
      </w:r>
    </w:p>
    <w:p>
      <w:pPr>
        <w:spacing w:before="0" w:after="80" w:line="280" w:lineRule="auto"/>
        <w:numPr>
          <w:ilvl w:val="0"/>
          <w:numId w:val="16"/>
        </w:numPr>
      </w:pPr>
      <w:r>
        <w:rPr>
          <w:rFonts w:ascii="Calibri" w:hAnsi="Calibri"/>
          <w:b/>
          <w:color w:val="1D2939"/>
          <w:sz w:val="22"/>
        </w:rPr>
        <w:t xml:space="preserve">Conflict processing: </w:t>
      </w:r>
      <w:r>
        <w:rPr>
          <w:rFonts w:ascii="Calibri" w:hAnsi="Calibri"/>
          <w:color w:val="1D2939"/>
          <w:sz w:val="22"/>
        </w:rPr>
        <w:t>Agent flags incompatible decisions or edits without selecting a winner.</w:t>
      </w:r>
    </w:p>
    <w:p>
      <w:pPr>
        <w:spacing w:before="0" w:after="80" w:line="280" w:lineRule="auto"/>
        <w:numPr>
          <w:ilvl w:val="0"/>
          <w:numId w:val="16"/>
        </w:numPr>
      </w:pPr>
      <w:r>
        <w:rPr>
          <w:rFonts w:ascii="Calibri" w:hAnsi="Calibri"/>
          <w:b/>
          <w:color w:val="1D2939"/>
          <w:sz w:val="22"/>
        </w:rPr>
        <w:t xml:space="preserve">Legal review: </w:t>
      </w:r>
      <w:r>
        <w:rPr>
          <w:rFonts w:ascii="Calibri" w:hAnsi="Calibri"/>
          <w:color w:val="1D2939"/>
          <w:sz w:val="22"/>
        </w:rPr>
        <w:t>Legal supplies comments or proposed changes through the controlled feedback structure.</w:t>
      </w:r>
    </w:p>
    <w:p>
      <w:pPr>
        <w:spacing w:before="0" w:after="80" w:line="280" w:lineRule="auto"/>
        <w:numPr>
          <w:ilvl w:val="0"/>
          <w:numId w:val="16"/>
        </w:numPr>
      </w:pPr>
      <w:r>
        <w:rPr>
          <w:rFonts w:ascii="Calibri" w:hAnsi="Calibri"/>
          <w:b/>
          <w:color w:val="1D2939"/>
          <w:sz w:val="22"/>
        </w:rPr>
        <w:t xml:space="preserve">Final consolidation: </w:t>
      </w:r>
      <w:r>
        <w:rPr>
          <w:rFonts w:ascii="Calibri" w:hAnsi="Calibri"/>
          <w:color w:val="1D2939"/>
          <w:sz w:val="22"/>
        </w:rPr>
        <w:t>Changed language is checked for related findings and residual conflicts.</w:t>
      </w:r>
    </w:p>
    <w:p>
      <w:pPr>
        <w:spacing w:before="0" w:after="80" w:line="280" w:lineRule="auto"/>
        <w:numPr>
          <w:ilvl w:val="0"/>
          <w:numId w:val="16"/>
        </w:numPr>
      </w:pPr>
      <w:r>
        <w:rPr>
          <w:rFonts w:ascii="Calibri" w:hAnsi="Calibri"/>
          <w:b/>
          <w:color w:val="1D2939"/>
          <w:sz w:val="22"/>
        </w:rPr>
        <w:t xml:space="preserve">PA final review: </w:t>
      </w:r>
      <w:r>
        <w:rPr>
          <w:rFonts w:ascii="Calibri" w:hAnsi="Calibri"/>
          <w:color w:val="1D2939"/>
          <w:sz w:val="22"/>
        </w:rPr>
        <w:t>PA makes the procurement decision or requests targeted re-review.</w:t>
      </w:r>
    </w:p>
    <w:p>
      <w:pPr>
        <w:spacing w:before="80" w:after="200" w:line="264" w:lineRule="auto"/>
        <w:ind w:left="173" w:right="115"/>
        <w:shd w:fill="EAF6EE"/>
        <w:pBdr>
          <w:left w:val="single" w:sz="18" w:space="6" w:color="548235"/>
        </w:pBdr>
      </w:pPr>
      <w:r>
        <w:rPr>
          <w:rFonts w:ascii="Calibri" w:hAnsi="Calibri"/>
          <w:b/>
          <w:color w:val="0B2545"/>
          <w:sz w:val="22"/>
        </w:rPr>
        <w:t xml:space="preserve">Automation boundary: </w:t>
      </w:r>
      <w:r>
        <w:rPr>
          <w:rFonts w:ascii="Calibri" w:hAnsi="Calibri"/>
          <w:color w:val="1D2939"/>
          <w:sz w:val="22"/>
        </w:rPr>
        <w:t>The AI prepares evidence and recommendations. Reviewers and the Procurement Agent remain responsible for substantive decisions, approvals, conflict resolution, and final contract disposition.</w:t>
      </w:r>
    </w:p>
    <w:p>
      <w:r>
        <w:br w:type="page"/>
      </w:r>
    </w:p>
    <w:p>
      <w:pPr>
        <w:pStyle w:val="Heading1"/>
        <w:keepNext/>
      </w:pPr>
      <w:r>
        <w:rPr>
          <w:rFonts w:ascii="Calibri" w:hAnsi="Calibri"/>
          <w:b/>
          <w:color w:val="2E74B5"/>
          <w:sz w:val="32"/>
        </w:rPr>
        <w:t>8. Human Review and Consolidation</w:t>
      </w:r>
    </w:p>
    <w:p>
      <w:pPr>
        <w:pStyle w:val="Heading2"/>
        <w:keepNext/>
      </w:pPr>
      <w:r>
        <w:rPr>
          <w:rFonts w:ascii="Calibri" w:hAnsi="Calibri"/>
          <w:b/>
          <w:color w:val="2E74B5"/>
          <w:sz w:val="26"/>
        </w:rPr>
        <w:t>Reviewer personas</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7060"/>
      </w:tblGrid>
      <w:tr>
        <w:trPr>
          <w:cantSplit/>
          <w:tblHeader w:val="true"/>
          <w:cantSplit/>
        </w:trPr>
        <w:tc>
          <w:tcPr>
            <w:tcW w:type="dxa" w:w="23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Persona</w:t>
            </w:r>
          </w:p>
        </w:tc>
        <w:tc>
          <w:tcPr>
            <w:tcW w:type="dxa" w:w="70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PoC responsibility</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Reviewer 1</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Reviews findings assigned through the customer responsibility matrix.</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Reviewer 2</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Reviews findings assigned through the customer responsibility matrix.</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Reviewer 3</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Reviews findings assigned through the customer responsibility matrix.</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Necessary Approver</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Performs the required approval gate and may comment on specific findings.</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Legal</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Reviews legal language and provides comments or proposed changes.</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Procurement Agent</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Validates AI output, coordinates review, resolves or escalates conflicts, and performs final review.</w:t>
            </w:r>
          </w:p>
        </w:tc>
      </w:tr>
    </w:tbl>
    <w:p>
      <w:pPr>
        <w:spacing w:before="0" w:after="60"/>
      </w:pPr>
    </w:p>
    <w:p>
      <w:pPr>
        <w:pStyle w:val="Heading2"/>
        <w:keepNext/>
      </w:pPr>
      <w:r>
        <w:rPr>
          <w:rFonts w:ascii="Calibri" w:hAnsi="Calibri"/>
          <w:b/>
          <w:color w:val="2E74B5"/>
          <w:sz w:val="26"/>
        </w:rPr>
        <w:t>Finding-to-reviewer routing</w:t>
      </w:r>
    </w:p>
    <w:p>
      <w:pPr>
        <w:spacing w:before="0" w:after="120" w:line="264" w:lineRule="auto"/>
      </w:pPr>
      <w:r>
        <w:rPr>
          <w:rFonts w:ascii="Calibri" w:hAnsi="Calibri"/>
          <w:i w:val="0"/>
          <w:color w:val="1D2939"/>
          <w:sz w:val="22"/>
        </w:rPr>
        <w:t>Routing is permitted only when an approved matrix maps clause or risk categories to one or more supplied personas. The AI cites the rule; the Procurement Agent performs the assignment.</w:t>
      </w:r>
    </w:p>
    <w:p>
      <w:pPr>
        <w:spacing w:before="0" w:after="80" w:line="280" w:lineRule="auto"/>
        <w:numPr>
          <w:ilvl w:val="0"/>
          <w:numId w:val="17"/>
        </w:numPr>
      </w:pPr>
      <w:r>
        <w:rPr>
          <w:rFonts w:ascii="Calibri" w:hAnsi="Calibri"/>
          <w:color w:val="1D2939"/>
          <w:sz w:val="22"/>
        </w:rPr>
        <w:t>Matched — one responsible reviewer</w:t>
      </w:r>
    </w:p>
    <w:p>
      <w:pPr>
        <w:spacing w:before="0" w:after="80" w:line="280" w:lineRule="auto"/>
        <w:numPr>
          <w:ilvl w:val="0"/>
          <w:numId w:val="17"/>
        </w:numPr>
      </w:pPr>
      <w:r>
        <w:rPr>
          <w:rFonts w:ascii="Calibri" w:hAnsi="Calibri"/>
          <w:color w:val="1D2939"/>
          <w:sz w:val="22"/>
        </w:rPr>
        <w:t>Matched — multiple responsible reviewers</w:t>
      </w:r>
    </w:p>
    <w:p>
      <w:pPr>
        <w:spacing w:before="0" w:after="80" w:line="280" w:lineRule="auto"/>
        <w:numPr>
          <w:ilvl w:val="0"/>
          <w:numId w:val="17"/>
        </w:numPr>
      </w:pPr>
      <w:r>
        <w:rPr>
          <w:rFonts w:ascii="Calibri" w:hAnsi="Calibri"/>
          <w:color w:val="1D2939"/>
          <w:sz w:val="22"/>
        </w:rPr>
        <w:t>No matching rule — Procurement Agent determination required</w:t>
      </w:r>
    </w:p>
    <w:p>
      <w:pPr>
        <w:spacing w:before="0" w:after="80" w:line="280" w:lineRule="auto"/>
        <w:numPr>
          <w:ilvl w:val="0"/>
          <w:numId w:val="17"/>
        </w:numPr>
      </w:pPr>
      <w:r>
        <w:rPr>
          <w:rFonts w:ascii="Calibri" w:hAnsi="Calibri"/>
          <w:color w:val="1D2939"/>
          <w:sz w:val="22"/>
        </w:rPr>
        <w:t>Conflicting routing rules — Procurement Agent determination required</w:t>
      </w:r>
    </w:p>
    <w:p>
      <w:pPr>
        <w:pStyle w:val="Heading2"/>
        <w:keepNext/>
      </w:pPr>
      <w:r>
        <w:rPr>
          <w:rFonts w:ascii="Calibri" w:hAnsi="Calibri"/>
          <w:b/>
          <w:color w:val="2E74B5"/>
          <w:sz w:val="26"/>
        </w:rPr>
        <w:t>Normalized reviewer feedback</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7060"/>
      </w:tblGrid>
      <w:tr>
        <w:trPr>
          <w:cantSplit/>
          <w:tblHeader w:val="true"/>
          <w:cantSplit/>
        </w:trPr>
        <w:tc>
          <w:tcPr>
            <w:tcW w:type="dxa" w:w="23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Field</w:t>
            </w:r>
          </w:p>
        </w:tc>
        <w:tc>
          <w:tcPr>
            <w:tcW w:type="dxa" w:w="70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Required content</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Contract</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Contract ID and version</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Clause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Clause category and location</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Finding ID</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Stable ID from the original review package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Reviewer</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Supplied persona and reviewer identity</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Reviewer Decision</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Accept, reject, modify, more information required, or no position</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Reviewer Comment</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Original human rationale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Proposed Change</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Exact proposed wording or Not provided</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Status</w:t>
            </w:r>
          </w:p>
        </w:tc>
        <w:tc>
          <w:tcPr>
            <w:tcW w:type="dxa" w:w="70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Pending, received, conflict, PA decision required, resolved, or re-review</w:t>
            </w:r>
          </w:p>
        </w:tc>
      </w:tr>
    </w:tbl>
    <w:p>
      <w:pPr>
        <w:spacing w:before="0" w:after="60"/>
      </w:pPr>
    </w:p>
    <w:p>
      <w:pPr>
        <w:pStyle w:val="Heading2"/>
        <w:keepNext/>
      </w:pPr>
      <w:r>
        <w:rPr>
          <w:rFonts w:ascii="Calibri" w:hAnsi="Calibri"/>
          <w:b/>
          <w:color w:val="2E74B5"/>
          <w:sz w:val="26"/>
        </w:rPr>
        <w:t>Conflict handling</w:t>
      </w:r>
    </w:p>
    <w:p>
      <w:pPr>
        <w:spacing w:before="0" w:after="120" w:line="264" w:lineRule="auto"/>
      </w:pPr>
      <w:r>
        <w:rPr>
          <w:rFonts w:ascii="Calibri" w:hAnsi="Calibri"/>
          <w:i w:val="0"/>
          <w:color w:val="1D2939"/>
          <w:sz w:val="22"/>
        </w:rPr>
        <w:t>The agent flags accept-versus-reject decisions, materially incompatible edits, cross-clause inconsistencies, policy conflicts, and unclear decision authority. It preserves each position and produces a neutral summary.</w:t>
      </w:r>
    </w:p>
    <w:p>
      <w:pPr>
        <w:spacing w:before="80" w:after="200" w:line="264" w:lineRule="auto"/>
        <w:ind w:left="173" w:right="115"/>
        <w:shd w:fill="FDECEC"/>
        <w:pBdr>
          <w:left w:val="single" w:sz="18" w:space="6" w:color="C00000"/>
        </w:pBdr>
      </w:pPr>
      <w:r>
        <w:rPr>
          <w:rFonts w:ascii="Calibri" w:hAnsi="Calibri"/>
          <w:b/>
          <w:color w:val="0B2545"/>
          <w:sz w:val="22"/>
        </w:rPr>
        <w:t xml:space="preserve">Prohibited automation: </w:t>
      </w:r>
      <w:r>
        <w:rPr>
          <w:rFonts w:ascii="Calibri" w:hAnsi="Calibri"/>
          <w:color w:val="1D2939"/>
          <w:sz w:val="22"/>
        </w:rPr>
        <w:t>The agent must not select the correct reviewer, infer authority from seniority, silently merge incompatible edits, generate a compromise and mark it resolved, or populate the Procurement Agent decision.</w:t>
      </w:r>
    </w:p>
    <w:p>
      <w:pPr>
        <w:pStyle w:val="Heading2"/>
        <w:keepNext/>
      </w:pPr>
      <w:r>
        <w:rPr>
          <w:rFonts w:ascii="Calibri" w:hAnsi="Calibri"/>
          <w:b/>
          <w:color w:val="2E74B5"/>
          <w:sz w:val="26"/>
        </w:rPr>
        <w:t>Concurrent-review limitation and workaround</w:t>
      </w:r>
    </w:p>
    <w:p>
      <w:pPr>
        <w:spacing w:before="0" w:after="120" w:line="264" w:lineRule="auto"/>
      </w:pPr>
      <w:r>
        <w:rPr>
          <w:rFonts w:ascii="Calibri" w:hAnsi="Calibri"/>
          <w:i w:val="0"/>
          <w:color w:val="1D2939"/>
          <w:sz w:val="22"/>
        </w:rPr>
        <w:t>Native named-reviewer parallel orchestration is not evidenced. The smallest PoC workaround is manual distribution by the Procurement Agent, independent review by Reviewers 1–3, and one normalized feedback upload for consolidation. No workflow platform is introduced.</w:t>
      </w:r>
    </w:p>
    <w:p>
      <w:pPr>
        <w:pStyle w:val="Heading1"/>
        <w:keepNext/>
      </w:pPr>
      <w:r>
        <w:rPr>
          <w:rFonts w:ascii="Calibri" w:hAnsi="Calibri"/>
          <w:b/>
          <w:color w:val="2E74B5"/>
          <w:sz w:val="32"/>
        </w:rPr>
        <w:t>9. Contract Knowledge and Grounding</w:t>
      </w:r>
    </w:p>
    <w:p>
      <w:pPr>
        <w:spacing w:before="80" w:after="200" w:line="264" w:lineRule="auto"/>
        <w:ind w:left="173" w:right="115"/>
        <w:shd w:fill="F4F7FB"/>
        <w:pBdr>
          <w:left w:val="single" w:sz="18" w:space="6" w:color="2E74B5"/>
        </w:pBdr>
      </w:pPr>
      <w:r>
        <w:rPr>
          <w:rFonts w:ascii="Calibri" w:hAnsi="Calibri"/>
          <w:b/>
          <w:color w:val="0B2545"/>
          <w:sz w:val="22"/>
        </w:rPr>
        <w:t xml:space="preserve">Data-zone decision: </w:t>
      </w:r>
      <w:r>
        <w:rPr>
          <w:rFonts w:ascii="Calibri" w:hAnsi="Calibri"/>
          <w:color w:val="1D2939"/>
          <w:sz w:val="22"/>
        </w:rPr>
        <w:t>Contracts under review remain session-scoped. Customer-approved reference material is maintained in one controlled Cloud Storage collection imported into one Gemini Enterprise data store.</w:t>
      </w:r>
    </w:p>
    <w:p>
      <w:pPr>
        <w:pStyle w:val="Heading2"/>
        <w:keepNext/>
      </w:pPr>
      <w:r>
        <w:rPr>
          <w:rFonts w:ascii="Calibri" w:hAnsi="Calibri"/>
          <w:b/>
          <w:color w:val="2E74B5"/>
          <w:sz w:val="26"/>
        </w:rPr>
        <w:t>Contracts under review</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2600"/>
        <w:gridCol w:w="3300"/>
        <w:gridCol w:w="1560"/>
      </w:tblGrid>
      <w:tr>
        <w:trPr>
          <w:cantSplit/>
          <w:tblHeader w:val="true"/>
          <w:cantSplit/>
        </w:trPr>
        <w:tc>
          <w:tcPr>
            <w:tcW w:type="dxa" w:w="19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Data</w:t>
            </w:r>
          </w:p>
        </w:tc>
        <w:tc>
          <w:tcPr>
            <w:tcW w:type="dxa" w:w="26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Purpose</w:t>
            </w:r>
          </w:p>
        </w:tc>
        <w:tc>
          <w:tcPr>
            <w:tcW w:type="dxa" w:w="33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Storage</w:t>
            </w:r>
          </w:p>
        </w:tc>
        <w:tc>
          <w:tcPr>
            <w:tcW w:type="dxa" w:w="15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Required</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Current contract</w:t>
            </w:r>
          </w:p>
        </w:tc>
        <w:tc>
          <w:tcPr>
            <w:tcW w:type="dxa" w:w="26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Primary analysis input</w:t>
            </w:r>
          </w:p>
        </w:tc>
        <w:tc>
          <w:tcPr>
            <w:tcW w:type="dxa" w:w="3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Gemini Enterprise session upload</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Yes</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Contract ID</w:t>
            </w:r>
          </w:p>
        </w:tc>
        <w:tc>
          <w:tcPr>
            <w:tcW w:type="dxa" w:w="26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Links findings, feedback, and packages</w:t>
            </w:r>
          </w:p>
        </w:tc>
        <w:tc>
          <w:tcPr>
            <w:tcW w:type="dxa" w:w="3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Session metadata</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Yes</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Contract version</w:t>
            </w:r>
          </w:p>
        </w:tc>
        <w:tc>
          <w:tcPr>
            <w:tcW w:type="dxa" w:w="26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Prevents response/version mismatch</w:t>
            </w:r>
          </w:p>
        </w:tc>
        <w:tc>
          <w:tcPr>
            <w:tcW w:type="dxa" w:w="3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Session metadata</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Yes</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Contract type</w:t>
            </w:r>
          </w:p>
        </w:tc>
        <w:tc>
          <w:tcPr>
            <w:tcW w:type="dxa" w:w="26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Selects potentially applicable references</w:t>
            </w:r>
          </w:p>
        </w:tc>
        <w:tc>
          <w:tcPr>
            <w:tcW w:type="dxa" w:w="3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PA-supplied session metadata</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Yes</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Previous version</w:t>
            </w:r>
          </w:p>
        </w:tc>
        <w:tc>
          <w:tcPr>
            <w:tcW w:type="dxa" w:w="26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Optional before/after comparison</w:t>
            </w:r>
          </w:p>
        </w:tc>
        <w:tc>
          <w:tcPr>
            <w:tcW w:type="dxa" w:w="3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Additional session upload</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Conditional</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Reviewer feedback</w:t>
            </w:r>
          </w:p>
        </w:tc>
        <w:tc>
          <w:tcPr>
            <w:tcW w:type="dxa" w:w="26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Consolidation input</w:t>
            </w:r>
          </w:p>
        </w:tc>
        <w:tc>
          <w:tcPr>
            <w:tcW w:type="dxa" w:w="33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Session upload or structured pasted input</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Conditional</w:t>
            </w:r>
          </w:p>
        </w:tc>
      </w:tr>
    </w:tbl>
    <w:p>
      <w:pPr>
        <w:spacing w:before="0" w:after="60"/>
      </w:pPr>
    </w:p>
    <w:p>
      <w:pPr>
        <w:pStyle w:val="Heading2"/>
        <w:keepNext/>
      </w:pPr>
      <w:r>
        <w:rPr>
          <w:rFonts w:ascii="Calibri" w:hAnsi="Calibri"/>
          <w:b/>
          <w:color w:val="2E74B5"/>
          <w:sz w:val="26"/>
        </w:rPr>
        <w:t>Reference knowledge</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0"/>
        <w:gridCol w:w="4400"/>
        <w:gridCol w:w="2560"/>
      </w:tblGrid>
      <w:tr>
        <w:trPr>
          <w:cantSplit/>
          <w:tblHeader w:val="true"/>
          <w:cantSplit/>
        </w:trPr>
        <w:tc>
          <w:tcPr>
            <w:tcW w:type="dxa" w:w="24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Reference</w:t>
            </w:r>
          </w:p>
        </w:tc>
        <w:tc>
          <w:tcPr>
            <w:tcW w:type="dxa" w:w="44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Purpose</w:t>
            </w:r>
          </w:p>
        </w:tc>
        <w:tc>
          <w:tcPr>
            <w:tcW w:type="dxa" w:w="25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Required for PoC</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Approved template</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Expected structure and required clauses</w:t>
            </w:r>
          </w:p>
        </w:tc>
        <w:tc>
          <w:tcPr>
            <w:tcW w:type="dxa" w:w="2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Yes, unless the approved clause library is complete</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Approved clauses</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Authoritative comparison and replacement language</w:t>
            </w:r>
          </w:p>
        </w:tc>
        <w:tc>
          <w:tcPr>
            <w:tcW w:type="dxa" w:w="2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Yes</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Fallback clauses</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Approved alternative language</w:t>
            </w:r>
          </w:p>
        </w:tc>
        <w:tc>
          <w:tcPr>
            <w:tcW w:type="dxa" w:w="2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Conditional</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Contracting playbook</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Review and negotiation guidance</w:t>
            </w:r>
          </w:p>
        </w:tc>
        <w:tc>
          <w:tcPr>
            <w:tcW w:type="dxa" w:w="2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Required for recommended actions</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Procurement policies</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Policy-compliance evidence</w:t>
            </w:r>
          </w:p>
        </w:tc>
        <w:tc>
          <w:tcPr>
            <w:tcW w:type="dxa" w:w="2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Required for policy findings</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Risk rules</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Permitted risk categories, levels, and triggers</w:t>
            </w:r>
          </w:p>
        </w:tc>
        <w:tc>
          <w:tcPr>
            <w:tcW w:type="dxa" w:w="2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Required for risk findings</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Reviewer ownership rules</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Clause/risk-to-reviewer mapping</w:t>
            </w:r>
          </w:p>
        </w:tc>
        <w:tc>
          <w:tcPr>
            <w:tcW w:type="dxa" w:w="2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Required for reviewer recommendations</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Historical approved examples</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Optional context; not authoritative by default</w:t>
            </w:r>
          </w:p>
        </w:tc>
        <w:tc>
          <w:tcPr>
            <w:tcW w:type="dxa" w:w="2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7"/>
              </w:rPr>
              <w:t>No — exclude initially</w:t>
            </w:r>
          </w:p>
        </w:tc>
      </w:tr>
    </w:tbl>
    <w:p>
      <w:pPr>
        <w:spacing w:before="0" w:after="60"/>
      </w:pPr>
    </w:p>
    <w:p>
      <w:pPr>
        <w:pStyle w:val="Heading2"/>
        <w:keepNext/>
      </w:pPr>
      <w:r>
        <w:rPr>
          <w:rFonts w:ascii="Calibri" w:hAnsi="Calibri"/>
          <w:b/>
          <w:color w:val="2E74B5"/>
          <w:sz w:val="26"/>
        </w:rPr>
        <w:t>Reference controls</w:t>
      </w:r>
    </w:p>
    <w:p>
      <w:pPr>
        <w:spacing w:before="0" w:after="80" w:line="280" w:lineRule="auto"/>
        <w:numPr>
          <w:ilvl w:val="0"/>
          <w:numId w:val="18"/>
        </w:numPr>
      </w:pPr>
      <w:r>
        <w:rPr>
          <w:rFonts w:ascii="Calibri" w:hAnsi="Calibri"/>
          <w:color w:val="1D2939"/>
          <w:sz w:val="22"/>
        </w:rPr>
        <w:t>Every source records source ID, source type, owner, version, approval status, effective date, applicability, authority classification, and supersession status.</w:t>
      </w:r>
    </w:p>
    <w:p>
      <w:pPr>
        <w:spacing w:before="0" w:after="80" w:line="280" w:lineRule="auto"/>
        <w:numPr>
          <w:ilvl w:val="0"/>
          <w:numId w:val="18"/>
        </w:numPr>
      </w:pPr>
      <w:r>
        <w:rPr>
          <w:rFonts w:ascii="Calibri" w:hAnsi="Calibri"/>
          <w:color w:val="1D2939"/>
          <w:sz w:val="22"/>
        </w:rPr>
        <w:t>The customer supplies or validates authority metadata and precedence; the agent does not infer it from filenames, dates, or usage history.</w:t>
      </w:r>
    </w:p>
    <w:p>
      <w:pPr>
        <w:spacing w:before="0" w:after="80" w:line="280" w:lineRule="auto"/>
        <w:numPr>
          <w:ilvl w:val="0"/>
          <w:numId w:val="18"/>
        </w:numPr>
      </w:pPr>
      <w:r>
        <w:rPr>
          <w:rFonts w:ascii="Calibri" w:hAnsi="Calibri"/>
          <w:color w:val="1D2939"/>
          <w:sz w:val="22"/>
        </w:rPr>
        <w:t>A policy or risk rule may support a concern without authorizing replacement language. In that case, the agent withholds the redline.</w:t>
      </w:r>
    </w:p>
    <w:p>
      <w:pPr>
        <w:spacing w:before="0" w:after="80" w:line="280" w:lineRule="auto"/>
        <w:numPr>
          <w:ilvl w:val="0"/>
          <w:numId w:val="18"/>
        </w:numPr>
      </w:pPr>
      <w:r>
        <w:rPr>
          <w:rFonts w:ascii="Calibri" w:hAnsi="Calibri"/>
          <w:color w:val="1D2939"/>
          <w:sz w:val="22"/>
        </w:rPr>
        <w:t>Contracts under review are not ingested into the approved reference corpus, preventing supplier-proposed language from becoming apparent authority.</w:t>
      </w:r>
    </w:p>
    <w:p>
      <w:pPr>
        <w:pStyle w:val="Heading2"/>
        <w:keepNext/>
      </w:pPr>
      <w:r>
        <w:rPr>
          <w:rFonts w:ascii="Calibri" w:hAnsi="Calibri"/>
          <w:b/>
          <w:color w:val="2E74B5"/>
          <w:sz w:val="26"/>
        </w:rPr>
        <w:t>Minimum platform configuration</w:t>
      </w:r>
    </w:p>
    <w:p>
      <w:pPr>
        <w:spacing w:before="0" w:after="80" w:line="280" w:lineRule="auto"/>
        <w:numPr>
          <w:ilvl w:val="0"/>
          <w:numId w:val="19"/>
        </w:numPr>
      </w:pPr>
      <w:r>
        <w:rPr>
          <w:rFonts w:ascii="Calibri" w:hAnsi="Calibri"/>
          <w:color w:val="1D2939"/>
          <w:sz w:val="22"/>
        </w:rPr>
        <w:t>One PoC-specific Cloud Storage collection organized by approved templates, clauses, fallback clauses, playbook/policies, risk rules, and reviewer ownership.</w:t>
      </w:r>
    </w:p>
    <w:p>
      <w:pPr>
        <w:spacing w:before="0" w:after="80" w:line="280" w:lineRule="auto"/>
        <w:numPr>
          <w:ilvl w:val="0"/>
          <w:numId w:val="19"/>
        </w:numPr>
      </w:pPr>
      <w:r>
        <w:rPr>
          <w:rFonts w:ascii="Calibri" w:hAnsi="Calibri"/>
          <w:color w:val="1D2939"/>
          <w:sz w:val="22"/>
        </w:rPr>
        <w:t>One controlled import into one Gemini Enterprise data store connected to the agent.</w:t>
      </w:r>
    </w:p>
    <w:p>
      <w:pPr>
        <w:spacing w:before="0" w:after="80" w:line="280" w:lineRule="auto"/>
        <w:numPr>
          <w:ilvl w:val="0"/>
          <w:numId w:val="19"/>
        </w:numPr>
      </w:pPr>
      <w:r>
        <w:rPr>
          <w:rFonts w:ascii="Calibri" w:hAnsi="Calibri"/>
          <w:color w:val="1D2939"/>
          <w:sz w:val="22"/>
        </w:rPr>
        <w:t>Native parsing first; manual controlled refresh when approved references change.</w:t>
      </w:r>
    </w:p>
    <w:p>
      <w:pPr>
        <w:spacing w:before="0" w:after="80" w:line="280" w:lineRule="auto"/>
        <w:numPr>
          <w:ilvl w:val="0"/>
          <w:numId w:val="19"/>
        </w:numPr>
      </w:pPr>
      <w:r>
        <w:rPr>
          <w:rFonts w:ascii="Calibri" w:hAnsi="Calibri"/>
          <w:color w:val="1D2939"/>
          <w:sz w:val="22"/>
        </w:rPr>
        <w:t>Restricted agent and data-store access; imported data permissions are validated explicitly.</w:t>
      </w:r>
    </w:p>
    <w:p>
      <w:pPr>
        <w:sectPr>
          <w:headerReference w:type="default" r:id="rId15"/>
          <w:footerReference w:type="default" r:id="rId16"/>
          <w:pgSz w:w="12240" w:h="15840"/>
          <w:pgMar w:top="1440" w:right="1440" w:bottom="1440" w:left="1440" w:header="708" w:footer="708" w:gutter="0"/>
          <w:cols w:space="720"/>
          <w:docGrid w:linePitch="360"/>
        </w:sectPr>
      </w:pPr>
    </w:p>
    <w:p>
      <w:pPr>
        <w:pStyle w:val="Heading1"/>
        <w:keepNext/>
      </w:pPr>
      <w:r>
        <w:rPr>
          <w:rFonts w:ascii="Calibri" w:hAnsi="Calibri"/>
          <w:b/>
          <w:color w:val="2E74B5"/>
          <w:sz w:val="32"/>
        </w:rPr>
        <w:t>10. Technical Risks and Platform Constraints</w:t>
      </w:r>
    </w:p>
    <w:p>
      <w:pPr>
        <w:spacing w:before="0" w:after="120" w:line="264" w:lineRule="auto"/>
      </w:pPr>
      <w:r>
        <w:rPr>
          <w:rFonts w:ascii="Calibri" w:hAnsi="Calibri"/>
          <w:i w:val="0"/>
          <w:color w:val="1D2939"/>
          <w:sz w:val="22"/>
        </w:rPr>
        <w:t>The risk register distinguishes true entry gates from acceptable PoC constraints. Production-scale controls are deferred unless they prevent formal validation.</w:t>
      </w:r>
    </w:p>
    <w:p>
      <w:pPr>
        <w:pStyle w:val="Heading2"/>
        <w:keepNext/>
      </w:pPr>
      <w:r>
        <w:rPr>
          <w:rFonts w:ascii="Calibri" w:hAnsi="Calibri"/>
          <w:b/>
          <w:color w:val="2E74B5"/>
          <w:sz w:val="26"/>
        </w:rPr>
        <w:t>Blocking issues</w:t>
      </w:r>
    </w:p>
    <w:tbl>
      <w:tblPr>
        <w:tblStyle w:val="TableGrid"/>
        <w:tblW w:type="dxa" w:w="129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700"/>
        <w:gridCol w:w="3200"/>
        <w:gridCol w:w="5200"/>
        <w:gridCol w:w="1860"/>
      </w:tblGrid>
      <w:tr>
        <w:trPr>
          <w:cantSplit/>
          <w:tblHeader w:val="true"/>
          <w:cantSplit/>
        </w:trPr>
        <w:tc>
          <w:tcPr>
            <w:tcW w:type="dxa" w:w="27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Risk</w:t>
            </w:r>
          </w:p>
        </w:tc>
        <w:tc>
          <w:tcPr>
            <w:tcW w:type="dxa" w:w="32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PoC impact</w:t>
            </w:r>
          </w:p>
        </w:tc>
        <w:tc>
          <w:tcPr>
            <w:tcW w:type="dxa" w:w="52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Mitigation</w:t>
            </w:r>
          </w:p>
        </w:tc>
        <w:tc>
          <w:tcPr>
            <w:tcW w:type="dxa" w:w="18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Must resolve before PoC?</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Missing/uncontrolled reference knowledge</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High — recommendations cannot be authoritative or traceable.</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Freeze an approved, versioned corpus and remove drafts/superseded sources.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Yes</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Missing policy, risk, or ownership rules</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High for each claimed capability.</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Provide minimum approved rules or remove the affected capability.</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Yes, for claimed functions</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Upload/agent/grounding path unvalidated</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High — proposed user path may fail.</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Run tenant smoke test and retain assistant fallback.</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Yes</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Retrieval quality below acceptable level</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High — wrong or missed references undermine all findings.</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Test representative queries, citations, applicability, and duplicates.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Yes</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Native parsing fails representative contracts</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High — downstream analysis becomes unreliable.</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Test PDF/DOCX/scans/tables; narrow inputs; evaluate Document AI only if essential.</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Yes</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Access control not validated</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High — users could access inappropriate knowledge.</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Restrict agent/data store and test user access.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Yes</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Sensitive-data handling unapproved</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High — contract content may appear in sessions or logs.</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Approve region, retention, logging, sharing, and test-data policy.</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Yes before sensitive data</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customer-reviewed evaluation set</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High — feasibility cannot be measured objectively.</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Prepare representative expected findings and manual baseline.</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Yes before formal evaluation</w:t>
            </w:r>
          </w:p>
        </w:tc>
      </w:tr>
    </w:tbl>
    <w:p>
      <w:pPr>
        <w:spacing w:before="0" w:after="60"/>
      </w:pPr>
    </w:p>
    <w:p>
      <w:pPr>
        <w:pStyle w:val="Heading2"/>
        <w:keepNext/>
      </w:pPr>
      <w:r>
        <w:rPr>
          <w:rFonts w:ascii="Calibri" w:hAnsi="Calibri"/>
          <w:b/>
          <w:color w:val="2E74B5"/>
          <w:sz w:val="26"/>
        </w:rPr>
        <w:t>Non-blocking PoC limitations</w:t>
      </w:r>
    </w:p>
    <w:tbl>
      <w:tblPr>
        <w:tblStyle w:val="TableGrid"/>
        <w:tblW w:type="dxa" w:w="129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700"/>
        <w:gridCol w:w="3200"/>
        <w:gridCol w:w="5200"/>
        <w:gridCol w:w="1860"/>
      </w:tblGrid>
      <w:tr>
        <w:trPr>
          <w:cantSplit/>
          <w:tblHeader w:val="true"/>
          <w:cantSplit/>
        </w:trPr>
        <w:tc>
          <w:tcPr>
            <w:tcW w:type="dxa" w:w="27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Risk</w:t>
            </w:r>
          </w:p>
        </w:tc>
        <w:tc>
          <w:tcPr>
            <w:tcW w:type="dxa" w:w="32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PoC impact</w:t>
            </w:r>
          </w:p>
        </w:tc>
        <w:tc>
          <w:tcPr>
            <w:tcW w:type="dxa" w:w="52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Mitigation</w:t>
            </w:r>
          </w:p>
        </w:tc>
        <w:tc>
          <w:tcPr>
            <w:tcW w:type="dxa" w:w="18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Must resolve before PoC?</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Format variability</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Parsing/location consistency may vary.</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Define accepted input profile and route exceptions to manual review.</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 constrain scope</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Scanned documents</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OCR may alter material words or values.</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Prefer digital originals; expose confidence; exclude unreadable scans.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Conditional</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Tables and appendices</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Relationships, footnotes, or schedules may be missed.</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Preserve locations and require human review for uncertain structures.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Conditional</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Clause boundaries</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Subclauses may be split or omitted.</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Retain parent heading, surrounding text, and confidence.</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Cross-clause dependencies</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Isolated analysis may miss inconsistency.</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Run a consistency pass and create linked findings.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Missing guidance for a finding</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Risk/action/redline cannot be supported.</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Return Reference not available and require human review.</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Hallucination / retrieval error</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Unsupported recommendation may mislead reviewers.</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Require source ID, evidence, applicability, and no-reference suppression.</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 measure and control</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Incorrect deviations / false positives</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Could increase PA effort.</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Measure precision, missed deviations, and PA corrections.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 core evaluation</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Redline quality</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Plausible language may be contextually unsuitable.</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Prefer approved/fallback language and require human acceptance.</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Reviewer routing</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Matrix may be incomplete or ambiguous.</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Route only exact matches; PA determines exceptions.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Concurrent reviewer support</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native assignments, reminders, or branch synchronization promised.</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Use manual PA distribution and one normalized feedback package.</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Workflow state</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full task queue or durable approval engine.</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Use controlled statuses in the review package.</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Document versioning</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Feedback may be applied to the wrong version.</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Require contract, package, and Finding IDs; reject mismatches.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 manual protocol</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Long contracts/context</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Completeness may degrade on the largest documents.</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Use retrieval and staged analysis; test longest accepted profile.</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Conditional</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Observability/auditability</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Technical traces are not a business-decision audit.</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Use native observability plus exported attributed review packages.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bl>
    <w:p>
      <w:pPr>
        <w:spacing w:before="0" w:after="60"/>
      </w:pPr>
    </w:p>
    <w:p>
      <w:pPr>
        <w:pStyle w:val="Heading2"/>
        <w:keepNext/>
      </w:pPr>
      <w:r>
        <w:rPr>
          <w:rFonts w:ascii="Calibri" w:hAnsi="Calibri"/>
          <w:b/>
          <w:color w:val="2E74B5"/>
          <w:sz w:val="26"/>
        </w:rPr>
        <w:t>Future production considerations</w:t>
      </w:r>
    </w:p>
    <w:tbl>
      <w:tblPr>
        <w:tblStyle w:val="TableGrid"/>
        <w:tblW w:type="dxa" w:w="129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700"/>
        <w:gridCol w:w="3200"/>
        <w:gridCol w:w="5200"/>
        <w:gridCol w:w="1860"/>
      </w:tblGrid>
      <w:tr>
        <w:trPr>
          <w:cantSplit/>
          <w:tblHeader w:val="true"/>
          <w:cantSplit/>
        </w:trPr>
        <w:tc>
          <w:tcPr>
            <w:tcW w:type="dxa" w:w="27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Risk</w:t>
            </w:r>
          </w:p>
        </w:tc>
        <w:tc>
          <w:tcPr>
            <w:tcW w:type="dxa" w:w="32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Production impact</w:t>
            </w:r>
          </w:p>
        </w:tc>
        <w:tc>
          <w:tcPr>
            <w:tcW w:type="dxa" w:w="52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Future treatment</w:t>
            </w:r>
          </w:p>
        </w:tc>
        <w:tc>
          <w:tcPr>
            <w:tcW w:type="dxa" w:w="18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Resolve for PoC?</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Broader OCR/document coverage</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Production formats may exceed the accepted profile.</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Evaluate advanced parsing only after measured native failures.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Reviewer orchestration</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Manual routing will not scale.</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Assess workflow technology after the human process is proven.</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Durable workflow/version control</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Sessions cannot manage production negotiation state.</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Integrate with approved CLM/document management later.</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Knowledge lifecycle</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References will change, expire, or conflict.</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Add publishing, supersession, re-indexing, and regression controls.</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Production security/audit</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PoC controls may not satisfy enterprise governance.</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Perform formal security, compliance, and audit design.</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w:t>
            </w:r>
          </w:p>
        </w:tc>
      </w:tr>
      <w:tr>
        <w:trPr>
          <w:cantSplit/>
        </w:trPr>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SAP Ariba integration</w:t>
            </w:r>
          </w:p>
        </w:tc>
        <w:tc>
          <w:tcPr>
            <w:tcW w:type="dxa" w:w="3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Introduces API, identity, document, and status dependencies.</w:t>
            </w:r>
          </w:p>
        </w:tc>
        <w:tc>
          <w:tcPr>
            <w:tcW w:type="dxa" w:w="5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Treat as a separate future workstream.</w:t>
            </w:r>
          </w:p>
        </w:tc>
        <w:tc>
          <w:tcPr>
            <w:tcW w:type="dxa" w:w="18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 outside PoC</w:t>
            </w:r>
          </w:p>
        </w:tc>
      </w:tr>
    </w:tbl>
    <w:p>
      <w:pPr>
        <w:spacing w:before="0" w:after="60"/>
      </w:pPr>
    </w:p>
    <w:p>
      <w:pPr>
        <w:pStyle w:val="Heading1"/>
        <w:keepNext/>
      </w:pPr>
      <w:r>
        <w:rPr>
          <w:rFonts w:ascii="Calibri" w:hAnsi="Calibri"/>
          <w:b/>
          <w:color w:val="2E74B5"/>
          <w:sz w:val="32"/>
        </w:rPr>
        <w:t>11. PoC Evaluation Framework</w:t>
      </w:r>
    </w:p>
    <w:p>
      <w:pPr>
        <w:spacing w:before="0" w:after="120" w:line="264" w:lineRule="auto"/>
      </w:pPr>
      <w:r>
        <w:rPr>
          <w:rFonts w:ascii="Calibri" w:hAnsi="Calibri"/>
          <w:i w:val="0"/>
          <w:color w:val="1D2939"/>
          <w:sz w:val="22"/>
        </w:rPr>
        <w:t>Use a small customer-labeled contract set and compare the existing manual process with the AI-assisted process. Accuracy, grounding, and human control are evaluated separately from time savings.</w:t>
      </w:r>
    </w:p>
    <w:p>
      <w:pPr>
        <w:pStyle w:val="Heading2"/>
        <w:keepNext/>
      </w:pPr>
      <w:r>
        <w:rPr>
          <w:rFonts w:ascii="Calibri" w:hAnsi="Calibri"/>
          <w:b/>
          <w:color w:val="2E74B5"/>
          <w:sz w:val="26"/>
        </w:rPr>
        <w:t>Evaluation dataset</w:t>
      </w:r>
    </w:p>
    <w:p>
      <w:pPr>
        <w:spacing w:before="0" w:after="80" w:line="280" w:lineRule="auto"/>
        <w:numPr>
          <w:ilvl w:val="0"/>
          <w:numId w:val="20"/>
        </w:numPr>
      </w:pPr>
      <w:r>
        <w:rPr>
          <w:rFonts w:ascii="Calibri" w:hAnsi="Calibri"/>
          <w:color w:val="1D2939"/>
          <w:sz w:val="22"/>
        </w:rPr>
        <w:t>Select representative contracts only from the supplied contract pool.</w:t>
      </w:r>
    </w:p>
    <w:p>
      <w:pPr>
        <w:spacing w:before="0" w:after="80" w:line="280" w:lineRule="auto"/>
        <w:numPr>
          <w:ilvl w:val="0"/>
          <w:numId w:val="20"/>
        </w:numPr>
      </w:pPr>
      <w:r>
        <w:rPr>
          <w:rFonts w:ascii="Calibri" w:hAnsi="Calibri"/>
          <w:color w:val="1D2939"/>
          <w:sz w:val="22"/>
        </w:rPr>
        <w:t>Cover agreed contract families, deviations, customer-defined risk categories, document complexity, reviewer ownership, and available feedback conflicts.</w:t>
      </w:r>
    </w:p>
    <w:p>
      <w:pPr>
        <w:spacing w:before="0" w:after="80" w:line="280" w:lineRule="auto"/>
        <w:numPr>
          <w:ilvl w:val="0"/>
          <w:numId w:val="20"/>
        </w:numPr>
      </w:pPr>
      <w:r>
        <w:rPr>
          <w:rFonts w:ascii="Calibri" w:hAnsi="Calibri"/>
          <w:color w:val="1D2939"/>
          <w:sz w:val="22"/>
        </w:rPr>
        <w:t>Use one configuration subset for prompt/retrieval refinement and one held-out subset for final measurement.</w:t>
      </w:r>
    </w:p>
    <w:p>
      <w:pPr>
        <w:spacing w:before="0" w:after="80" w:line="280" w:lineRule="auto"/>
        <w:numPr>
          <w:ilvl w:val="0"/>
          <w:numId w:val="20"/>
        </w:numPr>
      </w:pPr>
      <w:r>
        <w:rPr>
          <w:rFonts w:ascii="Calibri" w:hAnsi="Calibri"/>
          <w:color w:val="1D2939"/>
          <w:sz w:val="22"/>
        </w:rPr>
        <w:t>Use existing manual review records first; adjudicate missing or disputed labels with the PA and designated reviewer.</w:t>
      </w:r>
    </w:p>
    <w:p>
      <w:pPr>
        <w:spacing w:before="0" w:after="80" w:line="280" w:lineRule="auto"/>
        <w:numPr>
          <w:ilvl w:val="0"/>
          <w:numId w:val="20"/>
        </w:numPr>
      </w:pPr>
      <w:r>
        <w:rPr>
          <w:rFonts w:ascii="Calibri" w:hAnsi="Calibri"/>
          <w:color w:val="1D2939"/>
          <w:sz w:val="22"/>
        </w:rPr>
        <w:t>Freeze the reference corpus and agent configuration before held-out evaluation.</w:t>
      </w:r>
    </w:p>
    <w:tbl>
      <w:tblPr>
        <w:tblStyle w:val="TableGrid"/>
        <w:tblW w:type="dxa" w:w="129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50"/>
        <w:gridCol w:w="4100"/>
        <w:gridCol w:w="3500"/>
        <w:gridCol w:w="2910"/>
      </w:tblGrid>
      <w:tr>
        <w:trPr>
          <w:cantSplit/>
          <w:tblHeader w:val="true"/>
          <w:cantSplit/>
        </w:trPr>
        <w:tc>
          <w:tcPr>
            <w:tcW w:type="dxa" w:w="245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Evaluation area</w:t>
            </w:r>
          </w:p>
        </w:tc>
        <w:tc>
          <w:tcPr>
            <w:tcW w:type="dxa" w:w="41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Metric</w:t>
            </w:r>
          </w:p>
        </w:tc>
        <w:tc>
          <w:tcPr>
            <w:tcW w:type="dxa" w:w="35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Baseline / evidence</w:t>
            </w:r>
          </w:p>
        </w:tc>
        <w:tc>
          <w:tcPr>
            <w:tcW w:type="dxa" w:w="291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Target</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Clause identification</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Expected clauses correctly identified ÷ expected clauses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Existing manual review / adjudicated labels</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Extraction correctness</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Materially correct extractions ÷ evaluated extractions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Contract text and expected spans</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Clause classification</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Correct categories ÷ classified clauses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Customer taxonomy</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Deviation precision</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Correct deviations ÷ AI-identified deviations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Adjudicated findings</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False-positive rate</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Incorrect deviations ÷ AI-identified deviations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Adjudicated findings</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Missed-deviation rate</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Missed expected deviations ÷ expected deviations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Adjudicated findings</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Risk-category agreement</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AI category matches human decision ÷ scored findings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Designated reviewer outcome</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Risk-level agreement</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AI level matches human decision ÷ scored findings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Designated reviewer outcome</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Redline acceptance</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Accepted without change ÷ reviewed recommendations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Authorized reviewer decision</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Redline modification</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Modified recommendations ÷ reviewed recommendations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Authorized reviewer decision</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Redline rejection</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Rejected recommendations ÷ reviewed recommendations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Authorized reviewer decision</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Grounded recommendation rate</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Material recommendations with approved support ÷ material recommendations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Source ID, version, applicability, and evidence</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Reviewer routing agreement</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Suggested reviewer sets matching ownership rules ÷ routeable findings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Approved ownership matrix</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Feedback linkage</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Responses linked to the correct Finding ID ÷ submitted responses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Normalized source feedback</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Conflict detection</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Correctly flagged known conflicts ÷ expected conflicts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Existing or customer-adjudicated conflicts</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PA review effort</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Hands-on PA minutes per contract</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Manual baseline versus AI-assisted timing</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Clause-location effort</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Minutes spent locating relevant clauses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Timed observation or task log</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Deviation-analysis effort</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Minutes spent identifying deviations</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Timed observation or task log</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Feedback-consolidation effort</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Minutes spent consolidating feedback</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Manual baseline versus agent-assisted timing</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r>
        <w:trPr>
          <w:cantSplit/>
        </w:trPr>
        <w:tc>
          <w:tcPr>
            <w:tcW w:type="dxa" w:w="24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Total review time</w:t>
            </w:r>
          </w:p>
        </w:tc>
        <w:tc>
          <w:tcPr>
            <w:tcW w:type="dxa" w:w="41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Elapsed time from review start to PA final review</w:t>
            </w:r>
          </w:p>
        </w:tc>
        <w:tc>
          <w:tcPr>
            <w:tcW w:type="dxa" w:w="35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Existing timestamps or prospective measurement</w:t>
            </w:r>
          </w:p>
        </w:tc>
        <w:tc>
          <w:tcPr>
            <w:tcW w:type="dxa" w:w="291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Target: To be agreed with business owner</w:t>
            </w:r>
          </w:p>
        </w:tc>
      </w:tr>
    </w:tbl>
    <w:p>
      <w:pPr>
        <w:spacing w:before="0" w:after="60"/>
      </w:pPr>
    </w:p>
    <w:p>
      <w:pPr>
        <w:spacing w:before="80" w:after="200" w:line="264" w:lineRule="auto"/>
        <w:ind w:left="173" w:right="115"/>
        <w:shd w:fill="FFF4CE"/>
        <w:pBdr>
          <w:left w:val="single" w:sz="18" w:space="6" w:color="C89B00"/>
        </w:pBdr>
      </w:pPr>
      <w:r>
        <w:rPr>
          <w:rFonts w:ascii="Calibri" w:hAnsi="Calibri"/>
          <w:b/>
          <w:color w:val="0B2545"/>
          <w:sz w:val="22"/>
        </w:rPr>
        <w:t xml:space="preserve">Decision rule: </w:t>
      </w:r>
      <w:r>
        <w:rPr>
          <w:rFonts w:ascii="Calibri" w:hAnsi="Calibri"/>
          <w:color w:val="1D2939"/>
          <w:sz w:val="22"/>
        </w:rPr>
        <w:t>Do not use a single composite score that allows time savings to offset unacceptable grounding, deviation, or human-control failures. The business owner approves targets and mandatory go/no-go measures before held-out testing.</w:t>
      </w:r>
    </w:p>
    <w:p>
      <w:pPr>
        <w:pStyle w:val="Heading1"/>
        <w:keepNext/>
      </w:pPr>
      <w:r>
        <w:rPr>
          <w:rFonts w:ascii="Calibri" w:hAnsi="Calibri"/>
          <w:b/>
          <w:color w:val="2E74B5"/>
          <w:sz w:val="32"/>
        </w:rPr>
        <w:t>12. Implementation Roadmap</w:t>
      </w:r>
    </w:p>
    <w:p>
      <w:pPr>
        <w:spacing w:before="0" w:after="120" w:line="264" w:lineRule="auto"/>
      </w:pPr>
      <w:r>
        <w:rPr>
          <w:rFonts w:ascii="Calibri" w:hAnsi="Calibri"/>
          <w:i w:val="0"/>
          <w:color w:val="1D2939"/>
          <w:sz w:val="22"/>
        </w:rPr>
        <w:t>The roadmap is organized as gated increments. No calendar duration is estimated because staffing, tenant readiness, reviewer availability, and delivery constraints were not supplied.</w:t>
      </w:r>
    </w:p>
    <w:tbl>
      <w:tblPr>
        <w:tblStyle w:val="TableGrid"/>
        <w:tblW w:type="dxa" w:w="129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0"/>
        <w:gridCol w:w="4400"/>
        <w:gridCol w:w="2700"/>
        <w:gridCol w:w="3460"/>
      </w:tblGrid>
      <w:tr>
        <w:trPr>
          <w:cantSplit/>
          <w:tblHeader w:val="true"/>
          <w:cantSplit/>
        </w:trPr>
        <w:tc>
          <w:tcPr>
            <w:tcW w:type="dxa" w:w="24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Increment</w:t>
            </w:r>
          </w:p>
        </w:tc>
        <w:tc>
          <w:tcPr>
            <w:tcW w:type="dxa" w:w="44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Deliverable</w:t>
            </w:r>
          </w:p>
        </w:tc>
        <w:tc>
          <w:tcPr>
            <w:tcW w:type="dxa" w:w="27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Dependency</w:t>
            </w:r>
          </w:p>
        </w:tc>
        <w:tc>
          <w:tcPr>
            <w:tcW w:type="dxa" w:w="34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Acceptance evidence</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Environment readiness</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Application, Agent Designer, model, access, region, retention, and observability configuration</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Customer tenant and administration</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Authorized access and end-to-end smoke test</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Input-path validation</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Confirmed contract upload and agent processing path</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Environment plus representative PDF/DOCX</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Contract parsed with ID/version retained</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Corpus preparation</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Approved reference corpus and source inventory</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Customer content owners</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Every source is approved, versioned, applicable, and classified</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Evaluation-set preparation</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Configuration and held-out contracts with expected findings</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Contract pool and reviewers</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Approved labels and available manual baseline</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Grounding setup</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Cloud Storage collection and one Gemini Enterprise data store</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Approved corpus</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Applicable current sources retrieved with citations</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Agent foundation</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One fixed-stage Contract Review Agent</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Validated input path and data store</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Complete structured finding output</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Clause/deviation analysis</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Extraction, classification, comparison, and exception handling</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Taxonomy and approved references</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Configuration-set results and error record</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Risk and routing</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Customer-rule-based risk and reviewer recommendations</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Risk and ownership rules</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Every result cites an applicable rule</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Redline recommendations</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Textual replacement and before/after comparison</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Approved and fallback clauses</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No unsupported replacement language</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Human review</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PA validation and normalized reviewer feedback</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Validated package and ownership rules</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Separate attributed human decisions</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Feedback consolidation</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Finding linkage, agreement, and conflict detection</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Reviewer feedback</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Conflicts flagged without autonomous resolution</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Evaluation</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Manual-versus-assisted scorecard</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Frozen configuration, held-out set, and targets</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Technical and business results reported</w:t>
            </w:r>
          </w:p>
        </w:tc>
      </w:tr>
      <w:tr>
        <w:trPr>
          <w:cantSplit/>
        </w:trPr>
        <w:tc>
          <w:tcPr>
            <w:tcW w:type="dxa" w:w="2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Demonstration and handoff</w:t>
            </w:r>
          </w:p>
        </w:tc>
        <w:tc>
          <w:tcPr>
            <w:tcW w:type="dxa" w:w="44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End-to-end scenario, operating guide, limitations, and recommendation</w:t>
            </w:r>
          </w:p>
        </w:tc>
        <w:tc>
          <w:tcPr>
            <w:tcW w:type="dxa" w:w="27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Completed evaluation</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Customer-reviewed feasibility decision</w:t>
            </w:r>
          </w:p>
        </w:tc>
      </w:tr>
    </w:tbl>
    <w:p>
      <w:pPr>
        <w:spacing w:before="0" w:after="60"/>
      </w:pPr>
    </w:p>
    <w:p>
      <w:pPr>
        <w:pStyle w:val="Heading2"/>
        <w:keepNext/>
      </w:pPr>
      <w:r>
        <w:rPr>
          <w:rFonts w:ascii="Calibri" w:hAnsi="Calibri"/>
          <w:b/>
          <w:color w:val="2E74B5"/>
          <w:sz w:val="26"/>
        </w:rPr>
        <w:t>Must have for PoC</w:t>
      </w:r>
    </w:p>
    <w:p>
      <w:pPr>
        <w:spacing w:before="0" w:after="80" w:line="280" w:lineRule="auto"/>
        <w:numPr>
          <w:ilvl w:val="0"/>
          <w:numId w:val="21"/>
        </w:numPr>
      </w:pPr>
      <w:r>
        <w:rPr>
          <w:rFonts w:ascii="Calibri" w:hAnsi="Calibri"/>
          <w:color w:val="1D2939"/>
          <w:sz w:val="22"/>
        </w:rPr>
        <w:t>One agent, one grounded data store, validated input path, and restricted access.</w:t>
      </w:r>
    </w:p>
    <w:p>
      <w:pPr>
        <w:spacing w:before="0" w:after="80" w:line="280" w:lineRule="auto"/>
        <w:numPr>
          <w:ilvl w:val="0"/>
          <w:numId w:val="21"/>
        </w:numPr>
      </w:pPr>
      <w:r>
        <w:rPr>
          <w:rFonts w:ascii="Calibri" w:hAnsi="Calibri"/>
          <w:color w:val="1D2939"/>
          <w:sz w:val="22"/>
        </w:rPr>
        <w:t>Approved reference corpus and representative labeled contracts.</w:t>
      </w:r>
    </w:p>
    <w:p>
      <w:pPr>
        <w:spacing w:before="0" w:after="80" w:line="280" w:lineRule="auto"/>
        <w:numPr>
          <w:ilvl w:val="0"/>
          <w:numId w:val="21"/>
        </w:numPr>
      </w:pPr>
      <w:r>
        <w:rPr>
          <w:rFonts w:ascii="Calibri" w:hAnsi="Calibri"/>
          <w:color w:val="1D2939"/>
          <w:sz w:val="22"/>
        </w:rPr>
        <w:t>Structured evidence-backed clause, deviation, risk, routing, and redline findings where customer rules exist.</w:t>
      </w:r>
    </w:p>
    <w:p>
      <w:pPr>
        <w:spacing w:before="0" w:after="80" w:line="280" w:lineRule="auto"/>
        <w:numPr>
          <w:ilvl w:val="0"/>
          <w:numId w:val="21"/>
        </w:numPr>
      </w:pPr>
      <w:r>
        <w:rPr>
          <w:rFonts w:ascii="Calibri" w:hAnsi="Calibri"/>
          <w:color w:val="1D2939"/>
          <w:sz w:val="22"/>
        </w:rPr>
        <w:t>Procurement Agent validation, manual reviewer coordination, normalized feedback, consolidation, and conflict flagging.</w:t>
      </w:r>
    </w:p>
    <w:p>
      <w:pPr>
        <w:spacing w:before="0" w:after="80" w:line="280" w:lineRule="auto"/>
        <w:numPr>
          <w:ilvl w:val="0"/>
          <w:numId w:val="21"/>
        </w:numPr>
      </w:pPr>
      <w:r>
        <w:rPr>
          <w:rFonts w:ascii="Calibri" w:hAnsi="Calibri"/>
          <w:color w:val="1D2939"/>
          <w:sz w:val="22"/>
        </w:rPr>
        <w:t>Finding-level accuracy, grounding, redline outcome, and review-efficiency measurement.</w:t>
      </w:r>
    </w:p>
    <w:p>
      <w:pPr>
        <w:pStyle w:val="Heading2"/>
        <w:keepNext/>
      </w:pPr>
      <w:r>
        <w:rPr>
          <w:rFonts w:ascii="Calibri" w:hAnsi="Calibri"/>
          <w:b/>
          <w:color w:val="2E74B5"/>
          <w:sz w:val="26"/>
        </w:rPr>
        <w:t>Nice to have if time permits</w:t>
      </w:r>
    </w:p>
    <w:p>
      <w:pPr>
        <w:spacing w:before="0" w:after="80" w:line="280" w:lineRule="auto"/>
        <w:numPr>
          <w:ilvl w:val="0"/>
          <w:numId w:val="22"/>
        </w:numPr>
      </w:pPr>
      <w:r>
        <w:rPr>
          <w:rFonts w:ascii="Calibri" w:hAnsi="Calibri"/>
          <w:color w:val="1D2939"/>
          <w:sz w:val="22"/>
        </w:rPr>
        <w:t>Previous-version comparison and additional in-scope contracts.</w:t>
      </w:r>
    </w:p>
    <w:p>
      <w:pPr>
        <w:spacing w:before="0" w:after="80" w:line="280" w:lineRule="auto"/>
        <w:numPr>
          <w:ilvl w:val="0"/>
          <w:numId w:val="22"/>
        </w:numPr>
      </w:pPr>
      <w:r>
        <w:rPr>
          <w:rFonts w:ascii="Calibri" w:hAnsi="Calibri"/>
          <w:color w:val="1D2939"/>
          <w:sz w:val="22"/>
        </w:rPr>
        <w:t>Native parsing validation for acceptable scans.</w:t>
      </w:r>
    </w:p>
    <w:p>
      <w:pPr>
        <w:spacing w:before="0" w:after="80" w:line="280" w:lineRule="auto"/>
        <w:numPr>
          <w:ilvl w:val="0"/>
          <w:numId w:val="22"/>
        </w:numPr>
      </w:pPr>
      <w:r>
        <w:rPr>
          <w:rFonts w:ascii="Calibri" w:hAnsi="Calibri"/>
          <w:color w:val="1D2939"/>
          <w:sz w:val="22"/>
        </w:rPr>
        <w:t>Reviewer-specific formatting and additional approved fallback clauses.</w:t>
      </w:r>
    </w:p>
    <w:p>
      <w:pPr>
        <w:spacing w:before="0" w:after="80" w:line="280" w:lineRule="auto"/>
        <w:numPr>
          <w:ilvl w:val="0"/>
          <w:numId w:val="22"/>
        </w:numPr>
      </w:pPr>
      <w:r>
        <w:rPr>
          <w:rFonts w:ascii="Calibri" w:hAnsi="Calibri"/>
          <w:color w:val="1D2939"/>
          <w:sz w:val="22"/>
        </w:rPr>
        <w:t>Expanded cross-clause and actual reviewer-conflict examples.</w:t>
      </w:r>
    </w:p>
    <w:p>
      <w:pPr>
        <w:pStyle w:val="Heading2"/>
        <w:keepNext/>
      </w:pPr>
      <w:r>
        <w:rPr>
          <w:rFonts w:ascii="Calibri" w:hAnsi="Calibri"/>
          <w:b/>
          <w:color w:val="2E74B5"/>
          <w:sz w:val="26"/>
        </w:rPr>
        <w:t>Explicitly deferred</w:t>
      </w:r>
    </w:p>
    <w:p>
      <w:pPr>
        <w:spacing w:before="0" w:after="80" w:line="280" w:lineRule="auto"/>
        <w:numPr>
          <w:ilvl w:val="0"/>
          <w:numId w:val="23"/>
        </w:numPr>
      </w:pPr>
      <w:r>
        <w:rPr>
          <w:rFonts w:ascii="Calibri" w:hAnsi="Calibri"/>
          <w:color w:val="1D2939"/>
          <w:sz w:val="22"/>
        </w:rPr>
        <w:t>SAP Ariba, supplier communication, execution, e-signature, obligations, and renewals.</w:t>
      </w:r>
    </w:p>
    <w:p>
      <w:pPr>
        <w:spacing w:before="0" w:after="80" w:line="280" w:lineRule="auto"/>
        <w:numPr>
          <w:ilvl w:val="0"/>
          <w:numId w:val="23"/>
        </w:numPr>
      </w:pPr>
      <w:r>
        <w:rPr>
          <w:rFonts w:ascii="Calibri" w:hAnsi="Calibri"/>
          <w:color w:val="1D2939"/>
          <w:sz w:val="22"/>
        </w:rPr>
        <w:t>Automated assignments, reminders, approvals, parallel workflow state, and custom reviewer portal.</w:t>
      </w:r>
    </w:p>
    <w:p>
      <w:pPr>
        <w:spacing w:before="0" w:after="80" w:line="280" w:lineRule="auto"/>
        <w:numPr>
          <w:ilvl w:val="0"/>
          <w:numId w:val="23"/>
        </w:numPr>
      </w:pPr>
      <w:r>
        <w:rPr>
          <w:rFonts w:ascii="Calibri" w:hAnsi="Calibri"/>
          <w:color w:val="1D2939"/>
          <w:sz w:val="22"/>
        </w:rPr>
        <w:t>Track Changes, authoritative in-place editing, CLM repository, and negotiation version control.</w:t>
      </w:r>
    </w:p>
    <w:p>
      <w:pPr>
        <w:spacing w:before="0" w:after="80" w:line="280" w:lineRule="auto"/>
        <w:numPr>
          <w:ilvl w:val="0"/>
          <w:numId w:val="23"/>
        </w:numPr>
      </w:pPr>
      <w:r>
        <w:rPr>
          <w:rFonts w:ascii="Calibri" w:hAnsi="Calibri"/>
          <w:color w:val="1D2939"/>
          <w:sz w:val="22"/>
        </w:rPr>
        <w:t>Multi-agent decomposition, ADK/Agent Runtime, custom hosting, workflow engine, event bus, APIs, and custom databases.</w:t>
      </w:r>
    </w:p>
    <w:p>
      <w:pPr>
        <w:spacing w:before="0" w:after="80" w:line="280" w:lineRule="auto"/>
        <w:numPr>
          <w:ilvl w:val="0"/>
          <w:numId w:val="23"/>
        </w:numPr>
      </w:pPr>
      <w:r>
        <w:rPr>
          <w:rFonts w:ascii="Calibri" w:hAnsi="Calibri"/>
          <w:color w:val="1D2939"/>
          <w:sz w:val="22"/>
        </w:rPr>
        <w:t>Document AI unless essential native-processing failures are demonstrated.</w:t>
      </w:r>
    </w:p>
    <w:p>
      <w:pPr>
        <w:sectPr>
          <w:headerReference w:type="default" r:id="rId18"/>
          <w:footerReference w:type="default" r:id="rId19"/>
          <w:pgSz w:w="15840" w:h="12240" w:orient="landscape"/>
          <w:pgMar w:top="1440" w:right="1440" w:bottom="1440" w:left="1440" w:header="708" w:footer="708" w:gutter="0"/>
          <w:cols w:space="720"/>
          <w:docGrid w:linePitch="360"/>
        </w:sectPr>
      </w:pPr>
    </w:p>
    <w:p>
      <w:pPr>
        <w:pStyle w:val="Heading1"/>
        <w:keepNext/>
      </w:pPr>
      <w:r>
        <w:rPr>
          <w:rFonts w:ascii="Calibri" w:hAnsi="Calibri"/>
          <w:b/>
          <w:color w:val="2E74B5"/>
          <w:sz w:val="32"/>
        </w:rPr>
        <w:t>13. Future Expansion</w:t>
      </w:r>
    </w:p>
    <w:p>
      <w:pPr>
        <w:spacing w:before="0" w:after="120" w:line="264" w:lineRule="auto"/>
      </w:pPr>
      <w:r>
        <w:rPr>
          <w:rFonts w:ascii="Calibri" w:hAnsi="Calibri"/>
          <w:i w:val="0"/>
          <w:color w:val="1D2939"/>
          <w:sz w:val="22"/>
        </w:rPr>
        <w:t>Potential future work is identified only to preserve architectural boundaries. No future capability is designed in this assessment.</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000"/>
        <w:gridCol w:w="6360"/>
      </w:tblGrid>
      <w:tr>
        <w:trPr>
          <w:cantSplit/>
          <w:tblHeader w:val="true"/>
          <w:cantSplit/>
        </w:trPr>
        <w:tc>
          <w:tcPr>
            <w:tcW w:type="dxa" w:w="30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Potential capability</w:t>
            </w:r>
          </w:p>
        </w:tc>
        <w:tc>
          <w:tcPr>
            <w:tcW w:type="dxa" w:w="63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Future boundary</w:t>
            </w:r>
          </w:p>
        </w:tc>
      </w:tr>
      <w:tr>
        <w:trPr>
          <w:cantSplit/>
        </w:trPr>
        <w:tc>
          <w:tcPr>
            <w:tcW w:type="dxa" w:w="30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SAP Ariba integration</w:t>
            </w:r>
          </w:p>
        </w:tc>
        <w:tc>
          <w:tcPr>
            <w:tcW w:type="dxa" w:w="6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Future source-to-pay document and status integration.</w:t>
            </w:r>
          </w:p>
        </w:tc>
      </w:tr>
      <w:tr>
        <w:trPr>
          <w:cantSplit/>
        </w:trPr>
        <w:tc>
          <w:tcPr>
            <w:tcW w:type="dxa" w:w="30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Broader contract analytics</w:t>
            </w:r>
          </w:p>
        </w:tc>
        <w:tc>
          <w:tcPr>
            <w:tcW w:type="dxa" w:w="6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Portfolio-level reporting and trend analysis.</w:t>
            </w:r>
          </w:p>
        </w:tc>
      </w:tr>
      <w:tr>
        <w:trPr>
          <w:cantSplit/>
        </w:trPr>
        <w:tc>
          <w:tcPr>
            <w:tcW w:type="dxa" w:w="30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Enterprise contract governance</w:t>
            </w:r>
          </w:p>
        </w:tc>
        <w:tc>
          <w:tcPr>
            <w:tcW w:type="dxa" w:w="6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Policy publishing, clause lifecycle, supersession, and approval controls.</w:t>
            </w:r>
          </w:p>
        </w:tc>
      </w:tr>
      <w:tr>
        <w:trPr>
          <w:cantSplit/>
        </w:trPr>
        <w:tc>
          <w:tcPr>
            <w:tcW w:type="dxa" w:w="30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Additional contract categories</w:t>
            </w:r>
          </w:p>
        </w:tc>
        <w:tc>
          <w:tcPr>
            <w:tcW w:type="dxa" w:w="6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Expansion after separate corpus and evaluation validation.</w:t>
            </w:r>
          </w:p>
        </w:tc>
      </w:tr>
      <w:tr>
        <w:trPr>
          <w:cantSplit/>
        </w:trPr>
        <w:tc>
          <w:tcPr>
            <w:tcW w:type="dxa" w:w="30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Additional business units</w:t>
            </w:r>
          </w:p>
        </w:tc>
        <w:tc>
          <w:tcPr>
            <w:tcW w:type="dxa" w:w="6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Expansion after access, policy, risk, and reviewer ownership validation.</w:t>
            </w:r>
          </w:p>
        </w:tc>
      </w:tr>
      <w:tr>
        <w:trPr>
          <w:cantSplit/>
        </w:trPr>
        <w:tc>
          <w:tcPr>
            <w:tcW w:type="dxa" w:w="30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Production reviewer orchestration</w:t>
            </w:r>
          </w:p>
        </w:tc>
        <w:tc>
          <w:tcPr>
            <w:tcW w:type="dxa" w:w="6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Assignments, reminders, deadlines, approvals, and durable state.</w:t>
            </w:r>
          </w:p>
        </w:tc>
      </w:tr>
      <w:tr>
        <w:trPr>
          <w:cantSplit/>
        </w:trPr>
        <w:tc>
          <w:tcPr>
            <w:tcW w:type="dxa" w:w="30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Enterprise document management</w:t>
            </w:r>
          </w:p>
        </w:tc>
        <w:tc>
          <w:tcPr>
            <w:tcW w:type="dxa" w:w="6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Authoritative versions, negotiation history, and final-document control.</w:t>
            </w:r>
          </w:p>
        </w:tc>
      </w:tr>
      <w:tr>
        <w:trPr>
          <w:cantSplit/>
        </w:trPr>
        <w:tc>
          <w:tcPr>
            <w:tcW w:type="dxa" w:w="30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Production security and audit</w:t>
            </w:r>
          </w:p>
        </w:tc>
        <w:tc>
          <w:tcPr>
            <w:tcW w:type="dxa" w:w="63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8"/>
              </w:rPr>
              <w:t>Formal retention, monitoring, audit, compliance, and operational controls.</w:t>
            </w:r>
          </w:p>
        </w:tc>
      </w:tr>
    </w:tbl>
    <w:p>
      <w:pPr>
        <w:spacing w:before="0" w:after="60"/>
      </w:pPr>
    </w:p>
    <w:p>
      <w:pPr>
        <w:spacing w:before="80" w:after="200" w:line="264" w:lineRule="auto"/>
        <w:ind w:left="173" w:right="115"/>
        <w:shd w:fill="EAF6EE"/>
        <w:pBdr>
          <w:left w:val="single" w:sz="18" w:space="6" w:color="548235"/>
        </w:pBdr>
      </w:pPr>
      <w:r>
        <w:rPr>
          <w:rFonts w:ascii="Calibri" w:hAnsi="Calibri"/>
          <w:b/>
          <w:color w:val="0B2545"/>
          <w:sz w:val="22"/>
        </w:rPr>
        <w:t xml:space="preserve">Final recommendation: </w:t>
      </w:r>
      <w:r>
        <w:rPr>
          <w:rFonts w:ascii="Calibri" w:hAnsi="Calibri"/>
          <w:color w:val="1D2939"/>
          <w:sz w:val="22"/>
        </w:rPr>
        <w:t>Proceed with the minimal PoC only under the documented entry conditions. If native concurrent orchestration, Word Track Changes, automated approval routing, or complete contract version management becomes mandatory, the minimal Gemini Enterprise design is no longer sufficient and requires a separate production architecture assessment.</w:t>
      </w:r>
    </w:p>
    <w:p>
      <w:r>
        <w:br w:type="page"/>
      </w:r>
    </w:p>
    <w:p>
      <w:pPr>
        <w:pStyle w:val="Heading1"/>
        <w:keepNext/>
      </w:pPr>
      <w:r>
        <w:rPr>
          <w:rFonts w:ascii="Calibri" w:hAnsi="Calibri"/>
          <w:b/>
          <w:color w:val="2E74B5"/>
          <w:sz w:val="32"/>
        </w:rPr>
        <w:t>Appendix A. Stage Traceability</w:t>
      </w:r>
    </w:p>
    <w:tbl>
      <w:tblPr>
        <w:tblStyle w:val="TableGrid"/>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250"/>
        <w:gridCol w:w="2350"/>
        <w:gridCol w:w="4200"/>
        <w:gridCol w:w="1560"/>
      </w:tblGrid>
      <w:tr>
        <w:trPr>
          <w:cantSplit/>
          <w:tblHeader w:val="true"/>
          <w:cantSplit/>
        </w:trPr>
        <w:tc>
          <w:tcPr>
            <w:tcW w:type="dxa" w:w="125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Stage</w:t>
            </w:r>
          </w:p>
        </w:tc>
        <w:tc>
          <w:tcPr>
            <w:tcW w:type="dxa" w:w="235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Purpose</w:t>
            </w:r>
          </w:p>
        </w:tc>
        <w:tc>
          <w:tcPr>
            <w:tcW w:type="dxa" w:w="420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Captured output</w:t>
            </w:r>
          </w:p>
        </w:tc>
        <w:tc>
          <w:tcPr>
            <w:tcW w:type="dxa" w:w="1560"/>
            <w:tcMar>
              <w:top w:w="80" w:type="dxa"/>
              <w:start w:w="120" w:type="dxa"/>
              <w:bottom w:w="80" w:type="dxa"/>
              <w:end w:w="120" w:type="dxa"/>
            </w:tcMar>
            <w:vAlign w:val="center"/>
            <w:shd w:fill="F2F4F7"/>
          </w:tcPr>
          <w:p>
            <w:pPr>
              <w:spacing w:before="0" w:after="0" w:line="252" w:lineRule="auto"/>
              <w:jc w:val="center"/>
            </w:pPr>
            <w:r/>
            <w:r>
              <w:rPr>
                <w:rFonts w:ascii="Calibri" w:hAnsi="Calibri"/>
                <w:b/>
                <w:color w:val="0B2545"/>
                <w:sz w:val="18"/>
              </w:rPr>
              <w:t>Report location</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Stage 1</w:t>
            </w:r>
          </w:p>
        </w:tc>
        <w:tc>
          <w:tcPr>
            <w:tcW w:type="dxa" w:w="23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Current process and requirements discovery</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Actors, process steps, artifacts, decision points, and unresolved business questions</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Sections 2 and 10</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Stage 2</w:t>
            </w:r>
          </w:p>
        </w:tc>
        <w:tc>
          <w:tcPr>
            <w:tcW w:type="dxa" w:w="23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PoC scope and automation boundary</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AI-assisted, human-controlled, future, and excluded activities</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Section 3</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Stage 3</w:t>
            </w:r>
          </w:p>
        </w:tc>
        <w:tc>
          <w:tcPr>
            <w:tcW w:type="dxa" w:w="23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Gemini Enterprise capability validation</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Official platform evidence, support status, configuration, and limitations</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Section 4 and Appendix B</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Stage 4</w:t>
            </w:r>
          </w:p>
        </w:tc>
        <w:tc>
          <w:tcPr>
            <w:tcW w:type="dxa" w:w="23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Minimal agentic solution architecture</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One agent, one data store, session contract, human review, and consolidation</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Section 5</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Stage 5</w:t>
            </w:r>
          </w:p>
        </w:tc>
        <w:tc>
          <w:tcPr>
            <w:tcW w:type="dxa" w:w="23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Contract Review Agent design</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Fixed review stages, finding schema, evidence rules, and exception handling</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Section 6</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Stage 6</w:t>
            </w:r>
          </w:p>
        </w:tc>
        <w:tc>
          <w:tcPr>
            <w:tcW w:type="dxa" w:w="23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Human review and consolidation</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Supplied personas, routing matrix, normalized feedback, and conflict handling</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Section 8</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Stage 7</w:t>
            </w:r>
          </w:p>
        </w:tc>
        <w:tc>
          <w:tcPr>
            <w:tcW w:type="dxa" w:w="23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Contract knowledge and grounding</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Contract/reference separation, storage, metadata, and redline controls</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Section 9</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Stage 8</w:t>
            </w:r>
          </w:p>
        </w:tc>
        <w:tc>
          <w:tcPr>
            <w:tcW w:type="dxa" w:w="23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Technical risks and feasibility</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Blocking gates, non-blocking limitations, and future production considerations</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Section 10</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Stage 9</w:t>
            </w:r>
          </w:p>
        </w:tc>
        <w:tc>
          <w:tcPr>
            <w:tcW w:type="dxa" w:w="23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PoC evaluation framework</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Representative dataset, manual baseline, formulas, targets, and decision rule</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Section 11</w:t>
            </w:r>
          </w:p>
        </w:tc>
      </w:tr>
      <w:tr>
        <w:trPr>
          <w:cantSplit/>
        </w:trPr>
        <w:tc>
          <w:tcPr>
            <w:tcW w:type="dxa" w:w="12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Stage 10</w:t>
            </w:r>
          </w:p>
        </w:tc>
        <w:tc>
          <w:tcPr>
            <w:tcW w:type="dxa" w:w="235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Implementation roadmap and recommendation</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Gated increments, acceptance evidence, priorities, and final recommendation</w:t>
            </w:r>
          </w:p>
        </w:tc>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1D2939"/>
                <w:sz w:val="16"/>
              </w:rPr>
              <w:t>Sections 12 and 13</w:t>
            </w:r>
          </w:p>
        </w:tc>
      </w:tr>
    </w:tbl>
    <w:p>
      <w:pPr>
        <w:spacing w:before="0" w:after="60"/>
      </w:pPr>
    </w:p>
    <w:p>
      <w:pPr>
        <w:pStyle w:val="Heading2"/>
        <w:keepNext/>
      </w:pPr>
      <w:r>
        <w:rPr>
          <w:rFonts w:ascii="Calibri" w:hAnsi="Calibri"/>
          <w:b/>
          <w:color w:val="2E74B5"/>
          <w:sz w:val="26"/>
        </w:rPr>
        <w:t>Traceability principle</w:t>
      </w:r>
    </w:p>
    <w:p>
      <w:pPr>
        <w:spacing w:before="0" w:after="120" w:line="264" w:lineRule="auto"/>
      </w:pPr>
      <w:r>
        <w:rPr>
          <w:rFonts w:ascii="Calibri" w:hAnsi="Calibri"/>
          <w:i w:val="0"/>
          <w:color w:val="1D2939"/>
          <w:sz w:val="22"/>
        </w:rPr>
        <w:t>Each material recommendation follows the same evidence chain: contract text and location → approved customer reference → identified deviation → customer-defined risk rule, when available → recommended action or redline → human reviewer decision → Procurement Agent final decision.</w:t>
      </w:r>
    </w:p>
    <w:p>
      <w:r>
        <w:br w:type="page"/>
      </w:r>
    </w:p>
    <w:p>
      <w:pPr>
        <w:pStyle w:val="Heading1"/>
        <w:keepNext/>
      </w:pPr>
      <w:r>
        <w:rPr>
          <w:rFonts w:ascii="Calibri" w:hAnsi="Calibri"/>
          <w:b/>
          <w:color w:val="2E74B5"/>
          <w:sz w:val="32"/>
        </w:rPr>
        <w:t>Appendix B. Official Google Cloud References</w:t>
      </w:r>
    </w:p>
    <w:p>
      <w:pPr>
        <w:spacing w:before="0" w:after="120" w:line="264" w:lineRule="auto"/>
      </w:pPr>
      <w:hyperlink r:id="rId22">
        <w:r>
          <w:rPr>
            <w:color w:val="2E74B5"/>
            <w:u w:val="single"/>
            <w:rFonts w:ascii="Calibri" w:hAnsi="Calibri"/>
            <w:sz w:val="20"/>
          </w:rPr>
          <w:t>[1] Gemini Enterprise documentation</w:t>
        </w:r>
      </w:hyperlink>
      <w:r>
        <w:rPr>
          <w:rFonts w:ascii="Calibri" w:hAnsi="Calibri"/>
          <w:color w:val="667085"/>
          <w:sz w:val="19"/>
        </w:rPr>
        <w:t xml:space="preserve"> — https://docs.cloud.google.com/gemini/enterprise/docs</w:t>
      </w:r>
    </w:p>
    <w:p>
      <w:pPr>
        <w:spacing w:before="0" w:after="120" w:line="264" w:lineRule="auto"/>
      </w:pPr>
      <w:hyperlink r:id="rId23">
        <w:r>
          <w:rPr>
            <w:color w:val="2E74B5"/>
            <w:u w:val="single"/>
            <w:rFonts w:ascii="Calibri" w:hAnsi="Calibri"/>
            <w:sz w:val="20"/>
          </w:rPr>
          <w:t>[2] Assistant chat and file analysis</w:t>
        </w:r>
      </w:hyperlink>
      <w:r>
        <w:rPr>
          <w:rFonts w:ascii="Calibri" w:hAnsi="Calibri"/>
          <w:color w:val="667085"/>
          <w:sz w:val="19"/>
        </w:rPr>
        <w:t xml:space="preserve"> — https://docs.cloud.google.com/gemini/enterprise/docs/assistant-chat</w:t>
      </w:r>
    </w:p>
    <w:p>
      <w:pPr>
        <w:spacing w:before="0" w:after="120" w:line="264" w:lineRule="auto"/>
      </w:pPr>
      <w:hyperlink r:id="rId24">
        <w:r>
          <w:rPr>
            <w:color w:val="2E74B5"/>
            <w:u w:val="single"/>
            <w:rFonts w:ascii="Calibri" w:hAnsi="Calibri"/>
            <w:sz w:val="20"/>
          </w:rPr>
          <w:t>[3] Agent Designer</w:t>
        </w:r>
      </w:hyperlink>
      <w:r>
        <w:rPr>
          <w:rFonts w:ascii="Calibri" w:hAnsi="Calibri"/>
          <w:color w:val="667085"/>
          <w:sz w:val="19"/>
        </w:rPr>
        <w:t xml:space="preserve"> — https://docs.cloud.google.com/gemini/enterprise/docs/agent-designer</w:t>
      </w:r>
    </w:p>
    <w:p>
      <w:pPr>
        <w:spacing w:before="0" w:after="120" w:line="264" w:lineRule="auto"/>
      </w:pPr>
      <w:hyperlink r:id="rId25">
        <w:r>
          <w:rPr>
            <w:color w:val="2E74B5"/>
            <w:u w:val="single"/>
            <w:rFonts w:ascii="Calibri" w:hAnsi="Calibri"/>
            <w:sz w:val="20"/>
          </w:rPr>
          <w:t>[4] Create an Agent Designer agent</w:t>
        </w:r>
      </w:hyperlink>
      <w:r>
        <w:rPr>
          <w:rFonts w:ascii="Calibri" w:hAnsi="Calibri"/>
          <w:color w:val="667085"/>
          <w:sz w:val="19"/>
        </w:rPr>
        <w:t xml:space="preserve"> — https://docs.cloud.google.com/gemini/enterprise/docs/agent-designer/create-agent</w:t>
      </w:r>
    </w:p>
    <w:p>
      <w:pPr>
        <w:spacing w:before="0" w:after="120" w:line="264" w:lineRule="auto"/>
      </w:pPr>
      <w:hyperlink r:id="rId26">
        <w:r>
          <w:rPr>
            <w:color w:val="2E74B5"/>
            <w:u w:val="single"/>
            <w:rFonts w:ascii="Calibri" w:hAnsi="Calibri"/>
            <w:sz w:val="20"/>
          </w:rPr>
          <w:t>[5] Applications and data stores</w:t>
        </w:r>
      </w:hyperlink>
      <w:r>
        <w:rPr>
          <w:rFonts w:ascii="Calibri" w:hAnsi="Calibri"/>
          <w:color w:val="667085"/>
          <w:sz w:val="19"/>
        </w:rPr>
        <w:t xml:space="preserve"> — https://docs.cloud.google.com/gemini/enterprise/docs/apps-data-stores</w:t>
      </w:r>
    </w:p>
    <w:p>
      <w:pPr>
        <w:spacing w:before="0" w:after="120" w:line="264" w:lineRule="auto"/>
      </w:pPr>
      <w:hyperlink r:id="rId27">
        <w:r>
          <w:rPr>
            <w:color w:val="2E74B5"/>
            <w:u w:val="single"/>
            <w:rFonts w:ascii="Calibri" w:hAnsi="Calibri"/>
            <w:sz w:val="20"/>
          </w:rPr>
          <w:t>[6] Connect a Cloud Storage data source</w:t>
        </w:r>
      </w:hyperlink>
      <w:r>
        <w:rPr>
          <w:rFonts w:ascii="Calibri" w:hAnsi="Calibri"/>
          <w:color w:val="667085"/>
          <w:sz w:val="19"/>
        </w:rPr>
        <w:t xml:space="preserve"> — https://docs.cloud.google.com/gemini/enterprise/docs/connectors/connect-cloud-storage</w:t>
      </w:r>
    </w:p>
    <w:p>
      <w:pPr>
        <w:spacing w:before="0" w:after="120" w:line="264" w:lineRule="auto"/>
      </w:pPr>
      <w:hyperlink r:id="rId28">
        <w:r>
          <w:rPr>
            <w:color w:val="2E74B5"/>
            <w:u w:val="single"/>
            <w:rFonts w:ascii="Calibri" w:hAnsi="Calibri"/>
            <w:sz w:val="20"/>
          </w:rPr>
          <w:t>[7] Parse and chunk documents</w:t>
        </w:r>
      </w:hyperlink>
      <w:r>
        <w:rPr>
          <w:rFonts w:ascii="Calibri" w:hAnsi="Calibri"/>
          <w:color w:val="667085"/>
          <w:sz w:val="19"/>
        </w:rPr>
        <w:t xml:space="preserve"> — https://docs.cloud.google.com/gemini/enterprise/docs/parse-chunk-documents</w:t>
      </w:r>
    </w:p>
    <w:p>
      <w:pPr>
        <w:spacing w:before="0" w:after="120" w:line="264" w:lineRule="auto"/>
      </w:pPr>
      <w:hyperlink r:id="rId29">
        <w:r>
          <w:rPr>
            <w:color w:val="2E74B5"/>
            <w:u w:val="single"/>
            <w:rFonts w:ascii="Calibri" w:hAnsi="Calibri"/>
            <w:sz w:val="20"/>
          </w:rPr>
          <w:t>[8] Analyze files and create reports</w:t>
        </w:r>
      </w:hyperlink>
      <w:r>
        <w:rPr>
          <w:rFonts w:ascii="Calibri" w:hAnsi="Calibri"/>
          <w:color w:val="667085"/>
          <w:sz w:val="19"/>
        </w:rPr>
        <w:t xml:space="preserve"> — https://docs.cloud.google.com/gemini/enterprise/docs/assistant-analyze</w:t>
      </w:r>
    </w:p>
    <w:p>
      <w:pPr>
        <w:spacing w:before="0" w:after="120" w:line="264" w:lineRule="auto"/>
      </w:pPr>
      <w:hyperlink r:id="rId30">
        <w:r>
          <w:rPr>
            <w:color w:val="2E74B5"/>
            <w:u w:val="single"/>
            <w:rFonts w:ascii="Calibri" w:hAnsi="Calibri"/>
            <w:sz w:val="20"/>
          </w:rPr>
          <w:t>[9] Assistant Canvas</w:t>
        </w:r>
      </w:hyperlink>
      <w:r>
        <w:rPr>
          <w:rFonts w:ascii="Calibri" w:hAnsi="Calibri"/>
          <w:color w:val="667085"/>
          <w:sz w:val="19"/>
        </w:rPr>
        <w:t xml:space="preserve"> — https://docs.cloud.google.com/gemini/enterprise/docs/assistant-canvas</w:t>
      </w:r>
    </w:p>
    <w:p>
      <w:pPr>
        <w:spacing w:before="0" w:after="120" w:line="264" w:lineRule="auto"/>
      </w:pPr>
      <w:hyperlink r:id="rId31">
        <w:r>
          <w:rPr>
            <w:color w:val="2E74B5"/>
            <w:u w:val="single"/>
            <w:rFonts w:ascii="Calibri" w:hAnsi="Calibri"/>
            <w:sz w:val="20"/>
          </w:rPr>
          <w:t>[10] Manage application features and models</w:t>
        </w:r>
      </w:hyperlink>
      <w:r>
        <w:rPr>
          <w:rFonts w:ascii="Calibri" w:hAnsi="Calibri"/>
          <w:color w:val="667085"/>
          <w:sz w:val="19"/>
        </w:rPr>
        <w:t xml:space="preserve"> — https://docs.cloud.google.com/gemini/enterprise/docs/manage-web-app-features</w:t>
      </w:r>
    </w:p>
    <w:p>
      <w:pPr>
        <w:spacing w:before="0" w:after="120" w:line="264" w:lineRule="auto"/>
      </w:pPr>
      <w:hyperlink r:id="rId32">
        <w:r>
          <w:rPr>
            <w:color w:val="2E74B5"/>
            <w:u w:val="single"/>
            <w:rFonts w:ascii="Calibri" w:hAnsi="Calibri"/>
            <w:sz w:val="20"/>
          </w:rPr>
          <w:t>[11] Gemini Enterprise release notes</w:t>
        </w:r>
      </w:hyperlink>
      <w:r>
        <w:rPr>
          <w:rFonts w:ascii="Calibri" w:hAnsi="Calibri"/>
          <w:color w:val="667085"/>
          <w:sz w:val="19"/>
        </w:rPr>
        <w:t xml:space="preserve"> — https://docs.cloud.google.com/gemini/enterprise/docs/release-notes</w:t>
      </w:r>
    </w:p>
    <w:p>
      <w:pPr>
        <w:spacing w:before="0" w:after="120" w:line="264" w:lineRule="auto"/>
      </w:pPr>
      <w:hyperlink r:id="rId33">
        <w:r>
          <w:rPr>
            <w:color w:val="2E74B5"/>
            <w:u w:val="single"/>
            <w:rFonts w:ascii="Calibri" w:hAnsi="Calibri"/>
            <w:sz w:val="20"/>
          </w:rPr>
          <w:t>[12] Register and manage an ADK agent</w:t>
        </w:r>
      </w:hyperlink>
      <w:r>
        <w:rPr>
          <w:rFonts w:ascii="Calibri" w:hAnsi="Calibri"/>
          <w:color w:val="667085"/>
          <w:sz w:val="19"/>
        </w:rPr>
        <w:t xml:space="preserve"> — https://docs.cloud.google.com/gemini/enterprise/docs/register-and-manage-an-adk-agent</w:t>
      </w:r>
    </w:p>
    <w:p>
      <w:pPr>
        <w:spacing w:before="0" w:after="120" w:line="264" w:lineRule="auto"/>
      </w:pPr>
      <w:hyperlink r:id="rId22">
        <w:r>
          <w:rPr>
            <w:color w:val="2E74B5"/>
            <w:u w:val="single"/>
            <w:rFonts w:ascii="Calibri" w:hAnsi="Calibri"/>
            <w:sz w:val="20"/>
          </w:rPr>
          <w:t>[13] Gemini Enterprise observability documentation</w:t>
        </w:r>
      </w:hyperlink>
      <w:r>
        <w:rPr>
          <w:rFonts w:ascii="Calibri" w:hAnsi="Calibri"/>
          <w:color w:val="667085"/>
          <w:sz w:val="19"/>
        </w:rPr>
        <w:t xml:space="preserve"> — https://docs.cloud.google.com/gemini/enterprise/docs</w:t>
      </w:r>
    </w:p>
    <w:p>
      <w:pPr>
        <w:spacing w:before="0" w:after="120" w:line="264" w:lineRule="auto"/>
      </w:pPr>
      <w:r>
        <w:rPr>
          <w:rFonts w:ascii="Calibri" w:hAnsi="Calibri"/>
          <w:i/>
          <w:color w:val="667085"/>
          <w:sz w:val="22"/>
        </w:rPr>
        <w:t>Platform functions can change. Tenant entitlement, regional availability, model selection, preview status, and exact workflow behavior must be revalidated before implementation.</w:t>
      </w:r>
    </w:p>
    <w:sectPr w:rsidR="00FC693F" w:rsidRPr="0006063C" w:rsidSect="00034616">
      <w:headerReference w:type="default" r:id="rId20"/>
      <w:footerReference w:type="default" r:id="rId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667085"/>
        <w:sz w:val="18"/>
      </w:rPr>
      <w:t xml:space="preserve">Customer technical assessment  |  Page </w:t>
    </w:r>
    <w:r>
      <w:rPr>
        <w:rFonts w:ascii="Calibri" w:hAnsi="Calibri"/>
        <w:color w:val="667085"/>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667085"/>
        <w:sz w:val="18"/>
      </w:rPr>
      <w:t xml:space="preserve">Customer technical assessment  |  Page </w:t>
    </w:r>
    <w:r>
      <w:rPr>
        <w:rFonts w:ascii="Calibri" w:hAnsi="Calibri"/>
        <w:color w:val="667085"/>
        <w:sz w:val="18"/>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667085"/>
        <w:sz w:val="18"/>
      </w:rPr>
      <w:t xml:space="preserve">Customer technical assessment  |  Page </w:t>
    </w:r>
    <w:r>
      <w:rPr>
        <w:rFonts w:ascii="Calibri" w:hAnsi="Calibri"/>
        <w:color w:val="667085"/>
        <w:sz w:val="18"/>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667085"/>
        <w:sz w:val="18"/>
      </w:rPr>
      <w:t xml:space="preserve">Customer technical assessment  |  Page </w:t>
    </w:r>
    <w:r>
      <w:rPr>
        <w:rFonts w:ascii="Calibri" w:hAnsi="Calibri"/>
        <w:color w:val="667085"/>
        <w:sz w:val="18"/>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color w:val="667085"/>
        <w:sz w:val="18"/>
      </w:rPr>
      <w:t xml:space="preserve">Customer technical assessment  |  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085"/>
        <w:sz w:val="17"/>
      </w:rPr>
      <w:t>Gemini Enterprise Contract Review PoC</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085"/>
        <w:sz w:val="17"/>
      </w:rPr>
      <w:t>Gemini Enterprise Contract Review PoC</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085"/>
        <w:sz w:val="17"/>
      </w:rPr>
      <w:t>Gemini Enterprise Contract Review PoC</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085"/>
        <w:sz w:val="17"/>
      </w:rPr>
      <w:t>Gemini Enterprise Contract Review PoC</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085"/>
        <w:sz w:val="17"/>
      </w:rPr>
      <w:t>Gemini Enterprise Contract Review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lvl>
  </w:abstractNum>
  <w:num w:numId="10">
    <w:abstractNumId w:val="9"/>
  </w:num>
  <w:abstractNum w:abstractNumId="10">
    <w:multiLevelType w:val="singleLevel"/>
    <w:lvl w:ilvl="0">
      <w:start w:val="1"/>
      <w:numFmt w:val="bullet"/>
      <w:lvlText w:val="•"/>
      <w:suff w:val="tab"/>
      <w:pPr>
        <w:tabs>
          <w:tab w:val="num" w:pos="720"/>
        </w:tabs>
        <w:ind w:left="720" w:hanging="360"/>
      </w:pPr>
    </w:lvl>
  </w:abstractNum>
  <w:num w:numId="11">
    <w:abstractNumId w:val="10"/>
  </w:num>
  <w:abstractNum w:abstractNumId="11">
    <w:multiLevelType w:val="singleLevel"/>
    <w:lvl w:ilvl="0">
      <w:start w:val="1"/>
      <w:numFmt w:val="bullet"/>
      <w:lvlText w:val="•"/>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abstractNum w:abstractNumId="13">
    <w:multiLevelType w:val="singleLevel"/>
    <w:lvl w:ilvl="0">
      <w:start w:val="1"/>
      <w:numFmt w:val="bullet"/>
      <w:lvlText w:val="•"/>
      <w:suff w:val="tab"/>
      <w:pPr>
        <w:tabs>
          <w:tab w:val="num" w:pos="720"/>
        </w:tabs>
        <w:ind w:left="720" w:hanging="360"/>
      </w:pPr>
    </w:lvl>
  </w:abstractNum>
  <w:num w:numId="14">
    <w:abstractNumId w:val="13"/>
  </w:num>
  <w:abstractNum w:abstractNumId="14">
    <w:multiLevelType w:val="singleLevel"/>
    <w:lvl w:ilvl="0">
      <w:start w:val="1"/>
      <w:numFmt w:val="decimal"/>
      <w:lvlText w:val="%1."/>
      <w:suff w:val="tab"/>
      <w:pPr>
        <w:tabs>
          <w:tab w:val="num" w:pos="720"/>
        </w:tabs>
        <w:ind w:left="720" w:hanging="360"/>
      </w:pPr>
    </w:lvl>
  </w:abstractNum>
  <w:num w:numId="15">
    <w:abstractNumId w:val="14"/>
  </w:num>
  <w:abstractNum w:abstractNumId="15">
    <w:multiLevelType w:val="singleLevel"/>
    <w:lvl w:ilvl="0">
      <w:start w:val="1"/>
      <w:numFmt w:val="decimal"/>
      <w:lvlText w:val="%1."/>
      <w:suff w:val="tab"/>
      <w:pPr>
        <w:tabs>
          <w:tab w:val="num" w:pos="720"/>
        </w:tabs>
        <w:ind w:left="720" w:hanging="360"/>
      </w:pPr>
    </w:lvl>
  </w:abstractNum>
  <w:num w:numId="16">
    <w:abstractNumId w:val="15"/>
  </w:num>
  <w:abstractNum w:abstractNumId="16">
    <w:multiLevelType w:val="singleLevel"/>
    <w:lvl w:ilvl="0">
      <w:start w:val="1"/>
      <w:numFmt w:val="bullet"/>
      <w:lvlText w:val="•"/>
      <w:suff w:val="tab"/>
      <w:pPr>
        <w:tabs>
          <w:tab w:val="num" w:pos="720"/>
        </w:tabs>
        <w:ind w:left="720" w:hanging="360"/>
      </w:pPr>
    </w:lvl>
  </w:abstractNum>
  <w:num w:numId="17">
    <w:abstractNumId w:val="16"/>
  </w:num>
  <w:abstractNum w:abstractNumId="17">
    <w:multiLevelType w:val="singleLevel"/>
    <w:lvl w:ilvl="0">
      <w:start w:val="1"/>
      <w:numFmt w:val="bullet"/>
      <w:lvlText w:val="•"/>
      <w:suff w:val="tab"/>
      <w:pPr>
        <w:tabs>
          <w:tab w:val="num" w:pos="720"/>
        </w:tabs>
        <w:ind w:left="720" w:hanging="360"/>
      </w:pPr>
    </w:lvl>
  </w:abstractNum>
  <w:num w:numId="18">
    <w:abstractNumId w:val="17"/>
  </w:num>
  <w:abstractNum w:abstractNumId="18">
    <w:multiLevelType w:val="singleLevel"/>
    <w:lvl w:ilvl="0">
      <w:start w:val="1"/>
      <w:numFmt w:val="bullet"/>
      <w:lvlText w:val="•"/>
      <w:suff w:val="tab"/>
      <w:pPr>
        <w:tabs>
          <w:tab w:val="num" w:pos="720"/>
        </w:tabs>
        <w:ind w:left="720" w:hanging="360"/>
      </w:pPr>
    </w:lvl>
  </w:abstractNum>
  <w:num w:numId="19">
    <w:abstractNumId w:val="18"/>
  </w:num>
  <w:abstractNum w:abstractNumId="19">
    <w:multiLevelType w:val="singleLevel"/>
    <w:lvl w:ilvl="0">
      <w:start w:val="1"/>
      <w:numFmt w:val="bullet"/>
      <w:lvlText w:val="•"/>
      <w:suff w:val="tab"/>
      <w:pPr>
        <w:tabs>
          <w:tab w:val="num" w:pos="720"/>
        </w:tabs>
        <w:ind w:left="720" w:hanging="360"/>
      </w:pPr>
    </w:lvl>
  </w:abstractNum>
  <w:num w:numId="20">
    <w:abstractNumId w:val="19"/>
  </w:num>
  <w:abstractNum w:abstractNumId="20">
    <w:multiLevelType w:val="singleLevel"/>
    <w:lvl w:ilvl="0">
      <w:start w:val="1"/>
      <w:numFmt w:val="bullet"/>
      <w:lvlText w:val="•"/>
      <w:suff w:val="tab"/>
      <w:pPr>
        <w:tabs>
          <w:tab w:val="num" w:pos="720"/>
        </w:tabs>
        <w:ind w:left="720" w:hanging="360"/>
      </w:pPr>
    </w:lvl>
  </w:abstractNum>
  <w:num w:numId="21">
    <w:abstractNumId w:val="20"/>
  </w:num>
  <w:abstractNum w:abstractNumId="21">
    <w:multiLevelType w:val="singleLevel"/>
    <w:lvl w:ilvl="0">
      <w:start w:val="1"/>
      <w:numFmt w:val="bullet"/>
      <w:lvlText w:val="•"/>
      <w:suff w:val="tab"/>
      <w:pPr>
        <w:tabs>
          <w:tab w:val="num" w:pos="720"/>
        </w:tabs>
        <w:ind w:left="720" w:hanging="360"/>
      </w:pPr>
    </w:lvl>
  </w:abstractNum>
  <w:num w:numId="22">
    <w:abstractNumId w:val="21"/>
  </w:num>
  <w:abstractNum w:abstractNumId="22">
    <w:multiLevelType w:val="singleLevel"/>
    <w:lvl w:ilvl="0">
      <w:start w:val="1"/>
      <w:numFmt w:val="bullet"/>
      <w:lvlText w:val="•"/>
      <w:suff w:val="tab"/>
      <w:pPr>
        <w:tabs>
          <w:tab w:val="num" w:pos="720"/>
        </w:tabs>
        <w:ind w:left="720" w:hanging="360"/>
      </w:pPr>
    </w:lvl>
  </w:abstract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yperlink" Target="https://docs.cloud.google.com/gemini/enterprise/docs" TargetMode="External"/><Relationship Id="rId23" Type="http://schemas.openxmlformats.org/officeDocument/2006/relationships/hyperlink" Target="https://docs.cloud.google.com/gemini/enterprise/docs/assistant-chat" TargetMode="External"/><Relationship Id="rId24" Type="http://schemas.openxmlformats.org/officeDocument/2006/relationships/hyperlink" Target="https://docs.cloud.google.com/gemini/enterprise/docs/agent-designer" TargetMode="External"/><Relationship Id="rId25" Type="http://schemas.openxmlformats.org/officeDocument/2006/relationships/hyperlink" Target="https://docs.cloud.google.com/gemini/enterprise/docs/agent-designer/create-agent" TargetMode="External"/><Relationship Id="rId26" Type="http://schemas.openxmlformats.org/officeDocument/2006/relationships/hyperlink" Target="https://docs.cloud.google.com/gemini/enterprise/docs/apps-data-stores" TargetMode="External"/><Relationship Id="rId27" Type="http://schemas.openxmlformats.org/officeDocument/2006/relationships/hyperlink" Target="https://docs.cloud.google.com/gemini/enterprise/docs/connectors/connect-cloud-storage" TargetMode="External"/><Relationship Id="rId28" Type="http://schemas.openxmlformats.org/officeDocument/2006/relationships/hyperlink" Target="https://docs.cloud.google.com/gemini/enterprise/docs/parse-chunk-documents" TargetMode="External"/><Relationship Id="rId29" Type="http://schemas.openxmlformats.org/officeDocument/2006/relationships/hyperlink" Target="https://docs.cloud.google.com/gemini/enterprise/docs/assistant-analyze" TargetMode="External"/><Relationship Id="rId30" Type="http://schemas.openxmlformats.org/officeDocument/2006/relationships/hyperlink" Target="https://docs.cloud.google.com/gemini/enterprise/docs/assistant-canvas" TargetMode="External"/><Relationship Id="rId31" Type="http://schemas.openxmlformats.org/officeDocument/2006/relationships/hyperlink" Target="https://docs.cloud.google.com/gemini/enterprise/docs/manage-web-app-features" TargetMode="External"/><Relationship Id="rId32" Type="http://schemas.openxmlformats.org/officeDocument/2006/relationships/hyperlink" Target="https://docs.cloud.google.com/gemini/enterprise/docs/release-notes" TargetMode="External"/><Relationship Id="rId33" Type="http://schemas.openxmlformats.org/officeDocument/2006/relationships/hyperlink" Target="https://docs.cloud.google.com/gemini/enterprise/docs/register-and-manage-an-adk-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Gemini Enterprise Contract Review PoC - Consolidated Technical Assessment</dc:title>
  <dc:subject>Feasibility, architecture, risk, evaluation, and implementation roadmap</dc:subject>
  <dc:creator/>
  <cp:keywords>Gemini Enterprise, contract review, procurement, PoC, architecture</cp:keywords>
  <dc:description>generated by python-docx</dc:description>
  <cp:lastModifiedBy/>
  <cp:revision>1</cp:revision>
  <dcterms:created xsi:type="dcterms:W3CDTF">2013-12-23T23:15:00Z</dcterms:created>
  <dcterms:modified xsi:type="dcterms:W3CDTF">2013-12-23T23:15:00Z</dcterms:modified>
  <cp:category/>
</cp:coreProperties>
</file>