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784" w:rsidRPr="00BE562F" w:rsidRDefault="00B016C4" w:rsidP="006128C4">
      <w:pPr>
        <w:spacing w:line="240" w:lineRule="auto"/>
        <w:jc w:val="center"/>
        <w:rPr>
          <w:rFonts w:ascii="Arial" w:hAnsi="Arial" w:cs="Arial"/>
          <w:b/>
        </w:rPr>
      </w:pPr>
      <w:bookmarkStart w:id="0" w:name="_GoBack"/>
      <w:bookmarkEnd w:id="0"/>
      <w:r>
        <w:rPr>
          <w:rFonts w:ascii="Arial" w:hAnsi="Arial" w:cs="Arial"/>
          <w:b/>
        </w:rPr>
        <w:t>TERMS OF REFERENCE FOR INTERIM ACCREDITATION AUDITS</w:t>
      </w:r>
      <w:r w:rsidRPr="00BE562F">
        <w:rPr>
          <w:rFonts w:ascii="Arial" w:hAnsi="Arial" w:cs="Arial"/>
          <w:b/>
        </w:rPr>
        <w:t xml:space="preserve"> OF INTEGRATING AUTHORITIES</w:t>
      </w:r>
    </w:p>
    <w:p w:rsidR="006128C4" w:rsidRPr="00B016C4" w:rsidRDefault="006128C4" w:rsidP="006128C4">
      <w:pPr>
        <w:pStyle w:val="ListParagraph"/>
        <w:keepNext/>
        <w:numPr>
          <w:ilvl w:val="0"/>
          <w:numId w:val="28"/>
        </w:numPr>
        <w:pBdr>
          <w:bottom w:val="single" w:sz="4" w:space="1" w:color="auto"/>
        </w:pBdr>
        <w:spacing w:before="240" w:after="240"/>
        <w:outlineLvl w:val="1"/>
        <w:rPr>
          <w:rFonts w:ascii="Arial Bold" w:eastAsia="Times New Roman" w:hAnsi="Arial Bold"/>
          <w:b/>
          <w:snapToGrid w:val="0"/>
        </w:rPr>
      </w:pPr>
      <w:r>
        <w:rPr>
          <w:rFonts w:ascii="Arial Bold" w:eastAsia="Times New Roman" w:hAnsi="Arial Bold"/>
          <w:b/>
          <w:snapToGrid w:val="0"/>
        </w:rPr>
        <w:t>Background</w:t>
      </w:r>
    </w:p>
    <w:p w:rsidR="00744FDD" w:rsidRPr="00744FDD" w:rsidRDefault="00744FDD" w:rsidP="00744FDD">
      <w:pPr>
        <w:pStyle w:val="ListParagraph"/>
        <w:spacing w:line="240" w:lineRule="auto"/>
        <w:rPr>
          <w:rFonts w:ascii="Arial" w:hAnsi="Arial" w:cs="Arial"/>
          <w:b/>
        </w:rPr>
      </w:pPr>
    </w:p>
    <w:p w:rsidR="00744FDD" w:rsidRPr="0050549A" w:rsidRDefault="00241F8E" w:rsidP="0050549A">
      <w:pPr>
        <w:pStyle w:val="ListParagraph"/>
        <w:numPr>
          <w:ilvl w:val="1"/>
          <w:numId w:val="28"/>
        </w:numPr>
        <w:rPr>
          <w:rFonts w:ascii="Arial" w:hAnsi="Arial" w:cs="Arial"/>
        </w:rPr>
      </w:pPr>
      <w:r w:rsidRPr="00241F8E">
        <w:rPr>
          <w:rFonts w:ascii="Helv" w:hAnsi="Helv" w:cs="Helv"/>
          <w:color w:val="000000"/>
        </w:rPr>
        <w:t xml:space="preserve">In October 2010, </w:t>
      </w:r>
      <w:r w:rsidR="00163F06">
        <w:rPr>
          <w:rFonts w:ascii="Helv" w:hAnsi="Helv" w:cs="Helv"/>
          <w:color w:val="000000"/>
        </w:rPr>
        <w:t xml:space="preserve">Commonwealth </w:t>
      </w:r>
      <w:r w:rsidRPr="00241F8E">
        <w:rPr>
          <w:rFonts w:ascii="Helv" w:hAnsi="Helv" w:cs="Helv"/>
          <w:color w:val="000000"/>
        </w:rPr>
        <w:t xml:space="preserve">Portfolio Secretaries endorsed a set of </w:t>
      </w:r>
      <w:hyperlink r:id="rId8" w:history="1">
        <w:r w:rsidRPr="00966488">
          <w:rPr>
            <w:rStyle w:val="Hyperlink"/>
            <w:rFonts w:ascii="Helv" w:hAnsi="Helv" w:cs="Helv"/>
          </w:rPr>
          <w:t>governance and institutional arrangements</w:t>
        </w:r>
      </w:hyperlink>
      <w:r w:rsidRPr="00241F8E">
        <w:rPr>
          <w:rFonts w:ascii="Helv" w:hAnsi="Helv" w:cs="Helv"/>
          <w:color w:val="000000"/>
        </w:rPr>
        <w:t xml:space="preserve"> for the safe and effective use of Commonwealth data in data integration projects for statistical and research purposes.</w:t>
      </w:r>
      <w:r w:rsidR="002F2E19">
        <w:rPr>
          <w:rFonts w:ascii="Helv" w:hAnsi="Helv" w:cs="Helv"/>
          <w:color w:val="000000"/>
        </w:rPr>
        <w:t xml:space="preserve"> </w:t>
      </w:r>
      <w:r w:rsidRPr="00241F8E">
        <w:rPr>
          <w:rFonts w:ascii="Helv" w:hAnsi="Helv" w:cs="Helv"/>
          <w:color w:val="000000"/>
        </w:rPr>
        <w:t xml:space="preserve">The </w:t>
      </w:r>
      <w:r w:rsidRPr="00966488">
        <w:rPr>
          <w:rFonts w:ascii="Helv" w:hAnsi="Helv" w:cs="Helv"/>
          <w:color w:val="000000"/>
        </w:rPr>
        <w:t>governance and institutional arrangements</w:t>
      </w:r>
      <w:r w:rsidRPr="00241F8E">
        <w:rPr>
          <w:rFonts w:ascii="Helv" w:hAnsi="Helv" w:cs="Helv"/>
          <w:color w:val="000000"/>
        </w:rPr>
        <w:t xml:space="preserve"> aim to ensure that data integration involving Commonwealth data is done safely (e.g. the personal information of people and business is kept confidential) and effectively (e.g. as much existing data is used for statistical and research purposes that benefit</w:t>
      </w:r>
      <w:r w:rsidR="002F2E19">
        <w:rPr>
          <w:rFonts w:ascii="Helv" w:hAnsi="Helv" w:cs="Helv"/>
          <w:color w:val="000000"/>
        </w:rPr>
        <w:t xml:space="preserve">s the public, as possible). </w:t>
      </w:r>
      <w:r w:rsidRPr="00241F8E">
        <w:rPr>
          <w:rFonts w:ascii="Helv" w:hAnsi="Helv" w:cs="Helv"/>
          <w:color w:val="000000"/>
        </w:rPr>
        <w:t xml:space="preserve">These arrangements require that authorised </w:t>
      </w:r>
      <w:r w:rsidR="003223F6">
        <w:rPr>
          <w:rFonts w:ascii="Helv" w:hAnsi="Helv" w:cs="Helv"/>
          <w:color w:val="000000"/>
        </w:rPr>
        <w:t>integrating a</w:t>
      </w:r>
      <w:r w:rsidRPr="00241F8E">
        <w:rPr>
          <w:rFonts w:ascii="Helv" w:hAnsi="Helv" w:cs="Helv"/>
          <w:color w:val="000000"/>
        </w:rPr>
        <w:t>uthorities are accredited to undertake ‘high risk’ projects.</w:t>
      </w:r>
      <w:r w:rsidR="0050549A">
        <w:rPr>
          <w:rFonts w:ascii="Helv" w:hAnsi="Helv" w:cs="Helv"/>
          <w:color w:val="000000"/>
        </w:rPr>
        <w:t xml:space="preserve"> For information about how data custodians determine the project risk rating please see the document “</w:t>
      </w:r>
      <w:hyperlink r:id="rId9" w:history="1">
        <w:r w:rsidR="0050549A" w:rsidRPr="0050549A">
          <w:rPr>
            <w:rStyle w:val="Hyperlink"/>
            <w:rFonts w:ascii="Helv" w:hAnsi="Helv" w:cs="Helv"/>
          </w:rPr>
          <w:t>Commonwealth data integration projects – how to determine risk leve</w:t>
        </w:r>
      </w:hyperlink>
      <w:r w:rsidR="0050549A">
        <w:rPr>
          <w:rFonts w:ascii="Helv" w:hAnsi="Helv" w:cs="Helv"/>
          <w:color w:val="000000"/>
        </w:rPr>
        <w:t>l” on the National Statistical Service website</w:t>
      </w:r>
      <w:r w:rsidR="00242D01" w:rsidRPr="00D51173">
        <w:rPr>
          <w:rFonts w:ascii="Helv" w:hAnsi="Helv" w:cs="Helv"/>
          <w:color w:val="000000"/>
        </w:rPr>
        <w:t>.</w:t>
      </w:r>
    </w:p>
    <w:p w:rsidR="00744FDD" w:rsidRPr="00744FDD" w:rsidRDefault="00241F8E" w:rsidP="00744FDD">
      <w:pPr>
        <w:pStyle w:val="ListParagraph"/>
        <w:numPr>
          <w:ilvl w:val="1"/>
          <w:numId w:val="28"/>
        </w:numPr>
        <w:rPr>
          <w:rFonts w:ascii="Helv" w:hAnsi="Helv" w:cs="Helv"/>
          <w:color w:val="000000"/>
        </w:rPr>
      </w:pPr>
      <w:r w:rsidRPr="00241F8E">
        <w:rPr>
          <w:rFonts w:ascii="Arial" w:hAnsi="Arial" w:cs="Arial"/>
        </w:rPr>
        <w:t xml:space="preserve">The </w:t>
      </w:r>
      <w:r w:rsidR="002B3790">
        <w:rPr>
          <w:rFonts w:ascii="Arial" w:hAnsi="Arial" w:cs="Arial"/>
        </w:rPr>
        <w:t>interim accreditation</w:t>
      </w:r>
      <w:r w:rsidRPr="00241F8E">
        <w:rPr>
          <w:rFonts w:ascii="Arial" w:hAnsi="Arial" w:cs="Arial"/>
        </w:rPr>
        <w:t xml:space="preserve"> process for</w:t>
      </w:r>
      <w:r w:rsidR="009F53EB">
        <w:rPr>
          <w:rFonts w:ascii="Arial" w:hAnsi="Arial" w:cs="Arial"/>
        </w:rPr>
        <w:t xml:space="preserve"> integrating authorities</w:t>
      </w:r>
      <w:r w:rsidRPr="00241F8E">
        <w:rPr>
          <w:rFonts w:ascii="Arial" w:hAnsi="Arial" w:cs="Arial"/>
        </w:rPr>
        <w:t xml:space="preserve"> requires an independent </w:t>
      </w:r>
      <w:r w:rsidRPr="00241F8E">
        <w:rPr>
          <w:rFonts w:ascii="Arial" w:hAnsi="Arial" w:cs="Arial"/>
          <w:b/>
          <w:bCs/>
        </w:rPr>
        <w:t>audit</w:t>
      </w:r>
      <w:r w:rsidR="00EB1639">
        <w:rPr>
          <w:rFonts w:ascii="Arial" w:hAnsi="Arial" w:cs="Arial"/>
        </w:rPr>
        <w:t xml:space="preserve"> as one of the steps. </w:t>
      </w:r>
      <w:r w:rsidRPr="00241F8E">
        <w:rPr>
          <w:rFonts w:ascii="Arial" w:hAnsi="Arial" w:cs="Arial"/>
        </w:rPr>
        <w:t xml:space="preserve">The steps in the </w:t>
      </w:r>
      <w:r w:rsidR="002B3790">
        <w:rPr>
          <w:rFonts w:ascii="Arial" w:hAnsi="Arial" w:cs="Arial"/>
        </w:rPr>
        <w:t>interim accreditation</w:t>
      </w:r>
      <w:r w:rsidRPr="00241F8E">
        <w:rPr>
          <w:rFonts w:ascii="Arial" w:hAnsi="Arial" w:cs="Arial"/>
        </w:rPr>
        <w:t xml:space="preserve"> process are: self-assessment; audit; decision; and publication</w:t>
      </w:r>
      <w:r>
        <w:rPr>
          <w:rFonts w:ascii="Arial" w:hAnsi="Arial" w:cs="Arial"/>
        </w:rPr>
        <w:t xml:space="preserve"> of list of accredited agencies</w:t>
      </w:r>
      <w:r w:rsidR="00AC087C" w:rsidRPr="00744FDD">
        <w:rPr>
          <w:rFonts w:ascii="Arial" w:hAnsi="Arial" w:cs="Arial"/>
        </w:rPr>
        <w:t xml:space="preserve">. </w:t>
      </w:r>
    </w:p>
    <w:p w:rsidR="00744FDD" w:rsidRPr="00744FDD" w:rsidRDefault="00241F8E" w:rsidP="00744FDD">
      <w:pPr>
        <w:pStyle w:val="ListParagraph"/>
        <w:numPr>
          <w:ilvl w:val="1"/>
          <w:numId w:val="28"/>
        </w:numPr>
        <w:spacing w:after="0"/>
        <w:rPr>
          <w:rFonts w:ascii="Arial" w:hAnsi="Arial" w:cs="Arial"/>
        </w:rPr>
      </w:pPr>
      <w:r w:rsidRPr="00241F8E">
        <w:rPr>
          <w:rFonts w:ascii="Helv" w:hAnsi="Helv" w:cs="Helv"/>
          <w:color w:val="000000"/>
        </w:rPr>
        <w:t>A Cross Portfolio Data Integration Oversight Board, chaired by the Australian Sta</w:t>
      </w:r>
      <w:r w:rsidR="00EB1639">
        <w:rPr>
          <w:rFonts w:ascii="Helv" w:hAnsi="Helv" w:cs="Helv"/>
          <w:color w:val="000000"/>
        </w:rPr>
        <w:t>tistician</w:t>
      </w:r>
      <w:r w:rsidR="00163F06">
        <w:rPr>
          <w:rFonts w:ascii="Helv" w:hAnsi="Helv" w:cs="Helv"/>
          <w:color w:val="000000"/>
        </w:rPr>
        <w:t>, has been established</w:t>
      </w:r>
      <w:r w:rsidR="00EB1639">
        <w:rPr>
          <w:rFonts w:ascii="Helv" w:hAnsi="Helv" w:cs="Helv"/>
          <w:color w:val="000000"/>
        </w:rPr>
        <w:t xml:space="preserve"> </w:t>
      </w:r>
      <w:r w:rsidRPr="00241F8E">
        <w:rPr>
          <w:rFonts w:ascii="Helv" w:hAnsi="Helv" w:cs="Helv"/>
          <w:color w:val="000000"/>
        </w:rPr>
        <w:t>with membership of three Portfolio Secretaries</w:t>
      </w:r>
      <w:r w:rsidR="00163F06">
        <w:rPr>
          <w:rFonts w:ascii="Helv" w:hAnsi="Helv" w:cs="Helv"/>
          <w:color w:val="000000"/>
        </w:rPr>
        <w:t>:</w:t>
      </w:r>
      <w:r w:rsidRPr="00241F8E">
        <w:rPr>
          <w:rFonts w:ascii="Helv" w:hAnsi="Helv" w:cs="Helv"/>
          <w:color w:val="000000"/>
        </w:rPr>
        <w:t xml:space="preserve"> </w:t>
      </w:r>
      <w:r w:rsidR="00163F06">
        <w:rPr>
          <w:rFonts w:ascii="Helv" w:hAnsi="Helv" w:cs="Helv"/>
          <w:color w:val="000000"/>
        </w:rPr>
        <w:t xml:space="preserve"> Health;</w:t>
      </w:r>
      <w:r w:rsidRPr="00241F8E">
        <w:rPr>
          <w:rFonts w:ascii="Helv" w:hAnsi="Helv" w:cs="Helv"/>
          <w:color w:val="000000"/>
        </w:rPr>
        <w:t xml:space="preserve"> Human Services</w:t>
      </w:r>
      <w:r w:rsidR="00163F06">
        <w:rPr>
          <w:rFonts w:ascii="Helv" w:hAnsi="Helv" w:cs="Helv"/>
          <w:color w:val="000000"/>
        </w:rPr>
        <w:t>;</w:t>
      </w:r>
      <w:r w:rsidRPr="00241F8E">
        <w:rPr>
          <w:rFonts w:ascii="Helv" w:hAnsi="Helv" w:cs="Helv"/>
          <w:color w:val="000000"/>
        </w:rPr>
        <w:t xml:space="preserve"> and </w:t>
      </w:r>
      <w:r w:rsidR="009F53EB">
        <w:rPr>
          <w:rFonts w:ascii="Helv" w:hAnsi="Helv" w:cs="Helv"/>
          <w:color w:val="000000"/>
        </w:rPr>
        <w:t>Social Services</w:t>
      </w:r>
      <w:r w:rsidRPr="00241F8E">
        <w:rPr>
          <w:rFonts w:ascii="Helv" w:hAnsi="Helv" w:cs="Helv"/>
          <w:color w:val="000000"/>
        </w:rPr>
        <w:t>.</w:t>
      </w:r>
    </w:p>
    <w:p w:rsidR="00744FDD" w:rsidRDefault="00241F8E" w:rsidP="00744FDD">
      <w:pPr>
        <w:pStyle w:val="ListParagraph"/>
        <w:numPr>
          <w:ilvl w:val="1"/>
          <w:numId w:val="28"/>
        </w:numPr>
        <w:spacing w:after="0"/>
        <w:rPr>
          <w:rFonts w:ascii="Arial" w:hAnsi="Arial" w:cs="Arial"/>
        </w:rPr>
      </w:pPr>
      <w:r w:rsidRPr="00241F8E">
        <w:rPr>
          <w:rFonts w:ascii="Arial" w:hAnsi="Arial" w:cs="Arial"/>
        </w:rPr>
        <w:t xml:space="preserve">A Secretariat (the Cross Portfolio Data Integration Secretariat), housed in the Australian Bureau of Statistics, is coordinating the </w:t>
      </w:r>
      <w:r w:rsidR="002B3790">
        <w:rPr>
          <w:rFonts w:ascii="Arial" w:hAnsi="Arial" w:cs="Arial"/>
        </w:rPr>
        <w:t>interim accreditation</w:t>
      </w:r>
      <w:r w:rsidRPr="00241F8E">
        <w:rPr>
          <w:rFonts w:ascii="Arial" w:hAnsi="Arial" w:cs="Arial"/>
        </w:rPr>
        <w:t xml:space="preserve"> process.</w:t>
      </w:r>
      <w:r w:rsidR="00063F8E" w:rsidRPr="00744FDD">
        <w:rPr>
          <w:rFonts w:ascii="Arial" w:hAnsi="Arial" w:cs="Arial"/>
        </w:rPr>
        <w:t xml:space="preserve"> </w:t>
      </w:r>
    </w:p>
    <w:p w:rsidR="00063F8E" w:rsidRPr="00744FDD" w:rsidRDefault="00063F8E" w:rsidP="00744FDD">
      <w:pPr>
        <w:pStyle w:val="ListParagraph"/>
        <w:numPr>
          <w:ilvl w:val="1"/>
          <w:numId w:val="28"/>
        </w:numPr>
        <w:spacing w:after="0"/>
        <w:rPr>
          <w:rFonts w:ascii="Arial" w:hAnsi="Arial" w:cs="Arial"/>
        </w:rPr>
      </w:pPr>
      <w:r w:rsidRPr="00744FDD">
        <w:rPr>
          <w:rFonts w:ascii="Arial" w:hAnsi="Arial" w:cs="Arial"/>
        </w:rPr>
        <w:t xml:space="preserve">There are eight criteria  </w:t>
      </w:r>
      <w:r w:rsidR="00DB68F0">
        <w:rPr>
          <w:rFonts w:ascii="Arial" w:hAnsi="Arial" w:cs="Arial"/>
        </w:rPr>
        <w:t xml:space="preserve">integrating authorities </w:t>
      </w:r>
      <w:r w:rsidRPr="00744FDD">
        <w:rPr>
          <w:rFonts w:ascii="Arial" w:hAnsi="Arial" w:cs="Arial"/>
        </w:rPr>
        <w:t xml:space="preserve">must meet to gain </w:t>
      </w:r>
      <w:r w:rsidR="002B3790">
        <w:rPr>
          <w:rFonts w:ascii="Arial" w:hAnsi="Arial" w:cs="Arial"/>
        </w:rPr>
        <w:t>interim accreditation</w:t>
      </w:r>
      <w:r w:rsidRPr="00744FDD">
        <w:rPr>
          <w:rFonts w:ascii="Arial" w:hAnsi="Arial" w:cs="Arial"/>
        </w:rPr>
        <w:t>:</w:t>
      </w:r>
    </w:p>
    <w:p w:rsidR="00063F8E" w:rsidRPr="00063F8E" w:rsidRDefault="00063F8E" w:rsidP="00F05F13">
      <w:pPr>
        <w:numPr>
          <w:ilvl w:val="0"/>
          <w:numId w:val="6"/>
        </w:numPr>
        <w:spacing w:before="240" w:after="0"/>
        <w:contextualSpacing/>
        <w:rPr>
          <w:rFonts w:ascii="Arial" w:hAnsi="Arial" w:cs="Arial"/>
        </w:rPr>
      </w:pPr>
      <w:r w:rsidRPr="00063F8E">
        <w:rPr>
          <w:rFonts w:ascii="Arial" w:hAnsi="Arial" w:cs="Arial"/>
        </w:rPr>
        <w:t xml:space="preserve">ability to ensure secure data management; </w:t>
      </w:r>
    </w:p>
    <w:p w:rsidR="00063F8E" w:rsidRPr="00063F8E" w:rsidRDefault="009F53EB" w:rsidP="006033E7">
      <w:pPr>
        <w:numPr>
          <w:ilvl w:val="0"/>
          <w:numId w:val="6"/>
        </w:numPr>
        <w:spacing w:after="0"/>
        <w:contextualSpacing/>
        <w:rPr>
          <w:rFonts w:ascii="Arial" w:hAnsi="Arial" w:cs="Arial"/>
        </w:rPr>
      </w:pPr>
      <w:r>
        <w:rPr>
          <w:rFonts w:ascii="Arial" w:hAnsi="Arial" w:cs="Arial"/>
        </w:rPr>
        <w:t xml:space="preserve"> Integrating authorities</w:t>
      </w:r>
      <w:r w:rsidR="00163F06">
        <w:rPr>
          <w:rFonts w:ascii="Arial" w:hAnsi="Arial" w:cs="Arial"/>
        </w:rPr>
        <w:t xml:space="preserve"> must </w:t>
      </w:r>
      <w:r w:rsidR="00063F8E" w:rsidRPr="00063F8E">
        <w:rPr>
          <w:rFonts w:ascii="Arial" w:hAnsi="Arial" w:cs="Arial"/>
        </w:rPr>
        <w:t>demonstrate that information that is likely to enable identification of individuals or organisations is not disclosed to external users;</w:t>
      </w:r>
    </w:p>
    <w:p w:rsidR="00063F8E" w:rsidRPr="00063F8E" w:rsidRDefault="00063F8E" w:rsidP="006033E7">
      <w:pPr>
        <w:numPr>
          <w:ilvl w:val="0"/>
          <w:numId w:val="6"/>
        </w:numPr>
        <w:spacing w:after="0"/>
        <w:contextualSpacing/>
        <w:rPr>
          <w:rFonts w:ascii="Arial" w:hAnsi="Arial" w:cs="Arial"/>
        </w:rPr>
      </w:pPr>
      <w:r w:rsidRPr="00063F8E">
        <w:rPr>
          <w:rFonts w:ascii="Arial" w:hAnsi="Arial" w:cs="Arial"/>
        </w:rPr>
        <w:t>availability of appropriate skills;</w:t>
      </w:r>
    </w:p>
    <w:p w:rsidR="00063F8E" w:rsidRPr="00063F8E" w:rsidRDefault="00063F8E" w:rsidP="006033E7">
      <w:pPr>
        <w:numPr>
          <w:ilvl w:val="0"/>
          <w:numId w:val="6"/>
        </w:numPr>
        <w:spacing w:after="0"/>
        <w:contextualSpacing/>
        <w:rPr>
          <w:rFonts w:ascii="Arial" w:hAnsi="Arial" w:cs="Arial"/>
        </w:rPr>
      </w:pPr>
      <w:r w:rsidRPr="00063F8E">
        <w:rPr>
          <w:rFonts w:ascii="Arial" w:hAnsi="Arial" w:cs="Arial"/>
        </w:rPr>
        <w:t>appropriate technical capability;</w:t>
      </w:r>
    </w:p>
    <w:p w:rsidR="00063F8E" w:rsidRPr="00063F8E" w:rsidRDefault="00063F8E" w:rsidP="006033E7">
      <w:pPr>
        <w:numPr>
          <w:ilvl w:val="0"/>
          <w:numId w:val="6"/>
        </w:numPr>
        <w:spacing w:after="0"/>
        <w:contextualSpacing/>
        <w:rPr>
          <w:rFonts w:ascii="Arial" w:hAnsi="Arial" w:cs="Arial"/>
        </w:rPr>
      </w:pPr>
      <w:r w:rsidRPr="00063F8E">
        <w:rPr>
          <w:rFonts w:ascii="Arial" w:hAnsi="Arial" w:cs="Arial"/>
        </w:rPr>
        <w:t>lack of conflict of interest;</w:t>
      </w:r>
    </w:p>
    <w:p w:rsidR="00063F8E" w:rsidRPr="00063F8E" w:rsidRDefault="00063F8E" w:rsidP="006033E7">
      <w:pPr>
        <w:numPr>
          <w:ilvl w:val="0"/>
          <w:numId w:val="6"/>
        </w:numPr>
        <w:spacing w:after="0"/>
        <w:contextualSpacing/>
        <w:rPr>
          <w:rFonts w:ascii="Arial" w:hAnsi="Arial" w:cs="Arial"/>
        </w:rPr>
      </w:pPr>
      <w:r w:rsidRPr="00063F8E">
        <w:rPr>
          <w:rFonts w:ascii="Arial" w:hAnsi="Arial" w:cs="Arial"/>
        </w:rPr>
        <w:t>culture and values that ensure protection of confidential information and support the use of data as a strategic resource;</w:t>
      </w:r>
    </w:p>
    <w:p w:rsidR="00063F8E" w:rsidRPr="00063F8E" w:rsidRDefault="00063F8E" w:rsidP="006033E7">
      <w:pPr>
        <w:numPr>
          <w:ilvl w:val="0"/>
          <w:numId w:val="6"/>
        </w:numPr>
        <w:spacing w:after="0"/>
        <w:contextualSpacing/>
        <w:rPr>
          <w:rFonts w:ascii="Arial" w:hAnsi="Arial" w:cs="Arial"/>
        </w:rPr>
      </w:pPr>
      <w:r w:rsidRPr="00063F8E">
        <w:rPr>
          <w:rFonts w:ascii="Arial" w:hAnsi="Arial" w:cs="Arial"/>
        </w:rPr>
        <w:t>transparency of operation; and</w:t>
      </w:r>
    </w:p>
    <w:p w:rsidR="00063F8E" w:rsidRDefault="00063F8E" w:rsidP="006033E7">
      <w:pPr>
        <w:numPr>
          <w:ilvl w:val="0"/>
          <w:numId w:val="6"/>
        </w:numPr>
        <w:spacing w:after="0"/>
        <w:contextualSpacing/>
        <w:rPr>
          <w:rFonts w:ascii="Arial" w:hAnsi="Arial" w:cs="Arial"/>
        </w:rPr>
      </w:pPr>
      <w:r w:rsidRPr="00063F8E">
        <w:rPr>
          <w:rFonts w:ascii="Arial" w:hAnsi="Arial" w:cs="Arial"/>
        </w:rPr>
        <w:t>appropriate governance and administrative framework.</w:t>
      </w:r>
    </w:p>
    <w:p w:rsidR="00744FDD" w:rsidRDefault="00744FDD" w:rsidP="00744FDD">
      <w:pPr>
        <w:spacing w:after="0" w:line="240" w:lineRule="auto"/>
        <w:ind w:left="1440"/>
        <w:contextualSpacing/>
        <w:rPr>
          <w:rFonts w:ascii="Arial" w:hAnsi="Arial" w:cs="Arial"/>
        </w:rPr>
      </w:pPr>
    </w:p>
    <w:p w:rsidR="00744FDD" w:rsidRPr="00A11727" w:rsidRDefault="00744FDD" w:rsidP="00A11727">
      <w:pPr>
        <w:spacing w:after="0" w:line="240" w:lineRule="auto"/>
        <w:ind w:firstLine="360"/>
        <w:contextualSpacing/>
        <w:rPr>
          <w:rFonts w:ascii="Arial" w:hAnsi="Arial" w:cs="Arial"/>
        </w:rPr>
      </w:pPr>
      <w:r w:rsidRPr="00A11727">
        <w:rPr>
          <w:rFonts w:ascii="Arial" w:hAnsi="Arial" w:cs="Arial"/>
        </w:rPr>
        <w:t>See Appe</w:t>
      </w:r>
      <w:r w:rsidR="00260D4D" w:rsidRPr="00A11727">
        <w:rPr>
          <w:rFonts w:ascii="Arial" w:hAnsi="Arial" w:cs="Arial"/>
        </w:rPr>
        <w:t xml:space="preserve">ndix </w:t>
      </w:r>
      <w:r w:rsidR="00DB68F0">
        <w:rPr>
          <w:rFonts w:ascii="Arial" w:hAnsi="Arial" w:cs="Arial"/>
        </w:rPr>
        <w:t>2</w:t>
      </w:r>
      <w:r w:rsidR="00966488" w:rsidRPr="00A11727">
        <w:rPr>
          <w:rFonts w:ascii="Arial" w:hAnsi="Arial" w:cs="Arial"/>
        </w:rPr>
        <w:t xml:space="preserve"> for full details of what </w:t>
      </w:r>
      <w:r w:rsidRPr="00A11727">
        <w:rPr>
          <w:rFonts w:ascii="Arial" w:hAnsi="Arial" w:cs="Arial"/>
        </w:rPr>
        <w:t>each criterion means.</w:t>
      </w:r>
    </w:p>
    <w:p w:rsidR="00CF438A" w:rsidRPr="00CF438A" w:rsidRDefault="00CF438A" w:rsidP="00CF438A">
      <w:pPr>
        <w:pStyle w:val="ListParagraph"/>
        <w:keepNext/>
        <w:numPr>
          <w:ilvl w:val="0"/>
          <w:numId w:val="28"/>
        </w:numPr>
        <w:pBdr>
          <w:bottom w:val="single" w:sz="4" w:space="1" w:color="auto"/>
        </w:pBdr>
        <w:spacing w:before="240" w:after="240"/>
        <w:outlineLvl w:val="1"/>
        <w:rPr>
          <w:rFonts w:ascii="Arial Bold" w:eastAsia="Times New Roman" w:hAnsi="Arial Bold"/>
          <w:b/>
          <w:snapToGrid w:val="0"/>
        </w:rPr>
      </w:pPr>
      <w:r>
        <w:rPr>
          <w:rFonts w:ascii="Arial Bold" w:eastAsia="Times New Roman" w:hAnsi="Arial Bold"/>
          <w:b/>
          <w:snapToGrid w:val="0"/>
        </w:rPr>
        <w:t>Purpose</w:t>
      </w:r>
    </w:p>
    <w:p w:rsidR="00CF438A" w:rsidRPr="00B779B5" w:rsidRDefault="00CF438A" w:rsidP="00CF438A">
      <w:pPr>
        <w:pStyle w:val="ListParagraph"/>
        <w:spacing w:line="240" w:lineRule="auto"/>
        <w:rPr>
          <w:rFonts w:ascii="Arial" w:hAnsi="Arial" w:cs="Arial"/>
          <w:b/>
        </w:rPr>
      </w:pPr>
    </w:p>
    <w:p w:rsidR="00CF438A" w:rsidRPr="00A11727" w:rsidRDefault="00CF438A" w:rsidP="00CF438A">
      <w:pPr>
        <w:pStyle w:val="ListParagraph"/>
        <w:numPr>
          <w:ilvl w:val="1"/>
          <w:numId w:val="28"/>
        </w:numPr>
        <w:spacing w:before="240" w:after="120"/>
        <w:ind w:left="1077"/>
        <w:rPr>
          <w:rFonts w:ascii="Arial" w:hAnsi="Arial" w:cs="Arial"/>
        </w:rPr>
      </w:pPr>
      <w:r w:rsidRPr="00744FDD">
        <w:rPr>
          <w:rFonts w:ascii="Arial" w:hAnsi="Arial" w:cs="Arial"/>
        </w:rPr>
        <w:t xml:space="preserve">The audit services </w:t>
      </w:r>
      <w:r w:rsidR="00EB1639">
        <w:rPr>
          <w:rFonts w:ascii="Arial" w:hAnsi="Arial" w:cs="Arial"/>
        </w:rPr>
        <w:t>required</w:t>
      </w:r>
      <w:r w:rsidRPr="00744FDD">
        <w:rPr>
          <w:rFonts w:ascii="Arial" w:hAnsi="Arial" w:cs="Arial"/>
        </w:rPr>
        <w:t xml:space="preserve"> are compliance </w:t>
      </w:r>
      <w:r>
        <w:rPr>
          <w:rFonts w:ascii="Arial" w:hAnsi="Arial" w:cs="Arial"/>
        </w:rPr>
        <w:t xml:space="preserve">audits as part of an interim </w:t>
      </w:r>
      <w:r w:rsidR="003223F6">
        <w:rPr>
          <w:rFonts w:ascii="Arial" w:hAnsi="Arial" w:cs="Arial"/>
        </w:rPr>
        <w:t>integrating a</w:t>
      </w:r>
      <w:r w:rsidRPr="00744FDD">
        <w:rPr>
          <w:rFonts w:ascii="Arial" w:hAnsi="Arial" w:cs="Arial"/>
        </w:rPr>
        <w:t xml:space="preserve">uthorities </w:t>
      </w:r>
      <w:r>
        <w:rPr>
          <w:rFonts w:ascii="Arial" w:hAnsi="Arial" w:cs="Arial"/>
        </w:rPr>
        <w:t xml:space="preserve">accreditation process. </w:t>
      </w:r>
      <w:r w:rsidRPr="00744FDD">
        <w:rPr>
          <w:rFonts w:ascii="Arial" w:hAnsi="Arial" w:cs="Arial"/>
        </w:rPr>
        <w:t xml:space="preserve">The </w:t>
      </w:r>
      <w:r>
        <w:rPr>
          <w:rFonts w:ascii="Arial" w:hAnsi="Arial" w:cs="Arial"/>
        </w:rPr>
        <w:t xml:space="preserve">interim </w:t>
      </w:r>
      <w:r w:rsidRPr="00744FDD">
        <w:rPr>
          <w:rFonts w:ascii="Arial" w:hAnsi="Arial" w:cs="Arial"/>
        </w:rPr>
        <w:t xml:space="preserve">accreditation process is outlined </w:t>
      </w:r>
      <w:r w:rsidRPr="00A11727">
        <w:rPr>
          <w:rFonts w:ascii="Arial" w:hAnsi="Arial" w:cs="Arial"/>
        </w:rPr>
        <w:t xml:space="preserve">in </w:t>
      </w:r>
      <w:r w:rsidR="00260D4D" w:rsidRPr="00A11727">
        <w:rPr>
          <w:rFonts w:ascii="Arial" w:hAnsi="Arial" w:cs="Arial"/>
        </w:rPr>
        <w:t>Appendix</w:t>
      </w:r>
      <w:r w:rsidR="00260D4D">
        <w:rPr>
          <w:rFonts w:ascii="Arial" w:hAnsi="Arial" w:cs="Arial"/>
          <w:i/>
        </w:rPr>
        <w:t xml:space="preserve"> </w:t>
      </w:r>
      <w:r w:rsidR="00DB68F0">
        <w:rPr>
          <w:rFonts w:ascii="Arial" w:hAnsi="Arial" w:cs="Arial"/>
        </w:rPr>
        <w:t>1</w:t>
      </w:r>
      <w:r w:rsidRPr="00A11727">
        <w:rPr>
          <w:rFonts w:ascii="Arial" w:hAnsi="Arial" w:cs="Arial"/>
        </w:rPr>
        <w:t>.</w:t>
      </w:r>
    </w:p>
    <w:p w:rsidR="00CF438A" w:rsidRDefault="00CF438A" w:rsidP="00CF438A">
      <w:pPr>
        <w:pStyle w:val="ListParagraph"/>
        <w:numPr>
          <w:ilvl w:val="1"/>
          <w:numId w:val="28"/>
        </w:numPr>
        <w:spacing w:before="120" w:after="120"/>
        <w:ind w:left="1077"/>
        <w:rPr>
          <w:rFonts w:ascii="Arial" w:hAnsi="Arial" w:cs="Arial"/>
        </w:rPr>
      </w:pPr>
      <w:r w:rsidRPr="00B779B5">
        <w:rPr>
          <w:rFonts w:ascii="Arial" w:hAnsi="Arial" w:cs="Arial"/>
        </w:rPr>
        <w:lastRenderedPageBreak/>
        <w:t>The objective of the audit is to provide assurance to the Cross Portfolio Data Integration Oversight Board that the applying</w:t>
      </w:r>
      <w:r w:rsidR="00DB68F0">
        <w:rPr>
          <w:rFonts w:ascii="Arial" w:hAnsi="Arial" w:cs="Arial"/>
        </w:rPr>
        <w:t xml:space="preserve"> integrating authority</w:t>
      </w:r>
      <w:r w:rsidRPr="00B779B5">
        <w:rPr>
          <w:rFonts w:ascii="Arial" w:hAnsi="Arial" w:cs="Arial"/>
        </w:rPr>
        <w:t xml:space="preserve"> meets the </w:t>
      </w:r>
      <w:r>
        <w:rPr>
          <w:rFonts w:ascii="Arial" w:hAnsi="Arial" w:cs="Arial"/>
        </w:rPr>
        <w:t xml:space="preserve">interim </w:t>
      </w:r>
      <w:r w:rsidRPr="00B779B5">
        <w:rPr>
          <w:rFonts w:ascii="Arial" w:hAnsi="Arial" w:cs="Arial"/>
        </w:rPr>
        <w:t>accreditation criteria.</w:t>
      </w:r>
    </w:p>
    <w:p w:rsidR="00CF438A" w:rsidRPr="00744FDD" w:rsidRDefault="00CF438A" w:rsidP="009F53EB">
      <w:pPr>
        <w:pStyle w:val="ListParagraph"/>
        <w:numPr>
          <w:ilvl w:val="1"/>
          <w:numId w:val="28"/>
        </w:numPr>
        <w:rPr>
          <w:rFonts w:ascii="Arial" w:hAnsi="Arial" w:cs="Arial"/>
        </w:rPr>
      </w:pPr>
      <w:r w:rsidRPr="00744FDD">
        <w:rPr>
          <w:rFonts w:ascii="Arial" w:hAnsi="Arial" w:cs="Arial"/>
        </w:rPr>
        <w:t>Prior to the audit</w:t>
      </w:r>
      <w:r w:rsidR="00DB68F0">
        <w:rPr>
          <w:rFonts w:ascii="Arial" w:hAnsi="Arial" w:cs="Arial"/>
        </w:rPr>
        <w:t xml:space="preserve"> integrating authorities</w:t>
      </w:r>
      <w:r w:rsidRPr="00744FDD">
        <w:rPr>
          <w:rFonts w:ascii="Arial" w:hAnsi="Arial" w:cs="Arial"/>
        </w:rPr>
        <w:t xml:space="preserve"> apply for </w:t>
      </w:r>
      <w:r>
        <w:rPr>
          <w:rFonts w:ascii="Arial" w:hAnsi="Arial" w:cs="Arial"/>
        </w:rPr>
        <w:t>interim accreditation</w:t>
      </w:r>
      <w:r w:rsidRPr="00744FDD">
        <w:rPr>
          <w:rFonts w:ascii="Arial" w:hAnsi="Arial" w:cs="Arial"/>
        </w:rPr>
        <w:t xml:space="preserve"> by preparing a self-assessment report explaining how they meet the criteria for </w:t>
      </w:r>
      <w:r>
        <w:rPr>
          <w:rFonts w:ascii="Arial" w:hAnsi="Arial" w:cs="Arial"/>
        </w:rPr>
        <w:t>interim accreditation</w:t>
      </w:r>
      <w:r w:rsidRPr="00744FDD">
        <w:rPr>
          <w:rFonts w:ascii="Arial" w:hAnsi="Arial" w:cs="Arial"/>
        </w:rPr>
        <w:t>. The function of the audit is to</w:t>
      </w:r>
      <w:r w:rsidR="009F53EB">
        <w:rPr>
          <w:rFonts w:ascii="Arial" w:hAnsi="Arial" w:cs="Arial"/>
        </w:rPr>
        <w:t xml:space="preserve"> </w:t>
      </w:r>
      <w:r w:rsidR="00DB68F0">
        <w:rPr>
          <w:rFonts w:ascii="Arial" w:hAnsi="Arial" w:cs="Arial"/>
        </w:rPr>
        <w:t>ensure the integrating authority’s</w:t>
      </w:r>
      <w:r w:rsidR="009F53EB" w:rsidRPr="009F53EB">
        <w:rPr>
          <w:rFonts w:ascii="Arial" w:hAnsi="Arial" w:cs="Arial"/>
        </w:rPr>
        <w:t xml:space="preserve"> self-assessment report is substantiated by the evidence supplied and satisfies </w:t>
      </w:r>
      <w:r w:rsidR="009F53EB">
        <w:rPr>
          <w:rFonts w:ascii="Arial" w:hAnsi="Arial" w:cs="Arial"/>
        </w:rPr>
        <w:t>the eight criteria requirements.</w:t>
      </w:r>
    </w:p>
    <w:p w:rsidR="008D0883" w:rsidRPr="008D0883" w:rsidRDefault="008D0883" w:rsidP="008D0883">
      <w:pPr>
        <w:pStyle w:val="ListParagraph"/>
        <w:spacing w:after="120"/>
        <w:ind w:left="1077"/>
        <w:rPr>
          <w:rFonts w:ascii="Arial" w:hAnsi="Arial" w:cs="Arial"/>
        </w:rPr>
      </w:pPr>
    </w:p>
    <w:p w:rsidR="00CF438A" w:rsidRPr="008D0883" w:rsidRDefault="008C7C67" w:rsidP="008D0883">
      <w:pPr>
        <w:pStyle w:val="ListParagraph"/>
        <w:keepNext/>
        <w:numPr>
          <w:ilvl w:val="0"/>
          <w:numId w:val="28"/>
        </w:numPr>
        <w:pBdr>
          <w:bottom w:val="single" w:sz="4" w:space="1" w:color="auto"/>
        </w:pBdr>
        <w:spacing w:before="240" w:after="0" w:line="240" w:lineRule="auto"/>
        <w:outlineLvl w:val="1"/>
        <w:rPr>
          <w:rFonts w:ascii="Arial" w:hAnsi="Arial" w:cs="Arial"/>
          <w:i/>
          <w:sz w:val="18"/>
          <w:szCs w:val="18"/>
        </w:rPr>
      </w:pPr>
      <w:r>
        <w:rPr>
          <w:rFonts w:ascii="Arial Bold" w:eastAsia="Times New Roman" w:hAnsi="Arial Bold"/>
          <w:b/>
          <w:snapToGrid w:val="0"/>
        </w:rPr>
        <w:t xml:space="preserve"> </w:t>
      </w:r>
      <w:r w:rsidRPr="00A8047E">
        <w:rPr>
          <w:rFonts w:ascii="Arial" w:hAnsi="Arial" w:cs="Arial"/>
          <w:b/>
          <w:iCs/>
          <w:color w:val="000000"/>
        </w:rPr>
        <w:t>Integrating authority</w:t>
      </w:r>
      <w:r w:rsidR="00CF438A" w:rsidRPr="008D0883">
        <w:rPr>
          <w:rFonts w:ascii="Arial Bold" w:eastAsia="Times New Roman" w:hAnsi="Arial Bold"/>
          <w:b/>
          <w:snapToGrid w:val="0"/>
        </w:rPr>
        <w:t xml:space="preserve"> responsibilities</w:t>
      </w:r>
    </w:p>
    <w:p w:rsidR="00CF438A" w:rsidRDefault="00CF438A" w:rsidP="00CF438A">
      <w:pPr>
        <w:spacing w:after="0" w:line="240" w:lineRule="auto"/>
        <w:contextualSpacing/>
        <w:rPr>
          <w:rFonts w:ascii="Arial" w:hAnsi="Arial" w:cs="Arial"/>
          <w:i/>
          <w:sz w:val="18"/>
          <w:szCs w:val="18"/>
        </w:rPr>
      </w:pPr>
    </w:p>
    <w:p w:rsidR="008D0883" w:rsidRDefault="008D0883" w:rsidP="008D0883">
      <w:pPr>
        <w:pStyle w:val="ListParagraph"/>
        <w:numPr>
          <w:ilvl w:val="1"/>
          <w:numId w:val="28"/>
        </w:numPr>
        <w:rPr>
          <w:rFonts w:ascii="Arial" w:hAnsi="Arial" w:cs="Arial"/>
        </w:rPr>
      </w:pPr>
      <w:r w:rsidRPr="00744FDD">
        <w:rPr>
          <w:rFonts w:ascii="Arial" w:hAnsi="Arial" w:cs="Arial"/>
        </w:rPr>
        <w:t>The</w:t>
      </w:r>
      <w:r w:rsidR="009F53EB">
        <w:rPr>
          <w:rFonts w:ascii="Arial" w:hAnsi="Arial" w:cs="Arial"/>
        </w:rPr>
        <w:t xml:space="preserve"> integrating authority</w:t>
      </w:r>
      <w:r w:rsidRPr="00744FDD">
        <w:rPr>
          <w:rFonts w:ascii="Arial" w:hAnsi="Arial" w:cs="Arial"/>
        </w:rPr>
        <w:t xml:space="preserve"> </w:t>
      </w:r>
      <w:r w:rsidR="00AE5A2C">
        <w:rPr>
          <w:rFonts w:ascii="Arial" w:hAnsi="Arial" w:cs="Arial"/>
        </w:rPr>
        <w:t>is</w:t>
      </w:r>
      <w:r w:rsidRPr="00744FDD">
        <w:rPr>
          <w:rFonts w:ascii="Arial" w:hAnsi="Arial" w:cs="Arial"/>
        </w:rPr>
        <w:t xml:space="preserve"> responsible for the costs of the audit. </w:t>
      </w:r>
    </w:p>
    <w:p w:rsidR="009F53EB" w:rsidRDefault="009F53EB" w:rsidP="009F53EB">
      <w:pPr>
        <w:pStyle w:val="ListParagraph"/>
        <w:numPr>
          <w:ilvl w:val="1"/>
          <w:numId w:val="28"/>
        </w:numPr>
        <w:spacing w:after="120"/>
        <w:rPr>
          <w:rFonts w:ascii="Arial" w:hAnsi="Arial" w:cs="Arial"/>
        </w:rPr>
      </w:pPr>
      <w:r w:rsidRPr="009F53EB">
        <w:rPr>
          <w:rFonts w:ascii="Arial" w:hAnsi="Arial" w:cs="Arial"/>
        </w:rPr>
        <w:t>All integrating authorities applying for interim accreditation are obligated to engage a qualified auditor for the provision of auditing services as part of the interim accreditation process and in accordance with its internal procurement procedures.</w:t>
      </w:r>
    </w:p>
    <w:p w:rsidR="008D0883" w:rsidRDefault="008D0883" w:rsidP="008D0883">
      <w:pPr>
        <w:pStyle w:val="ListParagraph"/>
        <w:numPr>
          <w:ilvl w:val="1"/>
          <w:numId w:val="28"/>
        </w:numPr>
        <w:rPr>
          <w:rFonts w:ascii="Arial" w:hAnsi="Arial" w:cs="Arial"/>
        </w:rPr>
      </w:pPr>
      <w:r w:rsidRPr="00744FDD">
        <w:rPr>
          <w:rFonts w:ascii="Arial" w:hAnsi="Arial" w:cs="Arial"/>
        </w:rPr>
        <w:t xml:space="preserve">Each </w:t>
      </w:r>
      <w:r w:rsidR="009F53EB">
        <w:rPr>
          <w:rFonts w:ascii="Arial" w:hAnsi="Arial" w:cs="Arial"/>
        </w:rPr>
        <w:t xml:space="preserve">integrating authority </w:t>
      </w:r>
      <w:r w:rsidRPr="00744FDD">
        <w:rPr>
          <w:rFonts w:ascii="Arial" w:hAnsi="Arial" w:cs="Arial"/>
        </w:rPr>
        <w:t xml:space="preserve">seeking </w:t>
      </w:r>
      <w:r w:rsidR="00AE5A2C">
        <w:rPr>
          <w:rFonts w:ascii="Arial" w:hAnsi="Arial" w:cs="Arial"/>
        </w:rPr>
        <w:t xml:space="preserve">an </w:t>
      </w:r>
      <w:r w:rsidRPr="00744FDD">
        <w:rPr>
          <w:rFonts w:ascii="Arial" w:hAnsi="Arial" w:cs="Arial"/>
        </w:rPr>
        <w:t>audit will assign a representative who will be the single point of contact, for all matters. The</w:t>
      </w:r>
      <w:r w:rsidR="009F53EB">
        <w:rPr>
          <w:rFonts w:ascii="Arial" w:hAnsi="Arial" w:cs="Arial"/>
        </w:rPr>
        <w:t xml:space="preserve"> integrating authority</w:t>
      </w:r>
      <w:r w:rsidRPr="00744FDD">
        <w:rPr>
          <w:rFonts w:ascii="Arial" w:hAnsi="Arial" w:cs="Arial"/>
        </w:rPr>
        <w:t xml:space="preserve"> will ensure that this person provides continuity of service for the duration of the audit. </w:t>
      </w:r>
    </w:p>
    <w:p w:rsidR="008D0883" w:rsidRDefault="008D0883" w:rsidP="008D0883">
      <w:pPr>
        <w:pStyle w:val="ListParagraph"/>
        <w:numPr>
          <w:ilvl w:val="1"/>
          <w:numId w:val="28"/>
        </w:numPr>
        <w:rPr>
          <w:rFonts w:ascii="Arial" w:hAnsi="Arial" w:cs="Arial"/>
        </w:rPr>
      </w:pPr>
      <w:r w:rsidRPr="008D63EB">
        <w:rPr>
          <w:rFonts w:ascii="Arial" w:hAnsi="Arial" w:cs="Arial"/>
        </w:rPr>
        <w:t>The</w:t>
      </w:r>
      <w:r w:rsidR="009F53EB">
        <w:rPr>
          <w:rFonts w:ascii="Arial" w:hAnsi="Arial" w:cs="Arial"/>
        </w:rPr>
        <w:t xml:space="preserve"> integrating authority</w:t>
      </w:r>
      <w:r w:rsidRPr="008D63EB">
        <w:rPr>
          <w:rFonts w:ascii="Arial" w:hAnsi="Arial" w:cs="Arial"/>
        </w:rPr>
        <w:t xml:space="preserve"> should ensure access to all facilities, documentation and staff appropriate to the scope of the audit outlined within their self-assessment submission.</w:t>
      </w:r>
    </w:p>
    <w:p w:rsidR="008D0883" w:rsidRDefault="008D0883" w:rsidP="008D0883">
      <w:pPr>
        <w:pStyle w:val="ListParagraph"/>
        <w:ind w:left="1080"/>
        <w:rPr>
          <w:rFonts w:ascii="Arial" w:hAnsi="Arial" w:cs="Arial"/>
        </w:rPr>
      </w:pPr>
    </w:p>
    <w:p w:rsidR="008D0883" w:rsidRPr="008D0883" w:rsidRDefault="008D0883" w:rsidP="008D0883">
      <w:pPr>
        <w:pStyle w:val="ListParagraph"/>
        <w:keepNext/>
        <w:numPr>
          <w:ilvl w:val="0"/>
          <w:numId w:val="28"/>
        </w:numPr>
        <w:pBdr>
          <w:bottom w:val="single" w:sz="4" w:space="1" w:color="auto"/>
        </w:pBdr>
        <w:spacing w:before="240" w:after="0" w:line="240" w:lineRule="auto"/>
        <w:outlineLvl w:val="1"/>
        <w:rPr>
          <w:rFonts w:ascii="Arial" w:hAnsi="Arial" w:cs="Arial"/>
          <w:i/>
          <w:sz w:val="18"/>
          <w:szCs w:val="18"/>
        </w:rPr>
      </w:pPr>
      <w:r>
        <w:rPr>
          <w:rFonts w:ascii="Arial Bold" w:eastAsia="Times New Roman" w:hAnsi="Arial Bold"/>
          <w:b/>
          <w:snapToGrid w:val="0"/>
        </w:rPr>
        <w:t>Auditor</w:t>
      </w:r>
      <w:r w:rsidRPr="008D0883">
        <w:rPr>
          <w:rFonts w:ascii="Arial Bold" w:eastAsia="Times New Roman" w:hAnsi="Arial Bold"/>
          <w:b/>
          <w:snapToGrid w:val="0"/>
        </w:rPr>
        <w:t xml:space="preserve"> </w:t>
      </w:r>
      <w:r>
        <w:rPr>
          <w:rFonts w:ascii="Arial Bold" w:eastAsia="Times New Roman" w:hAnsi="Arial Bold"/>
          <w:b/>
          <w:snapToGrid w:val="0"/>
        </w:rPr>
        <w:t>responsibilities</w:t>
      </w:r>
    </w:p>
    <w:p w:rsidR="008D0883" w:rsidRDefault="008D0883" w:rsidP="008D0883">
      <w:pPr>
        <w:pStyle w:val="ListParagraph"/>
        <w:ind w:left="1080"/>
        <w:rPr>
          <w:rFonts w:ascii="Arial" w:hAnsi="Arial" w:cs="Arial"/>
        </w:rPr>
      </w:pPr>
    </w:p>
    <w:p w:rsidR="008D0883" w:rsidRDefault="008D0883" w:rsidP="008D0883">
      <w:pPr>
        <w:pStyle w:val="ListParagraph"/>
        <w:numPr>
          <w:ilvl w:val="1"/>
          <w:numId w:val="28"/>
        </w:numPr>
        <w:rPr>
          <w:rFonts w:ascii="Arial" w:hAnsi="Arial" w:cs="Arial"/>
        </w:rPr>
      </w:pPr>
      <w:r w:rsidRPr="00241F8E">
        <w:rPr>
          <w:rFonts w:ascii="Arial" w:hAnsi="Arial" w:cs="Arial"/>
        </w:rPr>
        <w:t xml:space="preserve">It is expected that the </w:t>
      </w:r>
      <w:r w:rsidR="002F2E19">
        <w:rPr>
          <w:rFonts w:ascii="Arial" w:hAnsi="Arial" w:cs="Arial"/>
        </w:rPr>
        <w:t>auditor</w:t>
      </w:r>
      <w:r w:rsidRPr="00241F8E">
        <w:rPr>
          <w:rFonts w:ascii="Arial" w:hAnsi="Arial" w:cs="Arial"/>
        </w:rPr>
        <w:t xml:space="preserve"> will work in cooperation with the Australian National Audit Office (ANAO) and its nominated external audit service provider, and other relevan</w:t>
      </w:r>
      <w:r w:rsidR="002F2E19">
        <w:rPr>
          <w:rFonts w:ascii="Arial" w:hAnsi="Arial" w:cs="Arial"/>
        </w:rPr>
        <w:t xml:space="preserve">t representatives as required. </w:t>
      </w:r>
      <w:r w:rsidRPr="00241F8E">
        <w:rPr>
          <w:rFonts w:ascii="Arial" w:hAnsi="Arial" w:cs="Arial"/>
        </w:rPr>
        <w:t>The audit will be carried out in accordance with the ANAO auditing standards</w:t>
      </w:r>
      <w:r w:rsidR="00A8047E">
        <w:rPr>
          <w:rFonts w:ascii="Arial" w:hAnsi="Arial" w:cs="Arial"/>
        </w:rPr>
        <w:t>.</w:t>
      </w:r>
      <w:r w:rsidR="001A5465">
        <w:rPr>
          <w:rFonts w:ascii="Arial" w:hAnsi="Arial" w:cs="Arial"/>
        </w:rPr>
        <w:t xml:space="preserve"> </w:t>
      </w:r>
    </w:p>
    <w:p w:rsidR="00413226" w:rsidRPr="00413226" w:rsidRDefault="00413226" w:rsidP="008D0883">
      <w:pPr>
        <w:pStyle w:val="ListParagraph"/>
        <w:numPr>
          <w:ilvl w:val="1"/>
          <w:numId w:val="28"/>
        </w:numPr>
        <w:rPr>
          <w:rFonts w:ascii="Arial" w:hAnsi="Arial" w:cs="Arial"/>
        </w:rPr>
      </w:pPr>
      <w:r w:rsidRPr="00413226">
        <w:rPr>
          <w:rFonts w:ascii="Arial" w:hAnsi="Arial" w:cs="Arial"/>
        </w:rPr>
        <w:t>The audit approach is a matter for professional judgment of the auditor</w:t>
      </w:r>
      <w:r w:rsidR="002F2E19">
        <w:rPr>
          <w:rFonts w:ascii="Arial" w:hAnsi="Arial" w:cs="Arial"/>
        </w:rPr>
        <w:t xml:space="preserve">. </w:t>
      </w:r>
      <w:r w:rsidRPr="00413226">
        <w:rPr>
          <w:rFonts w:ascii="Arial" w:hAnsi="Arial" w:cs="Arial"/>
        </w:rPr>
        <w:t>However, to ensure consistency across audits and</w:t>
      </w:r>
      <w:r w:rsidR="009F53EB">
        <w:rPr>
          <w:rFonts w:ascii="Arial" w:hAnsi="Arial" w:cs="Arial"/>
        </w:rPr>
        <w:t xml:space="preserve"> integrating authorities</w:t>
      </w:r>
      <w:r w:rsidRPr="00413226">
        <w:rPr>
          <w:rFonts w:ascii="Arial" w:hAnsi="Arial" w:cs="Arial"/>
        </w:rPr>
        <w:t>, the Secretariat would normally expect the audit approach to include the steps outlined below.</w:t>
      </w:r>
    </w:p>
    <w:p w:rsidR="00413226" w:rsidRPr="00413226" w:rsidRDefault="00413226" w:rsidP="008D0883">
      <w:pPr>
        <w:pStyle w:val="ListParagraph"/>
        <w:numPr>
          <w:ilvl w:val="0"/>
          <w:numId w:val="33"/>
        </w:numPr>
        <w:rPr>
          <w:rFonts w:ascii="Arial" w:hAnsi="Arial" w:cs="Arial"/>
        </w:rPr>
      </w:pPr>
      <w:r w:rsidRPr="00413226">
        <w:rPr>
          <w:rFonts w:ascii="Arial" w:hAnsi="Arial" w:cs="Arial"/>
          <w:u w:val="single"/>
        </w:rPr>
        <w:t>Planning:</w:t>
      </w:r>
      <w:r w:rsidRPr="00413226">
        <w:rPr>
          <w:rFonts w:ascii="Arial" w:hAnsi="Arial" w:cs="Arial"/>
        </w:rPr>
        <w:t xml:space="preserve"> Prior to the start of audit work the </w:t>
      </w:r>
      <w:r w:rsidRPr="00413226">
        <w:rPr>
          <w:rFonts w:ascii="Arial" w:hAnsi="Arial" w:cs="Arial"/>
          <w:b/>
          <w:bCs/>
        </w:rPr>
        <w:t>auditor</w:t>
      </w:r>
      <w:r w:rsidRPr="00413226">
        <w:rPr>
          <w:rFonts w:ascii="Arial" w:hAnsi="Arial" w:cs="Arial"/>
        </w:rPr>
        <w:t xml:space="preserve"> will be required to inform the </w:t>
      </w:r>
      <w:hyperlink r:id="rId10" w:history="1">
        <w:r w:rsidRPr="007B7FCD">
          <w:rPr>
            <w:rStyle w:val="Hyperlink"/>
            <w:rFonts w:ascii="Arial" w:hAnsi="Arial" w:cs="Arial"/>
          </w:rPr>
          <w:t>Secret</w:t>
        </w:r>
        <w:r w:rsidRPr="007B7FCD">
          <w:rPr>
            <w:rStyle w:val="Hyperlink"/>
            <w:rFonts w:ascii="Arial" w:hAnsi="Arial" w:cs="Arial"/>
          </w:rPr>
          <w:t>a</w:t>
        </w:r>
        <w:r w:rsidRPr="007B7FCD">
          <w:rPr>
            <w:rStyle w:val="Hyperlink"/>
            <w:rFonts w:ascii="Arial" w:hAnsi="Arial" w:cs="Arial"/>
          </w:rPr>
          <w:t>riat</w:t>
        </w:r>
      </w:hyperlink>
      <w:r w:rsidR="007B7FCD">
        <w:rPr>
          <w:rFonts w:ascii="Arial" w:hAnsi="Arial" w:cs="Arial"/>
        </w:rPr>
        <w:t xml:space="preserve"> </w:t>
      </w:r>
      <w:r w:rsidRPr="00413226">
        <w:rPr>
          <w:rFonts w:ascii="Arial" w:hAnsi="Arial" w:cs="Arial"/>
        </w:rPr>
        <w:t>of work being undertaken. If an</w:t>
      </w:r>
      <w:r w:rsidR="009F53EB">
        <w:rPr>
          <w:rFonts w:ascii="Arial" w:hAnsi="Arial" w:cs="Arial"/>
        </w:rPr>
        <w:t xml:space="preserve"> integrating authority</w:t>
      </w:r>
      <w:r w:rsidRPr="00413226">
        <w:rPr>
          <w:rFonts w:ascii="Arial" w:hAnsi="Arial" w:cs="Arial"/>
        </w:rPr>
        <w:t xml:space="preserve"> can demonstrate that a </w:t>
      </w:r>
      <w:r w:rsidRPr="00413226">
        <w:rPr>
          <w:rFonts w:ascii="Arial" w:hAnsi="Arial" w:cs="Arial"/>
          <w:b/>
          <w:bCs/>
        </w:rPr>
        <w:t>suitable program of audits</w:t>
      </w:r>
      <w:r w:rsidRPr="00413226">
        <w:rPr>
          <w:rFonts w:ascii="Arial" w:hAnsi="Arial" w:cs="Arial"/>
        </w:rPr>
        <w:t xml:space="preserve"> has been done recently (in the two years prior to the application), these audits can be used to reduce the scope of the</w:t>
      </w:r>
      <w:r w:rsidR="00A84E6E">
        <w:rPr>
          <w:rFonts w:ascii="Arial" w:hAnsi="Arial" w:cs="Arial"/>
        </w:rPr>
        <w:t xml:space="preserve"> integrating authority</w:t>
      </w:r>
      <w:r w:rsidRPr="00413226">
        <w:rPr>
          <w:rFonts w:ascii="Arial" w:hAnsi="Arial" w:cs="Arial"/>
        </w:rPr>
        <w:t xml:space="preserve"> </w:t>
      </w:r>
      <w:r w:rsidR="002B3790">
        <w:rPr>
          <w:rFonts w:ascii="Arial" w:hAnsi="Arial" w:cs="Arial"/>
        </w:rPr>
        <w:t>interim accreditation</w:t>
      </w:r>
      <w:r w:rsidRPr="00413226">
        <w:rPr>
          <w:rFonts w:ascii="Arial" w:hAnsi="Arial" w:cs="Arial"/>
        </w:rPr>
        <w:t xml:space="preserve"> audit. Prior to the commencement of the</w:t>
      </w:r>
      <w:r w:rsidR="005F018B">
        <w:rPr>
          <w:rFonts w:ascii="Arial" w:hAnsi="Arial" w:cs="Arial"/>
        </w:rPr>
        <w:t xml:space="preserve"> </w:t>
      </w:r>
      <w:r w:rsidRPr="00413226">
        <w:rPr>
          <w:rFonts w:ascii="Arial" w:hAnsi="Arial" w:cs="Arial"/>
        </w:rPr>
        <w:t xml:space="preserve">audit, copies of any previous </w:t>
      </w:r>
      <w:r w:rsidR="004E26CE" w:rsidRPr="00413226">
        <w:rPr>
          <w:rFonts w:ascii="Arial" w:hAnsi="Arial" w:cs="Arial"/>
        </w:rPr>
        <w:t xml:space="preserve">relevant </w:t>
      </w:r>
      <w:r w:rsidRPr="00413226">
        <w:rPr>
          <w:rFonts w:ascii="Arial" w:hAnsi="Arial" w:cs="Arial"/>
        </w:rPr>
        <w:t>audit reports must be obtained by the auditor.</w:t>
      </w:r>
    </w:p>
    <w:p w:rsidR="00413226" w:rsidRPr="00413226" w:rsidRDefault="00413226" w:rsidP="008D0883">
      <w:pPr>
        <w:pStyle w:val="ListParagraph"/>
        <w:numPr>
          <w:ilvl w:val="0"/>
          <w:numId w:val="33"/>
        </w:numPr>
        <w:rPr>
          <w:rFonts w:ascii="Arial" w:hAnsi="Arial" w:cs="Arial"/>
        </w:rPr>
      </w:pPr>
      <w:r w:rsidRPr="00413226">
        <w:rPr>
          <w:rFonts w:ascii="Arial" w:hAnsi="Arial" w:cs="Arial"/>
          <w:u w:val="single"/>
        </w:rPr>
        <w:t>Fieldwork:</w:t>
      </w:r>
      <w:r w:rsidRPr="00413226">
        <w:rPr>
          <w:rFonts w:ascii="Arial" w:hAnsi="Arial" w:cs="Arial"/>
        </w:rPr>
        <w:t xml:space="preserve"> </w:t>
      </w:r>
      <w:r w:rsidR="00A84E6E" w:rsidRPr="00A84E6E">
        <w:rPr>
          <w:rFonts w:ascii="Arial" w:hAnsi="Arial" w:cs="Arial"/>
        </w:rPr>
        <w:t>For this compliance audit most criteria may be sufficiently assessed through sighting of documentation, discussion and observation rather than detailed testing. However non-compliant criterion may require more detailed testing to provide quality assurance.</w:t>
      </w:r>
      <w:r w:rsidR="00A84E6E">
        <w:rPr>
          <w:rFonts w:ascii="Arial" w:hAnsi="Arial" w:cs="Arial"/>
        </w:rPr>
        <w:t xml:space="preserve"> </w:t>
      </w:r>
      <w:r w:rsidRPr="00413226">
        <w:rPr>
          <w:rFonts w:ascii="Arial" w:hAnsi="Arial" w:cs="Arial"/>
        </w:rPr>
        <w:t>The auditor</w:t>
      </w:r>
      <w:r w:rsidR="00A84E6E">
        <w:rPr>
          <w:rFonts w:ascii="Arial" w:hAnsi="Arial" w:cs="Arial"/>
        </w:rPr>
        <w:t xml:space="preserve"> may </w:t>
      </w:r>
      <w:r w:rsidRPr="00413226">
        <w:rPr>
          <w:rFonts w:ascii="Arial" w:hAnsi="Arial" w:cs="Arial"/>
        </w:rPr>
        <w:t xml:space="preserve">undertake </w:t>
      </w:r>
      <w:r w:rsidR="00A84E6E">
        <w:rPr>
          <w:rFonts w:ascii="Arial" w:hAnsi="Arial" w:cs="Arial"/>
        </w:rPr>
        <w:t>an</w:t>
      </w:r>
      <w:r w:rsidRPr="00413226">
        <w:rPr>
          <w:rFonts w:ascii="Arial" w:hAnsi="Arial" w:cs="Arial"/>
        </w:rPr>
        <w:t xml:space="preserve"> audit visit to the </w:t>
      </w:r>
      <w:r w:rsidR="00A84E6E">
        <w:rPr>
          <w:rFonts w:ascii="Arial" w:hAnsi="Arial" w:cs="Arial"/>
        </w:rPr>
        <w:t>integrating authority’s</w:t>
      </w:r>
      <w:r w:rsidRPr="00413226">
        <w:rPr>
          <w:rFonts w:ascii="Arial" w:hAnsi="Arial" w:cs="Arial"/>
        </w:rPr>
        <w:t xml:space="preserve"> organisation to personally assess compliance.</w:t>
      </w:r>
      <w:r w:rsidR="002F2E19">
        <w:rPr>
          <w:rFonts w:ascii="Arial" w:hAnsi="Arial" w:cs="Arial"/>
        </w:rPr>
        <w:t xml:space="preserve">  </w:t>
      </w:r>
      <w:r w:rsidRPr="00413226">
        <w:rPr>
          <w:rFonts w:ascii="Arial" w:hAnsi="Arial" w:cs="Arial"/>
        </w:rPr>
        <w:t xml:space="preserve">Relevant evidence includes: </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t xml:space="preserve">internal and external audit program </w:t>
      </w:r>
      <w:r w:rsidRPr="00413226">
        <w:rPr>
          <w:rFonts w:ascii="Arial" w:hAnsi="Arial" w:cs="Arial"/>
          <w:u w:val="single"/>
        </w:rPr>
        <w:t>relevant</w:t>
      </w:r>
      <w:r w:rsidRPr="00413226">
        <w:rPr>
          <w:rFonts w:ascii="Arial" w:hAnsi="Arial" w:cs="Arial"/>
        </w:rPr>
        <w:t xml:space="preserve"> to the criteria;</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t>governance, legislation and policy documentation;</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lastRenderedPageBreak/>
        <w:t xml:space="preserve">documented procedures to assess whether they are consistent with requirements; </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t>relevant training;</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t xml:space="preserve">facilities; </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t>organisational expertise through evidence of relevant staff and</w:t>
      </w:r>
      <w:r w:rsidR="002F2E19">
        <w:rPr>
          <w:rFonts w:ascii="Arial" w:hAnsi="Arial" w:cs="Arial"/>
        </w:rPr>
        <w:t xml:space="preserve"> </w:t>
      </w:r>
      <w:r w:rsidRPr="00413226">
        <w:rPr>
          <w:rFonts w:ascii="Arial" w:hAnsi="Arial" w:cs="Arial"/>
        </w:rPr>
        <w:t>project experience; and</w:t>
      </w:r>
    </w:p>
    <w:p w:rsidR="00413226" w:rsidRPr="00413226" w:rsidRDefault="00413226" w:rsidP="008D0883">
      <w:pPr>
        <w:pStyle w:val="ListParagraph"/>
        <w:numPr>
          <w:ilvl w:val="1"/>
          <w:numId w:val="35"/>
        </w:numPr>
        <w:rPr>
          <w:rFonts w:ascii="Arial" w:hAnsi="Arial" w:cs="Arial"/>
        </w:rPr>
      </w:pPr>
      <w:r w:rsidRPr="00413226">
        <w:rPr>
          <w:rFonts w:ascii="Arial" w:hAnsi="Arial" w:cs="Arial"/>
        </w:rPr>
        <w:t xml:space="preserve">public communications including publications and website material. </w:t>
      </w:r>
    </w:p>
    <w:p w:rsidR="001E5290" w:rsidRDefault="001E5290" w:rsidP="008D0883">
      <w:pPr>
        <w:pStyle w:val="ListParagraph"/>
        <w:ind w:left="1080"/>
        <w:rPr>
          <w:rFonts w:ascii="Arial" w:hAnsi="Arial" w:cs="Arial"/>
        </w:rPr>
      </w:pPr>
    </w:p>
    <w:p w:rsidR="00413226" w:rsidRPr="00413226" w:rsidRDefault="00413226" w:rsidP="008D0883">
      <w:pPr>
        <w:pStyle w:val="ListParagraph"/>
        <w:numPr>
          <w:ilvl w:val="0"/>
          <w:numId w:val="33"/>
        </w:numPr>
        <w:rPr>
          <w:rFonts w:ascii="Arial" w:hAnsi="Arial" w:cs="Arial"/>
        </w:rPr>
      </w:pPr>
      <w:r w:rsidRPr="00413226">
        <w:rPr>
          <w:rFonts w:ascii="Arial" w:hAnsi="Arial" w:cs="Arial"/>
          <w:u w:val="single"/>
        </w:rPr>
        <w:t>Draft Report:</w:t>
      </w:r>
      <w:r w:rsidRPr="00413226">
        <w:rPr>
          <w:rFonts w:ascii="Arial" w:hAnsi="Arial" w:cs="Arial"/>
        </w:rPr>
        <w:t xml:space="preserve"> A copy of the draft report should be submitted to the</w:t>
      </w:r>
      <w:r w:rsidR="00E630D1">
        <w:rPr>
          <w:rFonts w:ascii="Arial" w:hAnsi="Arial" w:cs="Arial"/>
        </w:rPr>
        <w:t xml:space="preserve"> integrating authority</w:t>
      </w:r>
      <w:r w:rsidRPr="00413226">
        <w:rPr>
          <w:rFonts w:ascii="Arial" w:hAnsi="Arial" w:cs="Arial"/>
        </w:rPr>
        <w:t xml:space="preserve"> and</w:t>
      </w:r>
      <w:r w:rsidR="004E122E">
        <w:rPr>
          <w:rFonts w:ascii="Arial" w:hAnsi="Arial" w:cs="Arial"/>
        </w:rPr>
        <w:t xml:space="preserve"> the </w:t>
      </w:r>
      <w:hyperlink r:id="rId11" w:history="1">
        <w:r w:rsidR="004E122E" w:rsidRPr="00C74CD4">
          <w:rPr>
            <w:rStyle w:val="Hyperlink"/>
            <w:rFonts w:ascii="Arial" w:hAnsi="Arial" w:cs="Arial"/>
          </w:rPr>
          <w:t>Secr</w:t>
        </w:r>
        <w:r w:rsidR="004E122E" w:rsidRPr="00C74CD4">
          <w:rPr>
            <w:rStyle w:val="Hyperlink"/>
            <w:rFonts w:ascii="Arial" w:hAnsi="Arial" w:cs="Arial"/>
          </w:rPr>
          <w:t>e</w:t>
        </w:r>
        <w:r w:rsidR="004E122E" w:rsidRPr="00C74CD4">
          <w:rPr>
            <w:rStyle w:val="Hyperlink"/>
            <w:rFonts w:ascii="Arial" w:hAnsi="Arial" w:cs="Arial"/>
          </w:rPr>
          <w:t>tariat</w:t>
        </w:r>
        <w:r w:rsidRPr="00C74CD4">
          <w:rPr>
            <w:rStyle w:val="Hyperlink"/>
            <w:rFonts w:ascii="Arial" w:hAnsi="Arial" w:cs="Arial"/>
          </w:rPr>
          <w:t>.</w:t>
        </w:r>
      </w:hyperlink>
      <w:r w:rsidRPr="00413226">
        <w:rPr>
          <w:rFonts w:ascii="Arial" w:hAnsi="Arial" w:cs="Arial"/>
        </w:rPr>
        <w:t xml:space="preserve">  </w:t>
      </w:r>
    </w:p>
    <w:p w:rsidR="00413226" w:rsidRPr="00413226" w:rsidRDefault="00413226" w:rsidP="008D0883">
      <w:pPr>
        <w:pStyle w:val="ListParagraph"/>
        <w:numPr>
          <w:ilvl w:val="0"/>
          <w:numId w:val="33"/>
        </w:numPr>
        <w:rPr>
          <w:rFonts w:ascii="Arial" w:hAnsi="Arial" w:cs="Arial"/>
        </w:rPr>
      </w:pPr>
      <w:r w:rsidRPr="00413226">
        <w:rPr>
          <w:rFonts w:ascii="Arial" w:hAnsi="Arial" w:cs="Arial"/>
          <w:u w:val="single"/>
        </w:rPr>
        <w:t>Provision of</w:t>
      </w:r>
      <w:r w:rsidR="00E630D1">
        <w:rPr>
          <w:rFonts w:ascii="Arial" w:hAnsi="Arial" w:cs="Arial"/>
          <w:u w:val="single"/>
        </w:rPr>
        <w:t xml:space="preserve"> integrating authority</w:t>
      </w:r>
      <w:r w:rsidRPr="00413226">
        <w:rPr>
          <w:rFonts w:ascii="Arial" w:hAnsi="Arial" w:cs="Arial"/>
          <w:u w:val="single"/>
        </w:rPr>
        <w:t xml:space="preserve"> management comments:</w:t>
      </w:r>
      <w:r w:rsidR="002F2E19">
        <w:rPr>
          <w:rFonts w:ascii="Arial" w:hAnsi="Arial" w:cs="Arial"/>
        </w:rPr>
        <w:t xml:space="preserve"> The auditor</w:t>
      </w:r>
      <w:r w:rsidRPr="00413226">
        <w:rPr>
          <w:rFonts w:ascii="Arial" w:hAnsi="Arial" w:cs="Arial"/>
        </w:rPr>
        <w:t xml:space="preserve"> will amend the report as appropriate to include comments from the</w:t>
      </w:r>
      <w:r w:rsidR="008C7C67">
        <w:rPr>
          <w:rFonts w:ascii="Arial" w:hAnsi="Arial" w:cs="Arial"/>
        </w:rPr>
        <w:t xml:space="preserve"> </w:t>
      </w:r>
      <w:r w:rsidR="008C7C67">
        <w:rPr>
          <w:rFonts w:ascii="Arial" w:hAnsi="Arial" w:cs="Arial"/>
          <w:iCs/>
          <w:color w:val="000000"/>
        </w:rPr>
        <w:t>integrating authority</w:t>
      </w:r>
      <w:r w:rsidRPr="00413226">
        <w:rPr>
          <w:rFonts w:ascii="Arial" w:hAnsi="Arial" w:cs="Arial"/>
        </w:rPr>
        <w:t xml:space="preserve">. </w:t>
      </w:r>
    </w:p>
    <w:p w:rsidR="00413226" w:rsidRPr="00413226" w:rsidRDefault="00413226" w:rsidP="008D0883">
      <w:pPr>
        <w:pStyle w:val="ListParagraph"/>
        <w:numPr>
          <w:ilvl w:val="0"/>
          <w:numId w:val="33"/>
        </w:numPr>
        <w:rPr>
          <w:rFonts w:ascii="Arial" w:hAnsi="Arial" w:cs="Arial"/>
        </w:rPr>
      </w:pPr>
      <w:r w:rsidRPr="00413226">
        <w:rPr>
          <w:rFonts w:ascii="Arial" w:hAnsi="Arial" w:cs="Arial"/>
          <w:u w:val="single"/>
        </w:rPr>
        <w:t>Final Report:</w:t>
      </w:r>
      <w:r w:rsidR="00CC571B">
        <w:rPr>
          <w:rFonts w:ascii="Arial" w:hAnsi="Arial" w:cs="Arial"/>
        </w:rPr>
        <w:t xml:space="preserve"> The final report</w:t>
      </w:r>
      <w:r w:rsidRPr="00413226">
        <w:rPr>
          <w:rFonts w:ascii="Arial" w:hAnsi="Arial" w:cs="Arial"/>
        </w:rPr>
        <w:t xml:space="preserve"> will be submitted to the</w:t>
      </w:r>
      <w:r w:rsidR="00E630D1">
        <w:rPr>
          <w:rFonts w:ascii="Arial" w:hAnsi="Arial" w:cs="Arial"/>
        </w:rPr>
        <w:t xml:space="preserve"> integrating authority</w:t>
      </w:r>
      <w:r w:rsidRPr="00413226">
        <w:rPr>
          <w:rFonts w:ascii="Arial" w:hAnsi="Arial" w:cs="Arial"/>
        </w:rPr>
        <w:t xml:space="preserve"> and </w:t>
      </w:r>
      <w:r w:rsidR="002C2F37">
        <w:rPr>
          <w:rFonts w:ascii="Arial" w:hAnsi="Arial" w:cs="Arial"/>
        </w:rPr>
        <w:t xml:space="preserve">to </w:t>
      </w:r>
      <w:r w:rsidR="00CC571B">
        <w:rPr>
          <w:rFonts w:ascii="Arial" w:hAnsi="Arial" w:cs="Arial"/>
        </w:rPr>
        <w:t xml:space="preserve">the Cross Portfolio Data Integration Oversight Board via the </w:t>
      </w:r>
      <w:hyperlink r:id="rId12" w:history="1">
        <w:r w:rsidR="00CC571B" w:rsidRPr="00C74CD4">
          <w:rPr>
            <w:rStyle w:val="Hyperlink"/>
            <w:rFonts w:ascii="Arial" w:hAnsi="Arial" w:cs="Arial"/>
          </w:rPr>
          <w:t>Secretariat</w:t>
        </w:r>
        <w:r w:rsidR="00E57AEE" w:rsidRPr="00C74CD4">
          <w:rPr>
            <w:rStyle w:val="Hyperlink"/>
            <w:rFonts w:ascii="Arial" w:hAnsi="Arial" w:cs="Arial"/>
          </w:rPr>
          <w:t xml:space="preserve"> email</w:t>
        </w:r>
        <w:r w:rsidRPr="00C74CD4">
          <w:rPr>
            <w:rStyle w:val="Hyperlink"/>
            <w:rFonts w:ascii="Arial" w:hAnsi="Arial" w:cs="Arial"/>
          </w:rPr>
          <w:t>.</w:t>
        </w:r>
      </w:hyperlink>
      <w:r w:rsidRPr="00413226">
        <w:rPr>
          <w:rFonts w:ascii="Arial" w:hAnsi="Arial" w:cs="Arial"/>
        </w:rPr>
        <w:t xml:space="preserve"> The auditor should provide a comprehensive report. The report information should include: </w:t>
      </w:r>
    </w:p>
    <w:p w:rsidR="00413226" w:rsidRPr="00413226" w:rsidRDefault="00413226" w:rsidP="008D0883">
      <w:pPr>
        <w:pStyle w:val="ListParagraph"/>
        <w:numPr>
          <w:ilvl w:val="1"/>
          <w:numId w:val="36"/>
        </w:numPr>
        <w:rPr>
          <w:rFonts w:ascii="Arial" w:hAnsi="Arial" w:cs="Arial"/>
        </w:rPr>
      </w:pPr>
      <w:r w:rsidRPr="00413226">
        <w:rPr>
          <w:rFonts w:ascii="Arial" w:hAnsi="Arial" w:cs="Arial"/>
        </w:rPr>
        <w:t>an executive summary including introduction, audit objectives, scope, methodology; summary conclusion;</w:t>
      </w:r>
    </w:p>
    <w:p w:rsidR="00413226" w:rsidRPr="00413226" w:rsidRDefault="00413226" w:rsidP="008D0883">
      <w:pPr>
        <w:pStyle w:val="ListParagraph"/>
        <w:numPr>
          <w:ilvl w:val="1"/>
          <w:numId w:val="36"/>
        </w:numPr>
        <w:rPr>
          <w:rFonts w:ascii="Arial" w:hAnsi="Arial" w:cs="Arial"/>
        </w:rPr>
      </w:pPr>
      <w:r w:rsidRPr="00413226">
        <w:rPr>
          <w:rFonts w:ascii="Arial" w:hAnsi="Arial" w:cs="Arial"/>
        </w:rPr>
        <w:t>compliance summary* for each criteria;</w:t>
      </w:r>
    </w:p>
    <w:p w:rsidR="00413226" w:rsidRPr="00413226" w:rsidRDefault="00413226" w:rsidP="008D0883">
      <w:pPr>
        <w:pStyle w:val="ListParagraph"/>
        <w:numPr>
          <w:ilvl w:val="1"/>
          <w:numId w:val="36"/>
        </w:numPr>
        <w:rPr>
          <w:rFonts w:ascii="Arial" w:hAnsi="Arial" w:cs="Arial"/>
        </w:rPr>
      </w:pPr>
      <w:r w:rsidRPr="00413226">
        <w:rPr>
          <w:rFonts w:ascii="Arial" w:hAnsi="Arial" w:cs="Arial"/>
        </w:rPr>
        <w:t>audit findings and recommendations;</w:t>
      </w:r>
    </w:p>
    <w:p w:rsidR="00413226" w:rsidRPr="00413226" w:rsidRDefault="00413226" w:rsidP="008D0883">
      <w:pPr>
        <w:pStyle w:val="ListParagraph"/>
        <w:numPr>
          <w:ilvl w:val="1"/>
          <w:numId w:val="36"/>
        </w:numPr>
        <w:rPr>
          <w:rFonts w:ascii="Arial" w:hAnsi="Arial" w:cs="Arial"/>
        </w:rPr>
      </w:pPr>
      <w:r w:rsidRPr="00413226">
        <w:rPr>
          <w:rFonts w:ascii="Arial" w:hAnsi="Arial" w:cs="Arial"/>
        </w:rPr>
        <w:t xml:space="preserve">a list of the key documents examined, </w:t>
      </w:r>
      <w:r w:rsidR="00F15149">
        <w:rPr>
          <w:rFonts w:ascii="Arial" w:hAnsi="Arial" w:cs="Arial"/>
        </w:rPr>
        <w:t xml:space="preserve"> integrating authority</w:t>
      </w:r>
      <w:r w:rsidRPr="00413226">
        <w:rPr>
          <w:rFonts w:ascii="Arial" w:hAnsi="Arial" w:cs="Arial"/>
        </w:rPr>
        <w:t xml:space="preserve"> representatives participating in the audit and audit team members and hours utilised.</w:t>
      </w:r>
    </w:p>
    <w:p w:rsidR="00413226" w:rsidRDefault="00413226" w:rsidP="00413226">
      <w:pPr>
        <w:spacing w:line="240" w:lineRule="auto"/>
        <w:rPr>
          <w:rFonts w:ascii="Arial" w:hAnsi="Arial" w:cs="Arial"/>
        </w:rPr>
      </w:pPr>
      <w:r w:rsidRPr="00413226">
        <w:rPr>
          <w:rFonts w:ascii="Arial" w:hAnsi="Arial" w:cs="Arial"/>
          <w:i/>
          <w:iCs/>
        </w:rPr>
        <w:t xml:space="preserve">*Compliance Summary - </w:t>
      </w:r>
      <w:r w:rsidRPr="00413226">
        <w:rPr>
          <w:rFonts w:ascii="Arial" w:hAnsi="Arial" w:cs="Arial"/>
        </w:rPr>
        <w:t>The report should provide a table that summarises the compliance rating using the compliance rating scale in Table 1 below.</w:t>
      </w:r>
    </w:p>
    <w:p w:rsidR="003F492C" w:rsidRPr="00CD1F5A" w:rsidRDefault="003F492C" w:rsidP="00413226">
      <w:pPr>
        <w:spacing w:line="240" w:lineRule="auto"/>
        <w:rPr>
          <w:rFonts w:ascii="Arial" w:hAnsi="Arial" w:cs="Arial"/>
          <w:b/>
          <w:iCs/>
        </w:rPr>
      </w:pPr>
      <w:r w:rsidRPr="00CD1F5A">
        <w:rPr>
          <w:rFonts w:ascii="Arial" w:hAnsi="Arial" w:cs="Arial"/>
          <w:b/>
          <w:iCs/>
        </w:rPr>
        <w:t>Table 1</w:t>
      </w:r>
    </w:p>
    <w:tbl>
      <w:tblPr>
        <w:tblW w:w="9851" w:type="dxa"/>
        <w:tblInd w:w="180" w:type="dxa"/>
        <w:tblBorders>
          <w:top w:val="nil"/>
          <w:left w:val="nil"/>
          <w:bottom w:val="nil"/>
          <w:right w:val="nil"/>
        </w:tblBorders>
        <w:tblLayout w:type="fixed"/>
        <w:tblLook w:val="0000" w:firstRow="0" w:lastRow="0" w:firstColumn="0" w:lastColumn="0" w:noHBand="0" w:noVBand="0"/>
      </w:tblPr>
      <w:tblGrid>
        <w:gridCol w:w="2763"/>
        <w:gridCol w:w="851"/>
        <w:gridCol w:w="6237"/>
      </w:tblGrid>
      <w:tr w:rsidR="006C5D21" w:rsidRPr="004F1AEF" w:rsidTr="006C5D21">
        <w:trPr>
          <w:trHeight w:val="106"/>
        </w:trPr>
        <w:tc>
          <w:tcPr>
            <w:tcW w:w="2763" w:type="dxa"/>
            <w:tcBorders>
              <w:top w:val="single" w:sz="8" w:space="0" w:color="000000"/>
              <w:left w:val="single" w:sz="8" w:space="0" w:color="000000"/>
              <w:bottom w:val="single" w:sz="8" w:space="0" w:color="000000"/>
              <w:right w:val="single" w:sz="8" w:space="0" w:color="000000"/>
            </w:tcBorders>
            <w:shd w:val="clear" w:color="auto" w:fill="008080"/>
          </w:tcPr>
          <w:p w:rsidR="006C5D21" w:rsidRPr="004F1AEF" w:rsidRDefault="006C5D21" w:rsidP="006C5D21">
            <w:pPr>
              <w:rPr>
                <w:rFonts w:ascii="Arial" w:hAnsi="Arial" w:cs="Arial"/>
                <w:sz w:val="20"/>
                <w:szCs w:val="20"/>
              </w:rPr>
            </w:pPr>
            <w:r w:rsidRPr="004F1AEF">
              <w:rPr>
                <w:rFonts w:ascii="Arial" w:hAnsi="Arial" w:cs="Arial"/>
                <w:sz w:val="20"/>
                <w:szCs w:val="20"/>
              </w:rPr>
              <w:t xml:space="preserve">Name </w:t>
            </w:r>
          </w:p>
        </w:tc>
        <w:tc>
          <w:tcPr>
            <w:tcW w:w="851" w:type="dxa"/>
            <w:tcBorders>
              <w:top w:val="single" w:sz="8" w:space="0" w:color="000000"/>
              <w:left w:val="single" w:sz="8" w:space="0" w:color="000000"/>
              <w:bottom w:val="single" w:sz="8" w:space="0" w:color="000000"/>
              <w:right w:val="single" w:sz="8" w:space="0" w:color="000000"/>
            </w:tcBorders>
            <w:shd w:val="clear" w:color="auto" w:fill="008080"/>
          </w:tcPr>
          <w:p w:rsidR="006C5D21" w:rsidRPr="004F1AEF" w:rsidRDefault="006C5D21" w:rsidP="006C5D21">
            <w:pPr>
              <w:rPr>
                <w:rFonts w:ascii="Arial" w:hAnsi="Arial" w:cs="Arial"/>
                <w:sz w:val="20"/>
                <w:szCs w:val="20"/>
              </w:rPr>
            </w:pPr>
            <w:r w:rsidRPr="004F1AEF">
              <w:rPr>
                <w:rFonts w:ascii="Arial" w:hAnsi="Arial" w:cs="Arial"/>
                <w:sz w:val="20"/>
                <w:szCs w:val="20"/>
              </w:rPr>
              <w:t xml:space="preserve">Rating </w:t>
            </w:r>
          </w:p>
        </w:tc>
        <w:tc>
          <w:tcPr>
            <w:tcW w:w="6237" w:type="dxa"/>
            <w:tcBorders>
              <w:top w:val="single" w:sz="8" w:space="0" w:color="000000"/>
              <w:left w:val="single" w:sz="8" w:space="0" w:color="000000"/>
              <w:bottom w:val="single" w:sz="8" w:space="0" w:color="000000"/>
              <w:right w:val="single" w:sz="8" w:space="0" w:color="000000"/>
            </w:tcBorders>
            <w:shd w:val="clear" w:color="auto" w:fill="008080"/>
          </w:tcPr>
          <w:p w:rsidR="006C5D21" w:rsidRPr="004F1AEF" w:rsidRDefault="006C5D21" w:rsidP="006C5D21">
            <w:pPr>
              <w:rPr>
                <w:rFonts w:ascii="Arial" w:hAnsi="Arial" w:cs="Arial"/>
                <w:sz w:val="20"/>
                <w:szCs w:val="20"/>
              </w:rPr>
            </w:pPr>
            <w:r w:rsidRPr="004F1AEF">
              <w:rPr>
                <w:rFonts w:ascii="Arial" w:hAnsi="Arial" w:cs="Arial"/>
                <w:sz w:val="20"/>
                <w:szCs w:val="20"/>
              </w:rPr>
              <w:t xml:space="preserve">Description </w:t>
            </w:r>
          </w:p>
        </w:tc>
      </w:tr>
      <w:tr w:rsidR="006C5D21" w:rsidRPr="004F1AEF" w:rsidTr="006C5D21">
        <w:trPr>
          <w:trHeight w:val="106"/>
        </w:trPr>
        <w:tc>
          <w:tcPr>
            <w:tcW w:w="2763" w:type="dxa"/>
            <w:tcBorders>
              <w:top w:val="single" w:sz="8" w:space="0" w:color="000000"/>
              <w:left w:val="single" w:sz="8" w:space="0" w:color="000000"/>
              <w:bottom w:val="single" w:sz="8" w:space="0" w:color="000000"/>
              <w:right w:val="single" w:sz="8" w:space="0" w:color="000000"/>
            </w:tcBorders>
          </w:tcPr>
          <w:p w:rsidR="006C5D21" w:rsidRPr="004F1AEF" w:rsidRDefault="006C5D21" w:rsidP="006C5D21">
            <w:pPr>
              <w:rPr>
                <w:rFonts w:ascii="Arial" w:hAnsi="Arial" w:cs="Arial"/>
                <w:sz w:val="20"/>
                <w:szCs w:val="20"/>
              </w:rPr>
            </w:pPr>
            <w:r w:rsidRPr="004F1AEF">
              <w:rPr>
                <w:rFonts w:ascii="Arial" w:hAnsi="Arial" w:cs="Arial"/>
                <w:sz w:val="20"/>
                <w:szCs w:val="20"/>
              </w:rPr>
              <w:t xml:space="preserve">COMPLIANT </w:t>
            </w:r>
          </w:p>
        </w:tc>
        <w:tc>
          <w:tcPr>
            <w:tcW w:w="851" w:type="dxa"/>
            <w:tcBorders>
              <w:top w:val="single" w:sz="8" w:space="0" w:color="000000"/>
              <w:left w:val="single" w:sz="8" w:space="0" w:color="000000"/>
              <w:bottom w:val="single" w:sz="8" w:space="0" w:color="000000"/>
              <w:right w:val="single" w:sz="8" w:space="0" w:color="000000"/>
            </w:tcBorders>
          </w:tcPr>
          <w:p w:rsidR="006C5D21" w:rsidRPr="004F1AEF" w:rsidRDefault="00AC087C" w:rsidP="006C5D21">
            <w:pPr>
              <w:rPr>
                <w:rFonts w:ascii="Arial" w:hAnsi="Arial" w:cs="Arial"/>
                <w:sz w:val="20"/>
                <w:szCs w:val="20"/>
              </w:rPr>
            </w:pPr>
            <w:r w:rsidRPr="004F1AEF">
              <w:rPr>
                <w:rFonts w:ascii="Arial" w:hAnsi="Arial" w:cs="Arial"/>
                <w:sz w:val="20"/>
                <w:szCs w:val="20"/>
              </w:rPr>
              <w:t>3</w:t>
            </w:r>
          </w:p>
        </w:tc>
        <w:tc>
          <w:tcPr>
            <w:tcW w:w="6237" w:type="dxa"/>
            <w:tcBorders>
              <w:top w:val="single" w:sz="8" w:space="0" w:color="000000"/>
              <w:left w:val="single" w:sz="8" w:space="0" w:color="000000"/>
              <w:bottom w:val="single" w:sz="8" w:space="0" w:color="000000"/>
              <w:right w:val="single" w:sz="8" w:space="0" w:color="000000"/>
            </w:tcBorders>
          </w:tcPr>
          <w:p w:rsidR="006C5D21" w:rsidRPr="004F1AEF" w:rsidRDefault="006C5D21" w:rsidP="006C5D21">
            <w:pPr>
              <w:rPr>
                <w:rFonts w:ascii="Arial" w:hAnsi="Arial" w:cs="Arial"/>
                <w:sz w:val="20"/>
                <w:szCs w:val="20"/>
              </w:rPr>
            </w:pPr>
            <w:r w:rsidRPr="004F1AEF">
              <w:rPr>
                <w:rFonts w:ascii="Arial" w:hAnsi="Arial" w:cs="Arial"/>
                <w:sz w:val="20"/>
                <w:szCs w:val="20"/>
              </w:rPr>
              <w:t xml:space="preserve">Compliant - no further action required </w:t>
            </w:r>
          </w:p>
        </w:tc>
      </w:tr>
      <w:tr w:rsidR="006C5D21" w:rsidRPr="004F1AEF" w:rsidTr="006C5D21">
        <w:trPr>
          <w:trHeight w:val="197"/>
        </w:trPr>
        <w:tc>
          <w:tcPr>
            <w:tcW w:w="2763" w:type="dxa"/>
            <w:tcBorders>
              <w:top w:val="single" w:sz="8" w:space="0" w:color="000000"/>
              <w:left w:val="single" w:sz="8" w:space="0" w:color="000000"/>
              <w:bottom w:val="single" w:sz="8" w:space="0" w:color="000000"/>
              <w:right w:val="single" w:sz="8" w:space="0" w:color="000000"/>
            </w:tcBorders>
          </w:tcPr>
          <w:p w:rsidR="006C5D21" w:rsidRPr="004F1AEF" w:rsidRDefault="006C5D21" w:rsidP="006C5D21">
            <w:pPr>
              <w:rPr>
                <w:rFonts w:ascii="Arial" w:hAnsi="Arial" w:cs="Arial"/>
                <w:sz w:val="20"/>
                <w:szCs w:val="20"/>
              </w:rPr>
            </w:pPr>
            <w:r w:rsidRPr="004F1AEF">
              <w:rPr>
                <w:rFonts w:ascii="Arial" w:hAnsi="Arial" w:cs="Arial"/>
                <w:sz w:val="20"/>
                <w:szCs w:val="20"/>
              </w:rPr>
              <w:t xml:space="preserve">PARTIALLY COMPLIANT </w:t>
            </w:r>
          </w:p>
        </w:tc>
        <w:tc>
          <w:tcPr>
            <w:tcW w:w="851" w:type="dxa"/>
            <w:tcBorders>
              <w:top w:val="single" w:sz="8" w:space="0" w:color="000000"/>
              <w:left w:val="single" w:sz="8" w:space="0" w:color="000000"/>
              <w:bottom w:val="single" w:sz="8" w:space="0" w:color="000000"/>
              <w:right w:val="single" w:sz="8" w:space="0" w:color="000000"/>
            </w:tcBorders>
          </w:tcPr>
          <w:p w:rsidR="006C5D21" w:rsidRPr="004F1AEF" w:rsidRDefault="00AC087C" w:rsidP="006C5D21">
            <w:pPr>
              <w:rPr>
                <w:rFonts w:ascii="Arial" w:hAnsi="Arial" w:cs="Arial"/>
                <w:sz w:val="20"/>
                <w:szCs w:val="20"/>
              </w:rPr>
            </w:pPr>
            <w:r w:rsidRPr="004F1AEF">
              <w:rPr>
                <w:rFonts w:ascii="Arial" w:hAnsi="Arial" w:cs="Arial"/>
                <w:sz w:val="20"/>
                <w:szCs w:val="20"/>
              </w:rPr>
              <w:t>2</w:t>
            </w:r>
            <w:r w:rsidR="006C5D21" w:rsidRPr="004F1AEF">
              <w:rPr>
                <w:rFonts w:ascii="Arial" w:hAnsi="Arial" w:cs="Arial"/>
                <w:sz w:val="20"/>
                <w:szCs w:val="20"/>
              </w:rPr>
              <w:t xml:space="preserve"> </w:t>
            </w:r>
          </w:p>
        </w:tc>
        <w:tc>
          <w:tcPr>
            <w:tcW w:w="6237" w:type="dxa"/>
            <w:tcBorders>
              <w:top w:val="single" w:sz="8" w:space="0" w:color="000000"/>
              <w:left w:val="single" w:sz="8" w:space="0" w:color="000000"/>
              <w:bottom w:val="single" w:sz="8" w:space="0" w:color="000000"/>
              <w:right w:val="single" w:sz="8" w:space="0" w:color="000000"/>
            </w:tcBorders>
          </w:tcPr>
          <w:p w:rsidR="006C5D21" w:rsidRPr="004F1AEF" w:rsidRDefault="00AC087C" w:rsidP="004E26CE">
            <w:pPr>
              <w:rPr>
                <w:rFonts w:ascii="Arial" w:hAnsi="Arial" w:cs="Arial"/>
                <w:sz w:val="20"/>
                <w:szCs w:val="20"/>
              </w:rPr>
            </w:pPr>
            <w:r w:rsidRPr="004F1AEF">
              <w:rPr>
                <w:rFonts w:ascii="Arial" w:hAnsi="Arial" w:cs="Arial"/>
                <w:sz w:val="20"/>
                <w:szCs w:val="20"/>
              </w:rPr>
              <w:t>I</w:t>
            </w:r>
            <w:r w:rsidR="006C5D21" w:rsidRPr="004F1AEF">
              <w:rPr>
                <w:rFonts w:ascii="Arial" w:hAnsi="Arial" w:cs="Arial"/>
                <w:sz w:val="20"/>
                <w:szCs w:val="20"/>
              </w:rPr>
              <w:t xml:space="preserve">mprovements are required </w:t>
            </w:r>
            <w:r w:rsidRPr="004F1AEF">
              <w:rPr>
                <w:rFonts w:ascii="Arial" w:hAnsi="Arial" w:cs="Arial"/>
                <w:sz w:val="20"/>
                <w:szCs w:val="20"/>
              </w:rPr>
              <w:t xml:space="preserve">in order to </w:t>
            </w:r>
            <w:r w:rsidR="004E26CE" w:rsidRPr="004F1AEF">
              <w:rPr>
                <w:rFonts w:ascii="Arial" w:hAnsi="Arial" w:cs="Arial"/>
                <w:sz w:val="20"/>
                <w:szCs w:val="20"/>
              </w:rPr>
              <w:t>meet criteria requirements</w:t>
            </w:r>
          </w:p>
        </w:tc>
      </w:tr>
      <w:tr w:rsidR="006C5D21" w:rsidRPr="004F1AEF" w:rsidTr="006C5D21">
        <w:trPr>
          <w:trHeight w:val="106"/>
        </w:trPr>
        <w:tc>
          <w:tcPr>
            <w:tcW w:w="2763" w:type="dxa"/>
            <w:tcBorders>
              <w:top w:val="single" w:sz="8" w:space="0" w:color="000000"/>
              <w:left w:val="single" w:sz="8" w:space="0" w:color="000000"/>
              <w:bottom w:val="single" w:sz="8" w:space="0" w:color="000000"/>
              <w:right w:val="single" w:sz="8" w:space="0" w:color="000000"/>
            </w:tcBorders>
          </w:tcPr>
          <w:p w:rsidR="006C5D21" w:rsidRPr="004F1AEF" w:rsidRDefault="006C5D21" w:rsidP="006C5D21">
            <w:pPr>
              <w:rPr>
                <w:rFonts w:ascii="Arial" w:hAnsi="Arial" w:cs="Arial"/>
                <w:sz w:val="20"/>
                <w:szCs w:val="20"/>
              </w:rPr>
            </w:pPr>
            <w:r w:rsidRPr="004F1AEF">
              <w:rPr>
                <w:rFonts w:ascii="Arial" w:hAnsi="Arial" w:cs="Arial"/>
                <w:sz w:val="20"/>
                <w:szCs w:val="20"/>
              </w:rPr>
              <w:t xml:space="preserve">NON-COMPLIANT </w:t>
            </w:r>
          </w:p>
        </w:tc>
        <w:tc>
          <w:tcPr>
            <w:tcW w:w="851" w:type="dxa"/>
            <w:tcBorders>
              <w:top w:val="single" w:sz="8" w:space="0" w:color="000000"/>
              <w:left w:val="single" w:sz="8" w:space="0" w:color="000000"/>
              <w:bottom w:val="single" w:sz="8" w:space="0" w:color="000000"/>
              <w:right w:val="single" w:sz="8" w:space="0" w:color="000000"/>
            </w:tcBorders>
          </w:tcPr>
          <w:p w:rsidR="006C5D21" w:rsidRPr="004F1AEF" w:rsidRDefault="00AC087C" w:rsidP="006C5D21">
            <w:pPr>
              <w:rPr>
                <w:rFonts w:ascii="Arial" w:hAnsi="Arial" w:cs="Arial"/>
                <w:sz w:val="20"/>
                <w:szCs w:val="20"/>
              </w:rPr>
            </w:pPr>
            <w:r w:rsidRPr="004F1AEF">
              <w:rPr>
                <w:rFonts w:ascii="Arial" w:hAnsi="Arial" w:cs="Arial"/>
                <w:sz w:val="20"/>
                <w:szCs w:val="20"/>
              </w:rPr>
              <w:t>1</w:t>
            </w:r>
          </w:p>
        </w:tc>
        <w:tc>
          <w:tcPr>
            <w:tcW w:w="6237" w:type="dxa"/>
            <w:tcBorders>
              <w:top w:val="single" w:sz="8" w:space="0" w:color="000000"/>
              <w:left w:val="single" w:sz="8" w:space="0" w:color="000000"/>
              <w:bottom w:val="single" w:sz="8" w:space="0" w:color="000000"/>
              <w:right w:val="single" w:sz="8" w:space="0" w:color="000000"/>
            </w:tcBorders>
          </w:tcPr>
          <w:p w:rsidR="006C5D21" w:rsidRPr="004F1AEF" w:rsidRDefault="006C5D21" w:rsidP="00242D01">
            <w:pPr>
              <w:rPr>
                <w:rFonts w:ascii="Arial" w:hAnsi="Arial" w:cs="Arial"/>
                <w:sz w:val="20"/>
                <w:szCs w:val="20"/>
              </w:rPr>
            </w:pPr>
            <w:r w:rsidRPr="004F1AEF">
              <w:rPr>
                <w:rFonts w:ascii="Arial" w:hAnsi="Arial" w:cs="Arial"/>
                <w:sz w:val="20"/>
                <w:szCs w:val="20"/>
              </w:rPr>
              <w:t xml:space="preserve">Does not meet </w:t>
            </w:r>
            <w:r w:rsidR="004E26CE" w:rsidRPr="004F1AEF">
              <w:rPr>
                <w:rFonts w:ascii="Arial" w:hAnsi="Arial" w:cs="Arial"/>
                <w:sz w:val="20"/>
                <w:szCs w:val="20"/>
              </w:rPr>
              <w:t xml:space="preserve">criteria </w:t>
            </w:r>
            <w:r w:rsidRPr="004F1AEF">
              <w:rPr>
                <w:rFonts w:ascii="Arial" w:hAnsi="Arial" w:cs="Arial"/>
                <w:sz w:val="20"/>
                <w:szCs w:val="20"/>
              </w:rPr>
              <w:t xml:space="preserve">requirements </w:t>
            </w:r>
          </w:p>
        </w:tc>
      </w:tr>
    </w:tbl>
    <w:p w:rsidR="0008225D" w:rsidRDefault="0008225D" w:rsidP="0008225D">
      <w:pPr>
        <w:pStyle w:val="ListParagraph"/>
        <w:rPr>
          <w:rFonts w:ascii="Arial" w:hAnsi="Arial" w:cs="Arial"/>
          <w:b/>
        </w:rPr>
      </w:pPr>
    </w:p>
    <w:p w:rsidR="00F033C6" w:rsidRPr="00F033C6" w:rsidRDefault="00F033C6" w:rsidP="00F033C6">
      <w:pPr>
        <w:pStyle w:val="ListParagraph"/>
        <w:ind w:left="1080"/>
        <w:rPr>
          <w:rFonts w:ascii="Arial" w:hAnsi="Arial" w:cs="Arial"/>
        </w:rPr>
      </w:pPr>
    </w:p>
    <w:p w:rsidR="00C21DAC" w:rsidRPr="00C21DAC" w:rsidRDefault="00C21DAC" w:rsidP="00C21DAC">
      <w:pPr>
        <w:ind w:left="720"/>
        <w:rPr>
          <w:rFonts w:ascii="Arial" w:hAnsi="Arial" w:cs="Arial"/>
        </w:rPr>
      </w:pPr>
    </w:p>
    <w:p w:rsidR="00EE1F71" w:rsidRDefault="00EE1F71">
      <w:pPr>
        <w:rPr>
          <w:rFonts w:ascii="Arial" w:hAnsi="Arial" w:cs="Arial"/>
          <w:b/>
        </w:rPr>
      </w:pPr>
      <w:r>
        <w:rPr>
          <w:rFonts w:ascii="Arial" w:hAnsi="Arial" w:cs="Arial"/>
          <w:b/>
        </w:rPr>
        <w:br w:type="page"/>
      </w:r>
    </w:p>
    <w:p w:rsidR="00DD331A" w:rsidRPr="00242D01" w:rsidRDefault="00242D01" w:rsidP="00DD331A">
      <w:pPr>
        <w:rPr>
          <w:rFonts w:ascii="Arial" w:hAnsi="Arial" w:cs="Arial"/>
          <w:b/>
        </w:rPr>
      </w:pPr>
      <w:r>
        <w:rPr>
          <w:rFonts w:ascii="Arial" w:hAnsi="Arial" w:cs="Arial"/>
          <w:b/>
        </w:rPr>
        <w:t xml:space="preserve">APPENDIX </w:t>
      </w:r>
      <w:r w:rsidR="00DB68F0">
        <w:rPr>
          <w:rFonts w:ascii="Arial" w:hAnsi="Arial" w:cs="Arial"/>
          <w:b/>
        </w:rPr>
        <w:t>1</w:t>
      </w:r>
      <w:r w:rsidR="00532FB9" w:rsidRPr="00242D01">
        <w:rPr>
          <w:rFonts w:ascii="Arial" w:hAnsi="Arial" w:cs="Arial"/>
          <w:b/>
        </w:rPr>
        <w:t xml:space="preserve"> </w:t>
      </w:r>
      <w:r w:rsidR="00DD331A" w:rsidRPr="00242D01">
        <w:rPr>
          <w:rFonts w:ascii="Arial" w:hAnsi="Arial" w:cs="Arial"/>
          <w:b/>
        </w:rPr>
        <w:t xml:space="preserve">- Proposed process for </w:t>
      </w:r>
      <w:r w:rsidR="002B3790" w:rsidRPr="00242D01">
        <w:rPr>
          <w:rFonts w:ascii="Arial" w:hAnsi="Arial" w:cs="Arial"/>
          <w:b/>
        </w:rPr>
        <w:t>interim accreditation</w:t>
      </w:r>
      <w:r w:rsidR="00DD331A" w:rsidRPr="00242D01">
        <w:rPr>
          <w:rFonts w:ascii="Arial" w:hAnsi="Arial" w:cs="Arial"/>
          <w:b/>
        </w:rPr>
        <w:t xml:space="preserve"> of</w:t>
      </w:r>
      <w:r w:rsidR="008C7C67">
        <w:rPr>
          <w:rFonts w:ascii="Arial" w:hAnsi="Arial" w:cs="Arial"/>
          <w:b/>
        </w:rPr>
        <w:t xml:space="preserve"> </w:t>
      </w:r>
      <w:r w:rsidR="008C7C67" w:rsidRPr="008C7C67">
        <w:rPr>
          <w:rFonts w:ascii="Arial" w:hAnsi="Arial" w:cs="Arial"/>
          <w:b/>
        </w:rPr>
        <w:t>integrating authorities</w:t>
      </w:r>
      <w:r w:rsidR="00DD331A" w:rsidRPr="00242D01">
        <w:rPr>
          <w:rFonts w:ascii="Arial" w:hAnsi="Arial" w:cs="Arial"/>
          <w:b/>
        </w:rPr>
        <w:t xml:space="preserve"> with the capacity to do high-risk data integration projects</w:t>
      </w:r>
    </w:p>
    <w:p w:rsidR="00AC087C" w:rsidRPr="00242D01" w:rsidRDefault="00AC087C" w:rsidP="0042688B">
      <w:pPr>
        <w:spacing w:after="0"/>
        <w:rPr>
          <w:rFonts w:ascii="Arial" w:hAnsi="Arial" w:cs="Arial"/>
        </w:rPr>
      </w:pPr>
      <w:r w:rsidRPr="00242D01">
        <w:rPr>
          <w:rFonts w:ascii="Arial" w:hAnsi="Arial" w:cs="Arial"/>
        </w:rPr>
        <w:t>The process for interim accreditation of</w:t>
      </w:r>
      <w:r w:rsidR="008C7C67">
        <w:rPr>
          <w:rFonts w:ascii="Arial" w:hAnsi="Arial" w:cs="Arial"/>
        </w:rPr>
        <w:t xml:space="preserve"> </w:t>
      </w:r>
      <w:r w:rsidR="008C7C67">
        <w:rPr>
          <w:rFonts w:ascii="Arial" w:hAnsi="Arial" w:cs="Arial"/>
          <w:iCs/>
          <w:color w:val="000000"/>
        </w:rPr>
        <w:t>integrating authorities</w:t>
      </w:r>
      <w:r w:rsidR="002B3790" w:rsidRPr="00242D01">
        <w:rPr>
          <w:rFonts w:ascii="Arial" w:hAnsi="Arial" w:cs="Arial"/>
        </w:rPr>
        <w:t xml:space="preserve"> </w:t>
      </w:r>
      <w:r w:rsidRPr="00242D01">
        <w:rPr>
          <w:rFonts w:ascii="Arial" w:hAnsi="Arial" w:cs="Arial"/>
        </w:rPr>
        <w:t>involves:</w:t>
      </w:r>
    </w:p>
    <w:p w:rsidR="00AC087C" w:rsidRPr="00242D01" w:rsidRDefault="00AC087C" w:rsidP="0042688B">
      <w:pPr>
        <w:spacing w:after="0"/>
        <w:rPr>
          <w:rFonts w:ascii="Arial" w:hAnsi="Arial" w:cs="Arial"/>
        </w:rPr>
      </w:pPr>
    </w:p>
    <w:p w:rsidR="00AC087C" w:rsidRPr="00AC087C" w:rsidRDefault="00AC087C" w:rsidP="0042688B">
      <w:pPr>
        <w:pStyle w:val="ListParagraph"/>
        <w:numPr>
          <w:ilvl w:val="0"/>
          <w:numId w:val="18"/>
        </w:numPr>
        <w:spacing w:after="0"/>
        <w:rPr>
          <w:rFonts w:ascii="Arial" w:hAnsi="Arial" w:cs="Arial"/>
        </w:rPr>
      </w:pPr>
      <w:r w:rsidRPr="00AC087C">
        <w:rPr>
          <w:rFonts w:ascii="Arial" w:hAnsi="Arial" w:cs="Arial"/>
          <w:i/>
        </w:rPr>
        <w:t>Self-assessment</w:t>
      </w:r>
      <w:r w:rsidRPr="00AC087C">
        <w:rPr>
          <w:rFonts w:ascii="Arial" w:hAnsi="Arial" w:cs="Arial"/>
        </w:rPr>
        <w:t xml:space="preserve">. </w:t>
      </w:r>
      <w:r w:rsidR="00DB68F0">
        <w:rPr>
          <w:rFonts w:ascii="Arial" w:hAnsi="Arial" w:cs="Arial"/>
        </w:rPr>
        <w:t>Integrating authorities</w:t>
      </w:r>
      <w:r w:rsidRPr="00AC087C">
        <w:rPr>
          <w:rFonts w:ascii="Arial" w:hAnsi="Arial" w:cs="Arial"/>
        </w:rPr>
        <w:t xml:space="preserve"> apply for </w:t>
      </w:r>
      <w:r w:rsidR="002B3790">
        <w:rPr>
          <w:rFonts w:ascii="Arial" w:hAnsi="Arial" w:cs="Arial"/>
        </w:rPr>
        <w:t>interim accreditation</w:t>
      </w:r>
      <w:r w:rsidRPr="00AC087C">
        <w:rPr>
          <w:rFonts w:ascii="Arial" w:hAnsi="Arial" w:cs="Arial"/>
        </w:rPr>
        <w:t xml:space="preserve"> by preparing a self-assessment report explaining how they meet the criteria for </w:t>
      </w:r>
      <w:r w:rsidR="002B3790">
        <w:rPr>
          <w:rFonts w:ascii="Arial" w:hAnsi="Arial" w:cs="Arial"/>
        </w:rPr>
        <w:t>interim accreditation</w:t>
      </w:r>
      <w:r w:rsidRPr="00AC087C">
        <w:rPr>
          <w:rFonts w:ascii="Arial" w:hAnsi="Arial" w:cs="Arial"/>
        </w:rPr>
        <w:t>.</w:t>
      </w:r>
      <w:r w:rsidR="002F2E19">
        <w:rPr>
          <w:rFonts w:ascii="Arial" w:hAnsi="Arial" w:cs="Arial"/>
        </w:rPr>
        <w:t xml:space="preserve"> </w:t>
      </w:r>
      <w:r w:rsidRPr="00AC087C">
        <w:rPr>
          <w:rFonts w:ascii="Arial" w:hAnsi="Arial" w:cs="Arial"/>
        </w:rPr>
        <w:t xml:space="preserve">The assessment must be signed off by the agency </w:t>
      </w:r>
      <w:r w:rsidR="0042688B" w:rsidRPr="00AC087C">
        <w:rPr>
          <w:rFonts w:ascii="Arial" w:hAnsi="Arial" w:cs="Arial"/>
        </w:rPr>
        <w:t>head or</w:t>
      </w:r>
      <w:r w:rsidRPr="00AC087C">
        <w:rPr>
          <w:rFonts w:ascii="Arial" w:hAnsi="Arial" w:cs="Arial"/>
        </w:rPr>
        <w:t xml:space="preserve"> the application will not be considered. </w:t>
      </w:r>
    </w:p>
    <w:p w:rsidR="00AC087C" w:rsidRPr="00AC087C" w:rsidRDefault="00AC087C" w:rsidP="0042688B">
      <w:pPr>
        <w:pStyle w:val="ListParagraph"/>
        <w:numPr>
          <w:ilvl w:val="0"/>
          <w:numId w:val="18"/>
        </w:numPr>
        <w:spacing w:after="0"/>
        <w:rPr>
          <w:rFonts w:ascii="Arial" w:hAnsi="Arial" w:cs="Arial"/>
        </w:rPr>
      </w:pPr>
      <w:r w:rsidRPr="00AC087C">
        <w:rPr>
          <w:rFonts w:ascii="Arial" w:hAnsi="Arial" w:cs="Arial"/>
          <w:i/>
        </w:rPr>
        <w:t>Audit</w:t>
      </w:r>
      <w:r w:rsidRPr="00AC087C">
        <w:rPr>
          <w:rFonts w:ascii="Arial" w:hAnsi="Arial" w:cs="Arial"/>
        </w:rPr>
        <w:t>. An independent third party audits the</w:t>
      </w:r>
      <w:r w:rsidR="003B5C4E">
        <w:rPr>
          <w:rFonts w:ascii="Arial" w:hAnsi="Arial" w:cs="Arial"/>
        </w:rPr>
        <w:t xml:space="preserve"> integrating authority’s</w:t>
      </w:r>
      <w:r w:rsidRPr="00AC087C">
        <w:rPr>
          <w:rFonts w:ascii="Arial" w:hAnsi="Arial" w:cs="Arial"/>
        </w:rPr>
        <w:t xml:space="preserve"> self-assessment against the criteria, in line with the ANAO Auditing Standards. If an </w:t>
      </w:r>
      <w:r w:rsidR="003B5C4E">
        <w:rPr>
          <w:rFonts w:ascii="Arial" w:hAnsi="Arial" w:cs="Arial"/>
        </w:rPr>
        <w:t>integrating authority</w:t>
      </w:r>
      <w:r w:rsidRPr="00AC087C">
        <w:rPr>
          <w:rFonts w:ascii="Arial" w:hAnsi="Arial" w:cs="Arial"/>
        </w:rPr>
        <w:t xml:space="preserve"> can demonstrate that a suitable program of audits has been done recently (in the two years prior to the application), these audits can be used to reduce the scope of the </w:t>
      </w:r>
      <w:r w:rsidR="003B5C4E">
        <w:rPr>
          <w:rFonts w:ascii="Arial" w:hAnsi="Arial" w:cs="Arial"/>
        </w:rPr>
        <w:t xml:space="preserve">integrating authority </w:t>
      </w:r>
      <w:r w:rsidR="002B3790">
        <w:rPr>
          <w:rFonts w:ascii="Arial" w:hAnsi="Arial" w:cs="Arial"/>
        </w:rPr>
        <w:t>interim accreditation</w:t>
      </w:r>
      <w:r w:rsidRPr="00AC087C">
        <w:rPr>
          <w:rFonts w:ascii="Arial" w:hAnsi="Arial" w:cs="Arial"/>
        </w:rPr>
        <w:t xml:space="preserve"> audit. The Secretariat will manage the audit process on a fully cost-recovered basis. </w:t>
      </w:r>
    </w:p>
    <w:p w:rsidR="00AC087C" w:rsidRPr="00AC087C" w:rsidRDefault="00AC087C" w:rsidP="0042688B">
      <w:pPr>
        <w:pStyle w:val="ListParagraph"/>
        <w:numPr>
          <w:ilvl w:val="0"/>
          <w:numId w:val="18"/>
        </w:numPr>
        <w:spacing w:after="0"/>
        <w:rPr>
          <w:rFonts w:ascii="Arial" w:hAnsi="Arial" w:cs="Arial"/>
        </w:rPr>
      </w:pPr>
      <w:r w:rsidRPr="00AC087C">
        <w:rPr>
          <w:rFonts w:ascii="Arial" w:hAnsi="Arial" w:cs="Arial"/>
          <w:i/>
        </w:rPr>
        <w:t>Decision.</w:t>
      </w:r>
      <w:r w:rsidRPr="00AC087C">
        <w:rPr>
          <w:rFonts w:ascii="Arial" w:hAnsi="Arial" w:cs="Arial"/>
        </w:rPr>
        <w:t xml:space="preserve"> The Cross Portfolio Data Integration Oversight Board</w:t>
      </w:r>
      <w:r w:rsidR="002F2E19">
        <w:rPr>
          <w:rFonts w:ascii="Arial" w:hAnsi="Arial" w:cs="Arial"/>
        </w:rPr>
        <w:t xml:space="preserve"> </w:t>
      </w:r>
      <w:r w:rsidRPr="00AC087C">
        <w:rPr>
          <w:rFonts w:ascii="Arial" w:hAnsi="Arial" w:cs="Arial"/>
        </w:rPr>
        <w:t xml:space="preserve">will make the final decision on interim accreditation, based on the self-assessment and results of the audit. Once a decision is made, a full report explaining the compliant and non-compliant criteria, with recommendations for what needs to change, will be supplied to the applicant. </w:t>
      </w:r>
    </w:p>
    <w:p w:rsidR="00AC087C" w:rsidRPr="00AC087C" w:rsidRDefault="00AC087C" w:rsidP="0042688B">
      <w:pPr>
        <w:pStyle w:val="ListParagraph"/>
        <w:numPr>
          <w:ilvl w:val="0"/>
          <w:numId w:val="18"/>
        </w:numPr>
        <w:spacing w:after="0"/>
        <w:rPr>
          <w:rFonts w:ascii="Arial" w:hAnsi="Arial" w:cs="Arial"/>
        </w:rPr>
      </w:pPr>
      <w:r w:rsidRPr="00AC087C">
        <w:rPr>
          <w:rFonts w:ascii="Arial" w:hAnsi="Arial" w:cs="Arial"/>
          <w:i/>
        </w:rPr>
        <w:t>Publication of list of accredited agencies</w:t>
      </w:r>
      <w:r w:rsidRPr="00AC087C">
        <w:rPr>
          <w:rFonts w:ascii="Arial" w:hAnsi="Arial" w:cs="Arial"/>
        </w:rPr>
        <w:t xml:space="preserve">. The Secretariat will publish a list of accredited </w:t>
      </w:r>
      <w:r w:rsidR="003B5C4E">
        <w:rPr>
          <w:rFonts w:ascii="Arial" w:hAnsi="Arial" w:cs="Arial"/>
        </w:rPr>
        <w:t>integrating authorities</w:t>
      </w:r>
      <w:r w:rsidRPr="00AC087C">
        <w:rPr>
          <w:rFonts w:ascii="Arial" w:hAnsi="Arial" w:cs="Arial"/>
        </w:rPr>
        <w:t xml:space="preserve"> on the </w:t>
      </w:r>
      <w:r w:rsidR="00AE5A2C" w:rsidRPr="00AC087C">
        <w:rPr>
          <w:rFonts w:ascii="Arial" w:hAnsi="Arial" w:cs="Arial"/>
        </w:rPr>
        <w:t>web,</w:t>
      </w:r>
      <w:r w:rsidRPr="00AC087C">
        <w:rPr>
          <w:rFonts w:ascii="Arial" w:hAnsi="Arial" w:cs="Arial"/>
        </w:rPr>
        <w:t xml:space="preserve"> together with a summarised version of the</w:t>
      </w:r>
      <w:r w:rsidR="003B5C4E">
        <w:rPr>
          <w:rFonts w:ascii="Arial" w:hAnsi="Arial" w:cs="Arial"/>
        </w:rPr>
        <w:t xml:space="preserve"> integrating authority’s</w:t>
      </w:r>
      <w:r w:rsidRPr="00AC087C">
        <w:rPr>
          <w:rFonts w:ascii="Arial" w:hAnsi="Arial" w:cs="Arial"/>
        </w:rPr>
        <w:t xml:space="preserve"> application and a summary of the audit report. </w:t>
      </w:r>
    </w:p>
    <w:p w:rsidR="00F87E83" w:rsidRPr="00CD1F5A" w:rsidRDefault="00F87E83" w:rsidP="0042688B">
      <w:pPr>
        <w:spacing w:after="0"/>
        <w:rPr>
          <w:rFonts w:ascii="Arial" w:hAnsi="Arial" w:cs="Arial"/>
          <w:b/>
        </w:rPr>
      </w:pPr>
    </w:p>
    <w:p w:rsidR="00267505" w:rsidRPr="00CD1F5A" w:rsidRDefault="00267505" w:rsidP="0042688B">
      <w:pPr>
        <w:rPr>
          <w:rFonts w:ascii="Arial" w:hAnsi="Arial" w:cs="Arial"/>
          <w:b/>
        </w:rPr>
      </w:pPr>
      <w:r w:rsidRPr="00CD1F5A">
        <w:rPr>
          <w:rFonts w:ascii="Arial" w:hAnsi="Arial" w:cs="Arial"/>
          <w:b/>
        </w:rPr>
        <w:br w:type="page"/>
      </w:r>
    </w:p>
    <w:p w:rsidR="00267505" w:rsidRPr="00CD1F5A" w:rsidRDefault="00242D01" w:rsidP="0042688B">
      <w:pPr>
        <w:rPr>
          <w:rFonts w:ascii="Arial" w:hAnsi="Arial" w:cs="Arial"/>
          <w:b/>
        </w:rPr>
      </w:pPr>
      <w:r>
        <w:rPr>
          <w:rFonts w:ascii="Arial" w:hAnsi="Arial" w:cs="Arial"/>
          <w:b/>
        </w:rPr>
        <w:t>APPENDIX</w:t>
      </w:r>
      <w:r w:rsidR="006279AE">
        <w:rPr>
          <w:rFonts w:ascii="Arial" w:hAnsi="Arial" w:cs="Arial"/>
          <w:b/>
        </w:rPr>
        <w:t xml:space="preserve"> 2</w:t>
      </w:r>
      <w:r w:rsidR="00267505" w:rsidRPr="00CD1F5A">
        <w:rPr>
          <w:rFonts w:ascii="Arial" w:hAnsi="Arial" w:cs="Arial"/>
          <w:b/>
        </w:rPr>
        <w:t xml:space="preserve"> - </w:t>
      </w:r>
      <w:r w:rsidR="002B3790">
        <w:rPr>
          <w:rFonts w:ascii="Arial" w:hAnsi="Arial" w:cs="Arial"/>
          <w:b/>
        </w:rPr>
        <w:t>Interim accreditation</w:t>
      </w:r>
      <w:r w:rsidR="00267505" w:rsidRPr="00CD1F5A">
        <w:rPr>
          <w:rFonts w:ascii="Arial" w:hAnsi="Arial" w:cs="Arial"/>
          <w:b/>
        </w:rPr>
        <w:t xml:space="preserve"> criteria for</w:t>
      </w:r>
      <w:r w:rsidR="003B5C4E">
        <w:rPr>
          <w:rFonts w:ascii="Arial" w:hAnsi="Arial" w:cs="Arial"/>
          <w:b/>
        </w:rPr>
        <w:t xml:space="preserve"> integrating authorities</w:t>
      </w:r>
      <w:r w:rsidR="00267505" w:rsidRPr="00CD1F5A">
        <w:rPr>
          <w:rFonts w:ascii="Arial" w:hAnsi="Arial" w:cs="Arial"/>
          <w:b/>
        </w:rPr>
        <w:t xml:space="preserve"> wishing to be endorsed as capable of doing high risk data integration projects</w:t>
      </w:r>
    </w:p>
    <w:p w:rsidR="004165E0" w:rsidRPr="004165E0" w:rsidRDefault="004165E0" w:rsidP="0042688B">
      <w:pPr>
        <w:rPr>
          <w:rFonts w:ascii="Arial" w:hAnsi="Arial" w:cs="Arial"/>
        </w:rPr>
      </w:pPr>
      <w:r w:rsidRPr="004165E0">
        <w:rPr>
          <w:rFonts w:ascii="Arial" w:hAnsi="Arial" w:cs="Arial"/>
        </w:rPr>
        <w:t>There are eight criteria</w:t>
      </w:r>
      <w:r w:rsidR="00D51173">
        <w:rPr>
          <w:rFonts w:ascii="Arial" w:hAnsi="Arial" w:cs="Arial"/>
        </w:rPr>
        <w:t xml:space="preserve"> that </w:t>
      </w:r>
      <w:r w:rsidR="003B5C4E">
        <w:rPr>
          <w:rFonts w:ascii="Arial" w:hAnsi="Arial" w:cs="Arial"/>
        </w:rPr>
        <w:t>integrating authorities</w:t>
      </w:r>
      <w:r w:rsidRPr="004165E0">
        <w:rPr>
          <w:rFonts w:ascii="Arial" w:hAnsi="Arial" w:cs="Arial"/>
        </w:rPr>
        <w:t xml:space="preserve"> must meet to gain </w:t>
      </w:r>
      <w:r w:rsidR="002B3790">
        <w:rPr>
          <w:rFonts w:ascii="Arial" w:hAnsi="Arial" w:cs="Arial"/>
        </w:rPr>
        <w:t>interim accreditation</w:t>
      </w:r>
      <w:r w:rsidRPr="004165E0">
        <w:rPr>
          <w:rFonts w:ascii="Arial" w:hAnsi="Arial" w:cs="Arial"/>
        </w:rPr>
        <w:t>:</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 xml:space="preserve">ability to ensure secure data management; </w:t>
      </w:r>
    </w:p>
    <w:p w:rsidR="004165E0" w:rsidRPr="004165E0" w:rsidRDefault="00163F06" w:rsidP="0042688B">
      <w:pPr>
        <w:pStyle w:val="ListParagraph"/>
        <w:numPr>
          <w:ilvl w:val="0"/>
          <w:numId w:val="21"/>
        </w:numPr>
        <w:rPr>
          <w:rFonts w:ascii="Arial" w:hAnsi="Arial" w:cs="Arial"/>
        </w:rPr>
      </w:pPr>
      <w:r>
        <w:rPr>
          <w:rFonts w:ascii="Arial" w:hAnsi="Arial" w:cs="Arial"/>
        </w:rPr>
        <w:t xml:space="preserve"> </w:t>
      </w:r>
      <w:r w:rsidR="003B5C4E">
        <w:rPr>
          <w:rFonts w:ascii="Arial" w:hAnsi="Arial" w:cs="Arial"/>
        </w:rPr>
        <w:t>integrating authorities</w:t>
      </w:r>
      <w:r w:rsidR="003B5C4E" w:rsidRPr="004165E0">
        <w:rPr>
          <w:rFonts w:ascii="Arial" w:hAnsi="Arial" w:cs="Arial"/>
        </w:rPr>
        <w:t xml:space="preserve"> </w:t>
      </w:r>
      <w:r>
        <w:rPr>
          <w:rFonts w:ascii="Arial" w:hAnsi="Arial" w:cs="Arial"/>
        </w:rPr>
        <w:t xml:space="preserve">must </w:t>
      </w:r>
      <w:r w:rsidR="004165E0" w:rsidRPr="004165E0">
        <w:rPr>
          <w:rFonts w:ascii="Arial" w:hAnsi="Arial" w:cs="Arial"/>
        </w:rPr>
        <w:t>demonstrate that information that is likely to enable identification of individuals or organisations is not disclosed to external users;</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availability of appropriate skills;</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appropriate technical capability;</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lack of conflict of interest;</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culture and values that ensure protection of confidential information and support the use of data as a strategic resource;</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transparency of operation; and</w:t>
      </w:r>
    </w:p>
    <w:p w:rsidR="004165E0" w:rsidRPr="004165E0" w:rsidRDefault="004165E0" w:rsidP="0042688B">
      <w:pPr>
        <w:pStyle w:val="ListParagraph"/>
        <w:numPr>
          <w:ilvl w:val="0"/>
          <w:numId w:val="21"/>
        </w:numPr>
        <w:rPr>
          <w:rFonts w:ascii="Arial" w:hAnsi="Arial" w:cs="Arial"/>
        </w:rPr>
      </w:pPr>
      <w:r w:rsidRPr="004165E0">
        <w:rPr>
          <w:rFonts w:ascii="Arial" w:hAnsi="Arial" w:cs="Arial"/>
        </w:rPr>
        <w:t>appropriate governance and administrative framework.</w:t>
      </w:r>
    </w:p>
    <w:p w:rsidR="004165E0" w:rsidRPr="004165E0" w:rsidRDefault="004165E0" w:rsidP="0042688B">
      <w:pPr>
        <w:rPr>
          <w:rFonts w:ascii="Arial" w:hAnsi="Arial" w:cs="Arial"/>
          <w:b/>
          <w:i/>
        </w:rPr>
      </w:pPr>
      <w:r w:rsidRPr="004165E0">
        <w:rPr>
          <w:rFonts w:ascii="Arial" w:hAnsi="Arial" w:cs="Arial"/>
          <w:b/>
          <w:i/>
        </w:rPr>
        <w:t>i) Ability to ensure secure data management</w:t>
      </w:r>
    </w:p>
    <w:p w:rsidR="004165E0" w:rsidRPr="004165E0" w:rsidRDefault="001C52F9" w:rsidP="0042688B">
      <w:pPr>
        <w:rPr>
          <w:rFonts w:ascii="Arial" w:hAnsi="Arial" w:cs="Arial"/>
        </w:rPr>
      </w:pPr>
      <w:r>
        <w:rPr>
          <w:rFonts w:ascii="Arial" w:hAnsi="Arial" w:cs="Arial"/>
        </w:rPr>
        <w:t>I</w:t>
      </w:r>
      <w:r w:rsidR="003B5C4E">
        <w:rPr>
          <w:rFonts w:ascii="Arial" w:hAnsi="Arial" w:cs="Arial"/>
        </w:rPr>
        <w:t>ntegrating authorities</w:t>
      </w:r>
      <w:r w:rsidR="004165E0" w:rsidRPr="004165E0">
        <w:rPr>
          <w:rFonts w:ascii="Arial" w:hAnsi="Arial" w:cs="Arial"/>
        </w:rPr>
        <w:t xml:space="preserve"> seeking </w:t>
      </w:r>
      <w:r w:rsidR="002B3790">
        <w:rPr>
          <w:rFonts w:ascii="Arial" w:hAnsi="Arial" w:cs="Arial"/>
        </w:rPr>
        <w:t>interim accreditation</w:t>
      </w:r>
      <w:r w:rsidR="004165E0" w:rsidRPr="004165E0">
        <w:rPr>
          <w:rFonts w:ascii="Arial" w:hAnsi="Arial" w:cs="Arial"/>
        </w:rPr>
        <w:t xml:space="preserve"> must demonstrate that they have secure data management systems in place to protect data both during and after integration, including systems for the safe exchange of sensitive data across agencies. This may include secure management of metadata or software programs to protect intellectual property, as negotiated with the data custodian(s). Agencies who demonstrate they meet Australian Government standards for security practices as set out in the </w:t>
      </w:r>
      <w:hyperlink r:id="rId13" w:history="1">
        <w:r w:rsidR="0099154C" w:rsidRPr="00CD1F5A">
          <w:rPr>
            <w:rStyle w:val="Hyperlink"/>
            <w:rFonts w:ascii="Arial" w:hAnsi="Arial" w:cs="Arial"/>
            <w:b/>
            <w:i/>
            <w:iCs/>
            <w:color w:val="00B0F0"/>
          </w:rPr>
          <w:t>Australian Government Protective Security Policy Framework</w:t>
        </w:r>
      </w:hyperlink>
      <w:r w:rsidR="004165E0" w:rsidRPr="004165E0">
        <w:rPr>
          <w:rFonts w:ascii="Arial" w:hAnsi="Arial" w:cs="Arial"/>
        </w:rPr>
        <w:t xml:space="preserve"> </w:t>
      </w:r>
      <w:r w:rsidR="0099154C">
        <w:rPr>
          <w:rFonts w:ascii="Arial" w:hAnsi="Arial" w:cs="Arial"/>
        </w:rPr>
        <w:t xml:space="preserve"> </w:t>
      </w:r>
      <w:r w:rsidR="004165E0" w:rsidRPr="004165E0">
        <w:rPr>
          <w:rFonts w:ascii="Arial" w:hAnsi="Arial" w:cs="Arial"/>
        </w:rPr>
        <w:t>would automatically be rated suitable on this criterion, provided that they can also demonstrate that they adhere to the separation principle</w:t>
      </w:r>
      <w:r w:rsidR="002F2E19">
        <w:rPr>
          <w:rFonts w:ascii="Arial" w:hAnsi="Arial" w:cs="Arial"/>
        </w:rPr>
        <w:t xml:space="preserve"> </w:t>
      </w:r>
      <w:r w:rsidR="004165E0" w:rsidRPr="004165E0">
        <w:rPr>
          <w:rFonts w:ascii="Arial" w:hAnsi="Arial" w:cs="Arial"/>
        </w:rPr>
        <w:t>and that they have an ongoing program of audits to ensure the continued security of the data. Agencies who cannot meet all the requirements in the Framework would need to comply with particular aspects, including control of access to the agency’s premises and police checks for staff.</w:t>
      </w:r>
    </w:p>
    <w:p w:rsidR="004165E0" w:rsidRPr="004165E0" w:rsidRDefault="004165E0" w:rsidP="0042688B">
      <w:pPr>
        <w:rPr>
          <w:rFonts w:ascii="Arial" w:hAnsi="Arial" w:cs="Arial"/>
          <w:b/>
          <w:i/>
        </w:rPr>
      </w:pPr>
      <w:r w:rsidRPr="004165E0">
        <w:rPr>
          <w:rFonts w:ascii="Arial" w:hAnsi="Arial" w:cs="Arial"/>
          <w:b/>
          <w:i/>
        </w:rPr>
        <w:t xml:space="preserve">ii) </w:t>
      </w:r>
      <w:r w:rsidR="003B5C4E">
        <w:t xml:space="preserve"> </w:t>
      </w:r>
      <w:r w:rsidR="003B5C4E">
        <w:rPr>
          <w:rFonts w:ascii="Arial" w:hAnsi="Arial" w:cs="Arial"/>
          <w:b/>
          <w:i/>
        </w:rPr>
        <w:t>In</w:t>
      </w:r>
      <w:r w:rsidR="003B5C4E" w:rsidRPr="003B5C4E">
        <w:rPr>
          <w:rFonts w:ascii="Arial" w:hAnsi="Arial" w:cs="Arial"/>
          <w:b/>
          <w:i/>
        </w:rPr>
        <w:t>tegrating authorities</w:t>
      </w:r>
      <w:r w:rsidRPr="004165E0">
        <w:rPr>
          <w:rFonts w:ascii="Arial" w:hAnsi="Arial" w:cs="Arial"/>
          <w:b/>
          <w:i/>
        </w:rPr>
        <w:t xml:space="preserve"> must demonstrate that information that is likely to enable identification of individuals or organisations is not disclosed to external users</w:t>
      </w:r>
    </w:p>
    <w:p w:rsidR="004165E0" w:rsidRPr="004165E0" w:rsidRDefault="003B5C4E" w:rsidP="0042688B">
      <w:pPr>
        <w:rPr>
          <w:rFonts w:ascii="Arial" w:hAnsi="Arial" w:cs="Arial"/>
        </w:rPr>
      </w:pPr>
      <w:r>
        <w:rPr>
          <w:rFonts w:ascii="Arial" w:hAnsi="Arial" w:cs="Arial"/>
        </w:rPr>
        <w:t>Integrating authorities</w:t>
      </w:r>
      <w:r w:rsidR="004165E0" w:rsidRPr="004165E0">
        <w:rPr>
          <w:rFonts w:ascii="Arial" w:hAnsi="Arial" w:cs="Arial"/>
        </w:rPr>
        <w:t xml:space="preserve"> seeking </w:t>
      </w:r>
      <w:r w:rsidR="002B3790">
        <w:rPr>
          <w:rFonts w:ascii="Arial" w:hAnsi="Arial" w:cs="Arial"/>
        </w:rPr>
        <w:t>interim accreditation</w:t>
      </w:r>
      <w:r w:rsidR="004165E0" w:rsidRPr="004165E0">
        <w:rPr>
          <w:rFonts w:ascii="Arial" w:hAnsi="Arial" w:cs="Arial"/>
        </w:rPr>
        <w:t xml:space="preserve"> must be able to demonstrate that information that is likely to enable identification of individuals or organisations is not disclosed to external users. Removal of identifying information will not be sufficient. </w:t>
      </w:r>
      <w:r>
        <w:rPr>
          <w:rFonts w:ascii="Arial" w:hAnsi="Arial" w:cs="Arial"/>
        </w:rPr>
        <w:t xml:space="preserve"> </w:t>
      </w:r>
      <w:r w:rsidR="001C52F9">
        <w:rPr>
          <w:rFonts w:ascii="Arial" w:hAnsi="Arial" w:cs="Arial"/>
        </w:rPr>
        <w:t>I</w:t>
      </w:r>
      <w:r>
        <w:rPr>
          <w:rFonts w:ascii="Arial" w:hAnsi="Arial" w:cs="Arial"/>
        </w:rPr>
        <w:t>ntegrating authorities</w:t>
      </w:r>
      <w:r w:rsidR="004165E0" w:rsidRPr="004165E0">
        <w:rPr>
          <w:rFonts w:ascii="Arial" w:hAnsi="Arial" w:cs="Arial"/>
        </w:rPr>
        <w:t xml:space="preserve"> must ensure that information is only released in a way that is not likely to enable identification, either directly or indirectly, of individuals or organisations. Examples of different ways this criterion can be met include: </w:t>
      </w:r>
    </w:p>
    <w:p w:rsidR="004165E0" w:rsidRPr="004165E0" w:rsidRDefault="004165E0" w:rsidP="0042688B">
      <w:pPr>
        <w:pStyle w:val="ListParagraph"/>
        <w:numPr>
          <w:ilvl w:val="0"/>
          <w:numId w:val="22"/>
        </w:numPr>
        <w:rPr>
          <w:rFonts w:ascii="Arial" w:hAnsi="Arial" w:cs="Arial"/>
        </w:rPr>
      </w:pPr>
      <w:r w:rsidRPr="004165E0">
        <w:rPr>
          <w:rFonts w:ascii="Arial" w:hAnsi="Arial" w:cs="Arial"/>
        </w:rPr>
        <w:t>use of formal confidentiality algorithms; and/or</w:t>
      </w:r>
    </w:p>
    <w:p w:rsidR="004165E0" w:rsidRPr="004165E0" w:rsidRDefault="004165E0" w:rsidP="0042688B">
      <w:pPr>
        <w:pStyle w:val="ListParagraph"/>
        <w:numPr>
          <w:ilvl w:val="0"/>
          <w:numId w:val="22"/>
        </w:numPr>
        <w:rPr>
          <w:rFonts w:ascii="Arial" w:hAnsi="Arial" w:cs="Arial"/>
        </w:rPr>
      </w:pPr>
      <w:r w:rsidRPr="004165E0">
        <w:rPr>
          <w:rFonts w:ascii="Arial" w:hAnsi="Arial" w:cs="Arial"/>
        </w:rPr>
        <w:t>use of statistical disclosure control techniques such as cell suppression and perturbation; and/or</w:t>
      </w:r>
    </w:p>
    <w:p w:rsidR="004165E0" w:rsidRPr="004165E0" w:rsidRDefault="004165E0" w:rsidP="0042688B">
      <w:pPr>
        <w:pStyle w:val="ListParagraph"/>
        <w:numPr>
          <w:ilvl w:val="0"/>
          <w:numId w:val="22"/>
        </w:numPr>
        <w:rPr>
          <w:rFonts w:ascii="Arial" w:hAnsi="Arial" w:cs="Arial"/>
        </w:rPr>
      </w:pPr>
      <w:r w:rsidRPr="004165E0">
        <w:rPr>
          <w:rFonts w:ascii="Arial" w:hAnsi="Arial" w:cs="Arial"/>
        </w:rPr>
        <w:t>providing access to data that are not likely to enable identification of individuals or organisations via on-site data laboratories; and/or</w:t>
      </w:r>
    </w:p>
    <w:p w:rsidR="004165E0" w:rsidRPr="004165E0" w:rsidRDefault="004165E0" w:rsidP="0042688B">
      <w:pPr>
        <w:pStyle w:val="ListParagraph"/>
        <w:numPr>
          <w:ilvl w:val="0"/>
          <w:numId w:val="22"/>
        </w:numPr>
        <w:rPr>
          <w:rFonts w:ascii="Arial" w:hAnsi="Arial" w:cs="Arial"/>
        </w:rPr>
      </w:pPr>
      <w:r w:rsidRPr="004165E0">
        <w:rPr>
          <w:rFonts w:ascii="Arial" w:hAnsi="Arial" w:cs="Arial"/>
        </w:rPr>
        <w:t>providing access to data that are not likely to enable identification of individuals or organisations via secure remote access facilities; and/or</w:t>
      </w:r>
    </w:p>
    <w:p w:rsidR="004165E0" w:rsidRPr="004165E0" w:rsidRDefault="004165E0" w:rsidP="0042688B">
      <w:pPr>
        <w:pStyle w:val="ListParagraph"/>
        <w:numPr>
          <w:ilvl w:val="0"/>
          <w:numId w:val="22"/>
        </w:numPr>
        <w:rPr>
          <w:rFonts w:ascii="Arial" w:hAnsi="Arial" w:cs="Arial"/>
        </w:rPr>
      </w:pPr>
      <w:r w:rsidRPr="004165E0">
        <w:rPr>
          <w:rFonts w:ascii="Arial" w:hAnsi="Arial" w:cs="Arial"/>
        </w:rPr>
        <w:lastRenderedPageBreak/>
        <w:t>manual review of data by staff with appropriate skills prior to any data release.</w:t>
      </w:r>
    </w:p>
    <w:p w:rsidR="004165E0" w:rsidRPr="004165E0" w:rsidRDefault="004165E0" w:rsidP="0042688B">
      <w:pPr>
        <w:rPr>
          <w:rFonts w:ascii="Arial" w:hAnsi="Arial" w:cs="Arial"/>
        </w:rPr>
      </w:pPr>
      <w:r w:rsidRPr="004165E0">
        <w:rPr>
          <w:rFonts w:ascii="Arial" w:hAnsi="Arial" w:cs="Arial"/>
        </w:rPr>
        <w:t xml:space="preserve">As an additional protective measure, </w:t>
      </w:r>
      <w:r w:rsidR="003B5C4E">
        <w:rPr>
          <w:rFonts w:ascii="Arial" w:hAnsi="Arial" w:cs="Arial"/>
        </w:rPr>
        <w:t>integrating authorities</w:t>
      </w:r>
      <w:r w:rsidRPr="004165E0">
        <w:rPr>
          <w:rFonts w:ascii="Arial" w:hAnsi="Arial" w:cs="Arial"/>
        </w:rPr>
        <w:t xml:space="preserve"> may restrict access to data that are not likely to enable identification of individuals or organisations to approved applicants. </w:t>
      </w:r>
    </w:p>
    <w:p w:rsidR="004165E0" w:rsidRPr="004165E0" w:rsidRDefault="004165E0" w:rsidP="0042688B">
      <w:pPr>
        <w:rPr>
          <w:rFonts w:ascii="Arial" w:hAnsi="Arial" w:cs="Arial"/>
          <w:b/>
          <w:i/>
        </w:rPr>
      </w:pPr>
      <w:r w:rsidRPr="004165E0">
        <w:rPr>
          <w:rFonts w:ascii="Arial" w:hAnsi="Arial" w:cs="Arial"/>
          <w:b/>
          <w:i/>
        </w:rPr>
        <w:t>iii) Availability of appropriate skills</w:t>
      </w:r>
    </w:p>
    <w:p w:rsidR="004165E0" w:rsidRPr="004165E0" w:rsidRDefault="004165E0" w:rsidP="0042688B">
      <w:pPr>
        <w:rPr>
          <w:rFonts w:ascii="Arial" w:hAnsi="Arial" w:cs="Arial"/>
        </w:rPr>
      </w:pPr>
      <w:r w:rsidRPr="004165E0">
        <w:rPr>
          <w:rFonts w:ascii="Arial" w:hAnsi="Arial" w:cs="Arial"/>
        </w:rPr>
        <w:t xml:space="preserve">An </w:t>
      </w:r>
      <w:r w:rsidR="003B5C4E">
        <w:rPr>
          <w:rFonts w:ascii="Arial" w:hAnsi="Arial" w:cs="Arial"/>
        </w:rPr>
        <w:t xml:space="preserve"> integrating authority</w:t>
      </w:r>
      <w:r w:rsidRPr="004165E0">
        <w:rPr>
          <w:rFonts w:ascii="Arial" w:hAnsi="Arial" w:cs="Arial"/>
        </w:rPr>
        <w:t xml:space="preserve"> seeking </w:t>
      </w:r>
      <w:r w:rsidR="002B3790">
        <w:rPr>
          <w:rFonts w:ascii="Arial" w:hAnsi="Arial" w:cs="Arial"/>
        </w:rPr>
        <w:t>interim accreditation</w:t>
      </w:r>
      <w:r w:rsidRPr="004165E0">
        <w:rPr>
          <w:rFonts w:ascii="Arial" w:hAnsi="Arial" w:cs="Arial"/>
        </w:rPr>
        <w:t xml:space="preserve"> will need to have a high level of relevant skills to undertake high risk data integration projects or be able to show how they can gain these skills (e.g. secondment provisions, training). Relevant skills include:</w:t>
      </w:r>
    </w:p>
    <w:p w:rsidR="004165E0" w:rsidRPr="004165E0" w:rsidRDefault="004165E0" w:rsidP="0042688B">
      <w:pPr>
        <w:pStyle w:val="ListParagraph"/>
        <w:numPr>
          <w:ilvl w:val="0"/>
          <w:numId w:val="23"/>
        </w:numPr>
        <w:rPr>
          <w:rFonts w:ascii="Arial" w:hAnsi="Arial" w:cs="Arial"/>
        </w:rPr>
      </w:pPr>
      <w:r w:rsidRPr="004165E0">
        <w:rPr>
          <w:rFonts w:ascii="Arial" w:hAnsi="Arial" w:cs="Arial"/>
        </w:rPr>
        <w:t>expertise in linkage and merging functions</w:t>
      </w:r>
    </w:p>
    <w:p w:rsidR="004165E0" w:rsidRPr="00A95E08" w:rsidRDefault="004165E0" w:rsidP="0042688B">
      <w:pPr>
        <w:pStyle w:val="ListParagraph"/>
        <w:numPr>
          <w:ilvl w:val="0"/>
          <w:numId w:val="23"/>
        </w:numPr>
        <w:rPr>
          <w:rFonts w:ascii="Arial" w:hAnsi="Arial" w:cs="Arial"/>
        </w:rPr>
      </w:pPr>
      <w:r w:rsidRPr="004165E0">
        <w:rPr>
          <w:rFonts w:ascii="Arial" w:hAnsi="Arial" w:cs="Arial"/>
        </w:rPr>
        <w:t xml:space="preserve">expertise in privacy (for example, the ability to </w:t>
      </w:r>
      <w:r w:rsidRPr="00A95E08">
        <w:rPr>
          <w:rFonts w:ascii="Arial" w:hAnsi="Arial" w:cs="Arial"/>
        </w:rPr>
        <w:t xml:space="preserve">conduct a </w:t>
      </w:r>
      <w:hyperlink r:id="rId14" w:history="1">
        <w:r w:rsidR="00A95E08" w:rsidRPr="00A95E08">
          <w:rPr>
            <w:rStyle w:val="Hyperlink"/>
            <w:rFonts w:ascii="Arial" w:hAnsi="Arial" w:cs="Arial"/>
          </w:rPr>
          <w:t>Privacy Impact Assessment</w:t>
        </w:r>
      </w:hyperlink>
      <w:r w:rsidR="00A95E08" w:rsidRPr="00A95E08">
        <w:rPr>
          <w:rFonts w:ascii="Arial" w:hAnsi="Arial" w:cs="Arial"/>
        </w:rPr>
        <w:t>)</w:t>
      </w:r>
    </w:p>
    <w:p w:rsidR="004165E0" w:rsidRPr="004165E0" w:rsidRDefault="004165E0" w:rsidP="0042688B">
      <w:pPr>
        <w:pStyle w:val="ListParagraph"/>
        <w:numPr>
          <w:ilvl w:val="0"/>
          <w:numId w:val="23"/>
        </w:numPr>
        <w:rPr>
          <w:rFonts w:ascii="Arial" w:hAnsi="Arial" w:cs="Arial"/>
        </w:rPr>
      </w:pPr>
      <w:r w:rsidRPr="004165E0">
        <w:rPr>
          <w:rFonts w:ascii="Arial" w:hAnsi="Arial" w:cs="Arial"/>
        </w:rPr>
        <w:t>expertise in confidentiality</w:t>
      </w:r>
    </w:p>
    <w:p w:rsidR="004165E0" w:rsidRPr="004165E0" w:rsidRDefault="004165E0" w:rsidP="0042688B">
      <w:pPr>
        <w:pStyle w:val="ListParagraph"/>
        <w:numPr>
          <w:ilvl w:val="0"/>
          <w:numId w:val="23"/>
        </w:numPr>
        <w:rPr>
          <w:rFonts w:ascii="Arial" w:hAnsi="Arial" w:cs="Arial"/>
        </w:rPr>
      </w:pPr>
      <w:r w:rsidRPr="004165E0">
        <w:rPr>
          <w:rFonts w:ascii="Arial" w:hAnsi="Arial" w:cs="Arial"/>
        </w:rPr>
        <w:t>information management skills</w:t>
      </w:r>
    </w:p>
    <w:p w:rsidR="004165E0" w:rsidRPr="004165E0" w:rsidRDefault="004165E0" w:rsidP="0042688B">
      <w:pPr>
        <w:pStyle w:val="ListParagraph"/>
        <w:numPr>
          <w:ilvl w:val="0"/>
          <w:numId w:val="23"/>
        </w:numPr>
        <w:rPr>
          <w:rFonts w:ascii="Arial" w:hAnsi="Arial" w:cs="Arial"/>
        </w:rPr>
      </w:pPr>
      <w:r w:rsidRPr="004165E0">
        <w:rPr>
          <w:rFonts w:ascii="Arial" w:hAnsi="Arial" w:cs="Arial"/>
        </w:rPr>
        <w:t>ability to provide useful metadata to data users</w:t>
      </w:r>
    </w:p>
    <w:p w:rsidR="004165E0" w:rsidRPr="004165E0" w:rsidRDefault="004165E0" w:rsidP="0042688B">
      <w:pPr>
        <w:pStyle w:val="ListParagraph"/>
        <w:numPr>
          <w:ilvl w:val="0"/>
          <w:numId w:val="23"/>
        </w:numPr>
        <w:rPr>
          <w:rFonts w:ascii="Arial" w:hAnsi="Arial" w:cs="Arial"/>
        </w:rPr>
      </w:pPr>
      <w:r w:rsidRPr="004165E0">
        <w:rPr>
          <w:rFonts w:ascii="Arial" w:hAnsi="Arial" w:cs="Arial"/>
        </w:rPr>
        <w:t>appreciation of data quality issues to allow the</w:t>
      </w:r>
      <w:r w:rsidR="003B5C4E">
        <w:rPr>
          <w:rFonts w:ascii="Arial" w:hAnsi="Arial" w:cs="Arial"/>
        </w:rPr>
        <w:t xml:space="preserve"> integrating authority</w:t>
      </w:r>
      <w:r w:rsidRPr="004165E0">
        <w:rPr>
          <w:rFonts w:ascii="Arial" w:hAnsi="Arial" w:cs="Arial"/>
        </w:rPr>
        <w:t xml:space="preserve"> to provide advice to stakeholders.</w:t>
      </w:r>
    </w:p>
    <w:p w:rsidR="004165E0" w:rsidRPr="004165E0" w:rsidRDefault="004165E0" w:rsidP="0042688B">
      <w:pPr>
        <w:rPr>
          <w:rFonts w:ascii="Arial" w:hAnsi="Arial" w:cs="Arial"/>
        </w:rPr>
      </w:pPr>
      <w:r w:rsidRPr="004165E0">
        <w:rPr>
          <w:rFonts w:ascii="Arial" w:hAnsi="Arial" w:cs="Arial"/>
        </w:rPr>
        <w:t xml:space="preserve">This may be evident in the experience of staff undertaking the integration projects and in the provision of training and documentation to support the integration projects. </w:t>
      </w:r>
    </w:p>
    <w:p w:rsidR="004165E0" w:rsidRPr="004165E0" w:rsidRDefault="004165E0" w:rsidP="0042688B">
      <w:pPr>
        <w:rPr>
          <w:rFonts w:ascii="Arial" w:hAnsi="Arial" w:cs="Arial"/>
          <w:b/>
          <w:i/>
        </w:rPr>
      </w:pPr>
      <w:r w:rsidRPr="004165E0">
        <w:rPr>
          <w:rFonts w:ascii="Arial" w:hAnsi="Arial" w:cs="Arial"/>
          <w:b/>
          <w:i/>
        </w:rPr>
        <w:t>iv)</w:t>
      </w:r>
      <w:r w:rsidR="001C52F9">
        <w:rPr>
          <w:rFonts w:ascii="Arial" w:hAnsi="Arial" w:cs="Arial"/>
          <w:b/>
          <w:i/>
        </w:rPr>
        <w:t xml:space="preserve"> </w:t>
      </w:r>
      <w:r w:rsidRPr="004165E0">
        <w:rPr>
          <w:rFonts w:ascii="Arial" w:hAnsi="Arial" w:cs="Arial"/>
          <w:b/>
          <w:i/>
        </w:rPr>
        <w:t xml:space="preserve">Appropriate technical capability </w:t>
      </w:r>
    </w:p>
    <w:p w:rsidR="004165E0" w:rsidRPr="004165E0" w:rsidRDefault="004165E0" w:rsidP="0042688B">
      <w:pPr>
        <w:rPr>
          <w:rFonts w:ascii="Arial" w:hAnsi="Arial" w:cs="Arial"/>
        </w:rPr>
      </w:pPr>
      <w:r w:rsidRPr="004165E0">
        <w:rPr>
          <w:rFonts w:ascii="Arial" w:hAnsi="Arial" w:cs="Arial"/>
        </w:rPr>
        <w:t xml:space="preserve">To obtain </w:t>
      </w:r>
      <w:r w:rsidR="002B3790">
        <w:rPr>
          <w:rFonts w:ascii="Arial" w:hAnsi="Arial" w:cs="Arial"/>
        </w:rPr>
        <w:t>interim accreditation</w:t>
      </w:r>
      <w:r w:rsidRPr="004165E0">
        <w:rPr>
          <w:rFonts w:ascii="Arial" w:hAnsi="Arial" w:cs="Arial"/>
        </w:rPr>
        <w:t xml:space="preserve"> an</w:t>
      </w:r>
      <w:r w:rsidR="003B5C4E">
        <w:rPr>
          <w:rFonts w:ascii="Arial" w:hAnsi="Arial" w:cs="Arial"/>
        </w:rPr>
        <w:t xml:space="preserve"> integrating authority</w:t>
      </w:r>
      <w:r w:rsidRPr="004165E0">
        <w:rPr>
          <w:rFonts w:ascii="Arial" w:hAnsi="Arial" w:cs="Arial"/>
        </w:rPr>
        <w:t xml:space="preserve"> must have the necessary technical expertise and infrastructure, including secure hardware and software systems and system support, to undertake high risk data integration projects. Two factors that the</w:t>
      </w:r>
      <w:r w:rsidR="003B5C4E">
        <w:rPr>
          <w:rFonts w:ascii="Arial" w:hAnsi="Arial" w:cs="Arial"/>
        </w:rPr>
        <w:t xml:space="preserve"> integrating authority’s</w:t>
      </w:r>
      <w:r w:rsidRPr="004165E0">
        <w:rPr>
          <w:rFonts w:ascii="Arial" w:hAnsi="Arial" w:cs="Arial"/>
        </w:rPr>
        <w:t xml:space="preserve"> technical infrastructure will need to handle are the size of an integrated dataset (use of administrative data can result in very large files) and its complexity (e.g. maintaining a link that may be longitudinal or cross-sectional). The expertise and infrastructure required also extends to data access arrangements to maximise the public benefit of data integration.</w:t>
      </w:r>
    </w:p>
    <w:p w:rsidR="004165E0" w:rsidRPr="004165E0" w:rsidRDefault="004165E0" w:rsidP="0042688B">
      <w:pPr>
        <w:rPr>
          <w:rFonts w:ascii="Arial" w:hAnsi="Arial" w:cs="Arial"/>
          <w:b/>
          <w:i/>
        </w:rPr>
      </w:pPr>
      <w:r w:rsidRPr="004165E0">
        <w:rPr>
          <w:rFonts w:ascii="Arial" w:hAnsi="Arial" w:cs="Arial"/>
          <w:b/>
          <w:i/>
        </w:rPr>
        <w:t>v) Lack of conflict of interest</w:t>
      </w:r>
    </w:p>
    <w:p w:rsidR="004165E0" w:rsidRPr="004165E0" w:rsidRDefault="004165E0" w:rsidP="0042688B">
      <w:pPr>
        <w:rPr>
          <w:rFonts w:ascii="Arial" w:hAnsi="Arial" w:cs="Arial"/>
        </w:rPr>
      </w:pPr>
      <w:r w:rsidRPr="004165E0">
        <w:rPr>
          <w:rFonts w:ascii="Arial" w:hAnsi="Arial" w:cs="Arial"/>
        </w:rPr>
        <w:t xml:space="preserve">The Commonwealth Statistical Integration Principles state that statistical data integration must be used for statistical and research purposes only. Agencies with a regulatory function or with responsibility for compliance monitoring must demonstrate how they will address a potential conflict of interest if linked datasets could help them with these non-statistical purposes. Possible ways an agency may demonstrate a lack of conflict of interest include the use of some legally enforceable obligation, policies, and separation principles (e.g. restricting access so that staff with regulatory/compliance roles cannot access data which would enable list matching). </w:t>
      </w:r>
    </w:p>
    <w:p w:rsidR="004165E0" w:rsidRPr="004165E0" w:rsidRDefault="004165E0" w:rsidP="0042688B">
      <w:pPr>
        <w:rPr>
          <w:rFonts w:ascii="Arial" w:hAnsi="Arial" w:cs="Arial"/>
          <w:b/>
          <w:i/>
        </w:rPr>
      </w:pPr>
      <w:r w:rsidRPr="004165E0">
        <w:rPr>
          <w:rFonts w:ascii="Arial" w:hAnsi="Arial" w:cs="Arial"/>
          <w:b/>
          <w:i/>
        </w:rPr>
        <w:t>vi</w:t>
      </w:r>
      <w:r w:rsidR="00D51173" w:rsidRPr="004165E0">
        <w:rPr>
          <w:rFonts w:ascii="Arial" w:hAnsi="Arial" w:cs="Arial"/>
          <w:b/>
          <w:i/>
        </w:rPr>
        <w:t>)</w:t>
      </w:r>
      <w:r w:rsidR="001C52F9">
        <w:rPr>
          <w:rFonts w:ascii="Arial" w:hAnsi="Arial" w:cs="Arial"/>
          <w:b/>
          <w:i/>
        </w:rPr>
        <w:t xml:space="preserve"> </w:t>
      </w:r>
      <w:r w:rsidR="00D51173" w:rsidRPr="004165E0">
        <w:rPr>
          <w:rFonts w:ascii="Arial" w:hAnsi="Arial" w:cs="Arial"/>
          <w:b/>
          <w:i/>
        </w:rPr>
        <w:t>Culture</w:t>
      </w:r>
      <w:r w:rsidRPr="004165E0">
        <w:rPr>
          <w:rFonts w:ascii="Arial" w:hAnsi="Arial" w:cs="Arial"/>
          <w:b/>
          <w:i/>
        </w:rPr>
        <w:t xml:space="preserve"> and values that ensure protection of confidential information and support the use of data as a strategic resource</w:t>
      </w:r>
    </w:p>
    <w:p w:rsidR="004165E0" w:rsidRPr="004165E0" w:rsidRDefault="003B5C4E" w:rsidP="0042688B">
      <w:pPr>
        <w:rPr>
          <w:rFonts w:ascii="Arial" w:hAnsi="Arial" w:cs="Arial"/>
        </w:rPr>
      </w:pPr>
      <w:r>
        <w:rPr>
          <w:rFonts w:ascii="Arial" w:hAnsi="Arial" w:cs="Arial"/>
        </w:rPr>
        <w:t>Integrating authorities</w:t>
      </w:r>
      <w:r w:rsidR="004165E0" w:rsidRPr="004165E0">
        <w:rPr>
          <w:rFonts w:ascii="Arial" w:hAnsi="Arial" w:cs="Arial"/>
        </w:rPr>
        <w:t xml:space="preserve"> seeking </w:t>
      </w:r>
      <w:r w:rsidR="002B3790">
        <w:rPr>
          <w:rFonts w:ascii="Arial" w:hAnsi="Arial" w:cs="Arial"/>
        </w:rPr>
        <w:t>interim accreditation</w:t>
      </w:r>
      <w:r w:rsidR="004165E0" w:rsidRPr="004165E0">
        <w:rPr>
          <w:rFonts w:ascii="Arial" w:hAnsi="Arial" w:cs="Arial"/>
        </w:rPr>
        <w:t xml:space="preserve"> will need to demonstrate a consistently high standard of behaviour by all employees, commensurate with an agency statement equivalent to the APS Code of Conduct. Security needs to be part of the agency’s culture. </w:t>
      </w:r>
      <w:r w:rsidR="004165E0" w:rsidRPr="004165E0">
        <w:rPr>
          <w:rFonts w:ascii="Arial" w:hAnsi="Arial" w:cs="Arial"/>
        </w:rPr>
        <w:lastRenderedPageBreak/>
        <w:t xml:space="preserve">Staff working on data integration also need to value data as a strategic resource. Examples of how this standard may be demonstrated include: </w:t>
      </w:r>
    </w:p>
    <w:p w:rsidR="004165E0" w:rsidRPr="004165E0" w:rsidRDefault="004165E0" w:rsidP="0042688B">
      <w:pPr>
        <w:pStyle w:val="ListParagraph"/>
        <w:numPr>
          <w:ilvl w:val="0"/>
          <w:numId w:val="24"/>
        </w:numPr>
        <w:rPr>
          <w:rFonts w:ascii="Arial" w:hAnsi="Arial" w:cs="Arial"/>
        </w:rPr>
      </w:pPr>
      <w:r w:rsidRPr="004165E0">
        <w:rPr>
          <w:rFonts w:ascii="Arial" w:hAnsi="Arial" w:cs="Arial"/>
        </w:rPr>
        <w:t>a culture of protecting identifiable information</w:t>
      </w:r>
    </w:p>
    <w:p w:rsidR="004165E0" w:rsidRPr="004165E0" w:rsidRDefault="004165E0" w:rsidP="0042688B">
      <w:pPr>
        <w:pStyle w:val="ListParagraph"/>
        <w:numPr>
          <w:ilvl w:val="0"/>
          <w:numId w:val="24"/>
        </w:numPr>
        <w:rPr>
          <w:rFonts w:ascii="Arial" w:hAnsi="Arial" w:cs="Arial"/>
        </w:rPr>
      </w:pPr>
      <w:r w:rsidRPr="004165E0">
        <w:rPr>
          <w:rFonts w:ascii="Arial" w:hAnsi="Arial" w:cs="Arial"/>
        </w:rPr>
        <w:t>adequate training on security/privacy/confidentiality matters</w:t>
      </w:r>
    </w:p>
    <w:p w:rsidR="004165E0" w:rsidRPr="004165E0" w:rsidRDefault="004165E0" w:rsidP="0042688B">
      <w:pPr>
        <w:pStyle w:val="ListParagraph"/>
        <w:numPr>
          <w:ilvl w:val="0"/>
          <w:numId w:val="24"/>
        </w:numPr>
        <w:rPr>
          <w:rFonts w:ascii="Arial" w:hAnsi="Arial" w:cs="Arial"/>
        </w:rPr>
      </w:pPr>
      <w:r w:rsidRPr="004165E0">
        <w:rPr>
          <w:rFonts w:ascii="Arial" w:hAnsi="Arial" w:cs="Arial"/>
        </w:rPr>
        <w:t>appropriate mechanisms to consult with stakeholders (data custodians, data users and the public).</w:t>
      </w:r>
    </w:p>
    <w:p w:rsidR="004165E0" w:rsidRPr="004165E0" w:rsidRDefault="004165E0" w:rsidP="0042688B">
      <w:pPr>
        <w:rPr>
          <w:rFonts w:ascii="Arial" w:hAnsi="Arial" w:cs="Arial"/>
          <w:b/>
          <w:i/>
        </w:rPr>
      </w:pPr>
      <w:r w:rsidRPr="004165E0">
        <w:rPr>
          <w:rFonts w:ascii="Arial" w:hAnsi="Arial" w:cs="Arial"/>
          <w:b/>
          <w:i/>
        </w:rPr>
        <w:t>vii) Transparency of operation</w:t>
      </w:r>
    </w:p>
    <w:p w:rsidR="004165E0" w:rsidRPr="004165E0" w:rsidRDefault="004165E0" w:rsidP="0042688B">
      <w:pPr>
        <w:rPr>
          <w:rFonts w:ascii="Arial" w:hAnsi="Arial" w:cs="Arial"/>
        </w:rPr>
      </w:pPr>
      <w:r w:rsidRPr="004165E0">
        <w:rPr>
          <w:rFonts w:ascii="Arial" w:hAnsi="Arial" w:cs="Arial"/>
        </w:rPr>
        <w:t xml:space="preserve">To maintain public trust, use of government data, particularly in data integration projects for statistical and research purposes, must be open and transparent. </w:t>
      </w:r>
      <w:r w:rsidR="00384943">
        <w:rPr>
          <w:rFonts w:ascii="Arial" w:hAnsi="Arial" w:cs="Arial"/>
        </w:rPr>
        <w:t xml:space="preserve"> Integrating authorities</w:t>
      </w:r>
      <w:r w:rsidRPr="004165E0">
        <w:rPr>
          <w:rFonts w:ascii="Arial" w:hAnsi="Arial" w:cs="Arial"/>
        </w:rPr>
        <w:t xml:space="preserve"> seeking </w:t>
      </w:r>
      <w:r w:rsidR="002B3790">
        <w:rPr>
          <w:rFonts w:ascii="Arial" w:hAnsi="Arial" w:cs="Arial"/>
        </w:rPr>
        <w:t>interim accreditation</w:t>
      </w:r>
      <w:r w:rsidRPr="004165E0">
        <w:rPr>
          <w:rFonts w:ascii="Arial" w:hAnsi="Arial" w:cs="Arial"/>
        </w:rPr>
        <w:t xml:space="preserve"> will need to demonstrate the transparency of their operations, including the ability to apply sanctions. This may be evidenced by:</w:t>
      </w:r>
    </w:p>
    <w:p w:rsidR="004165E0" w:rsidRPr="004165E0" w:rsidRDefault="004165E0" w:rsidP="0042688B">
      <w:pPr>
        <w:pStyle w:val="ListParagraph"/>
        <w:numPr>
          <w:ilvl w:val="0"/>
          <w:numId w:val="25"/>
        </w:numPr>
        <w:rPr>
          <w:rFonts w:ascii="Arial" w:hAnsi="Arial" w:cs="Arial"/>
        </w:rPr>
      </w:pPr>
      <w:r w:rsidRPr="004165E0">
        <w:rPr>
          <w:rFonts w:ascii="Arial" w:hAnsi="Arial" w:cs="Arial"/>
        </w:rPr>
        <w:t>their legislation and policies, particularly in relation to their implementation of Gov2.0 recommendations which focus on increased openness in government</w:t>
      </w:r>
    </w:p>
    <w:p w:rsidR="004165E0" w:rsidRPr="004165E0" w:rsidRDefault="004165E0" w:rsidP="0042688B">
      <w:pPr>
        <w:pStyle w:val="ListParagraph"/>
        <w:numPr>
          <w:ilvl w:val="0"/>
          <w:numId w:val="25"/>
        </w:numPr>
        <w:rPr>
          <w:rFonts w:ascii="Arial" w:hAnsi="Arial" w:cs="Arial"/>
        </w:rPr>
      </w:pPr>
      <w:r w:rsidRPr="004165E0">
        <w:rPr>
          <w:rFonts w:ascii="Arial" w:hAnsi="Arial" w:cs="Arial"/>
        </w:rPr>
        <w:t>mechanisms to consult with and inform the public and key stakeholders about projects that are underway (e.g. via publications, presentations at conferences, focus groups)</w:t>
      </w:r>
    </w:p>
    <w:p w:rsidR="004165E0" w:rsidRPr="004165E0" w:rsidRDefault="004165E0" w:rsidP="0042688B">
      <w:pPr>
        <w:pStyle w:val="ListParagraph"/>
        <w:numPr>
          <w:ilvl w:val="0"/>
          <w:numId w:val="25"/>
        </w:numPr>
        <w:rPr>
          <w:rFonts w:ascii="Arial" w:hAnsi="Arial" w:cs="Arial"/>
        </w:rPr>
      </w:pPr>
      <w:r w:rsidRPr="004165E0">
        <w:rPr>
          <w:rFonts w:ascii="Arial" w:hAnsi="Arial" w:cs="Arial"/>
        </w:rPr>
        <w:t xml:space="preserve">publishing relevant material on the web e.g. data retention statements.  </w:t>
      </w:r>
    </w:p>
    <w:p w:rsidR="004165E0" w:rsidRPr="004165E0" w:rsidRDefault="004165E0" w:rsidP="0042688B">
      <w:pPr>
        <w:rPr>
          <w:rFonts w:ascii="Arial" w:hAnsi="Arial" w:cs="Arial"/>
          <w:b/>
          <w:i/>
        </w:rPr>
      </w:pPr>
      <w:r w:rsidRPr="004165E0">
        <w:rPr>
          <w:rFonts w:ascii="Arial" w:hAnsi="Arial" w:cs="Arial"/>
          <w:b/>
          <w:i/>
        </w:rPr>
        <w:t>viii) Appropriate governance and administrative framework</w:t>
      </w:r>
    </w:p>
    <w:p w:rsidR="004165E0" w:rsidRPr="004165E0" w:rsidRDefault="004165E0" w:rsidP="0042688B">
      <w:pPr>
        <w:rPr>
          <w:rFonts w:ascii="Arial" w:hAnsi="Arial" w:cs="Arial"/>
        </w:rPr>
      </w:pPr>
      <w:r w:rsidRPr="004165E0">
        <w:rPr>
          <w:rFonts w:ascii="Arial" w:hAnsi="Arial" w:cs="Arial"/>
        </w:rPr>
        <w:t>An</w:t>
      </w:r>
      <w:r w:rsidR="00384943">
        <w:rPr>
          <w:rFonts w:ascii="Arial" w:hAnsi="Arial" w:cs="Arial"/>
        </w:rPr>
        <w:t xml:space="preserve"> integrating authority</w:t>
      </w:r>
      <w:r w:rsidRPr="004165E0">
        <w:rPr>
          <w:rFonts w:ascii="Arial" w:hAnsi="Arial" w:cs="Arial"/>
        </w:rPr>
        <w:t xml:space="preserve"> must have frameworks in place for management of cost recovery</w:t>
      </w:r>
      <w:r w:rsidR="00585A73">
        <w:rPr>
          <w:rFonts w:ascii="Arial" w:hAnsi="Arial" w:cs="Arial"/>
        </w:rPr>
        <w:t xml:space="preserve"> (</w:t>
      </w:r>
      <w:r w:rsidR="00994E2F">
        <w:rPr>
          <w:rFonts w:ascii="Arial" w:hAnsi="Arial" w:cs="Arial"/>
        </w:rPr>
        <w:t>if applicable</w:t>
      </w:r>
      <w:r w:rsidR="00585A73">
        <w:rPr>
          <w:rFonts w:ascii="Arial" w:hAnsi="Arial" w:cs="Arial"/>
        </w:rPr>
        <w:t>)</w:t>
      </w:r>
      <w:r w:rsidRPr="004165E0">
        <w:rPr>
          <w:rFonts w:ascii="Arial" w:hAnsi="Arial" w:cs="Arial"/>
        </w:rPr>
        <w:t>, conducting investigations and handling of complaints. An</w:t>
      </w:r>
      <w:r w:rsidR="00384943">
        <w:rPr>
          <w:rFonts w:ascii="Arial" w:hAnsi="Arial" w:cs="Arial"/>
        </w:rPr>
        <w:t xml:space="preserve"> integrating authority</w:t>
      </w:r>
      <w:r w:rsidRPr="004165E0">
        <w:rPr>
          <w:rFonts w:ascii="Arial" w:hAnsi="Arial" w:cs="Arial"/>
        </w:rPr>
        <w:t xml:space="preserve"> must also demonstrate that they have appropriate institutional and project governance in place. Examples include Chief Executive Instructions and a Control Framework. </w:t>
      </w:r>
    </w:p>
    <w:p w:rsidR="00267505" w:rsidRPr="00CD1F5A" w:rsidRDefault="00267505" w:rsidP="00267505">
      <w:pPr>
        <w:rPr>
          <w:rFonts w:ascii="Arial" w:hAnsi="Arial" w:cs="Arial"/>
        </w:rPr>
      </w:pPr>
    </w:p>
    <w:p w:rsidR="00F87E83" w:rsidRPr="00CD1F5A" w:rsidRDefault="00F87E83" w:rsidP="00F87E83">
      <w:pPr>
        <w:spacing w:after="0" w:line="240" w:lineRule="auto"/>
        <w:rPr>
          <w:rFonts w:ascii="Arial" w:hAnsi="Arial" w:cs="Arial"/>
          <w:b/>
        </w:rPr>
      </w:pPr>
    </w:p>
    <w:p w:rsidR="00F87E83" w:rsidRPr="00CD1F5A" w:rsidRDefault="00F87E83" w:rsidP="00F87E83">
      <w:pPr>
        <w:spacing w:after="0" w:line="240" w:lineRule="auto"/>
        <w:rPr>
          <w:rFonts w:ascii="Arial" w:hAnsi="Arial" w:cs="Arial"/>
          <w:b/>
        </w:rPr>
      </w:pPr>
    </w:p>
    <w:p w:rsidR="00F87E83" w:rsidRPr="00CD1F5A" w:rsidRDefault="00F87E83" w:rsidP="00F87E83">
      <w:pPr>
        <w:spacing w:after="0" w:line="240" w:lineRule="auto"/>
        <w:rPr>
          <w:rFonts w:ascii="Arial" w:hAnsi="Arial" w:cs="Arial"/>
          <w:b/>
        </w:rPr>
      </w:pPr>
    </w:p>
    <w:p w:rsidR="00F87E83" w:rsidRPr="00CD1F5A" w:rsidRDefault="00F87E83" w:rsidP="00F87E83">
      <w:pPr>
        <w:spacing w:after="0" w:line="240" w:lineRule="auto"/>
        <w:rPr>
          <w:rFonts w:ascii="Arial" w:hAnsi="Arial" w:cs="Arial"/>
          <w:b/>
        </w:rPr>
      </w:pPr>
    </w:p>
    <w:p w:rsidR="001C52F9" w:rsidRDefault="001C52F9" w:rsidP="000C6B64">
      <w:pPr>
        <w:spacing w:line="240" w:lineRule="auto"/>
        <w:rPr>
          <w:rFonts w:ascii="Arial" w:eastAsia="Times New Roman" w:hAnsi="Arial" w:cs="Arial"/>
          <w:b/>
          <w:lang w:eastAsia="en-AU"/>
        </w:rPr>
      </w:pPr>
      <w:r>
        <w:rPr>
          <w:rFonts w:ascii="Arial" w:eastAsia="Times New Roman" w:hAnsi="Arial" w:cs="Arial"/>
          <w:b/>
          <w:lang w:eastAsia="en-AU"/>
        </w:rPr>
        <w:br w:type="page"/>
      </w:r>
      <w:r w:rsidR="00242D01">
        <w:rPr>
          <w:rFonts w:ascii="Arial" w:eastAsia="Times New Roman" w:hAnsi="Arial" w:cs="Arial"/>
          <w:b/>
          <w:lang w:eastAsia="en-AU"/>
        </w:rPr>
        <w:lastRenderedPageBreak/>
        <w:t xml:space="preserve">APPENDIX </w:t>
      </w:r>
      <w:r w:rsidR="006279AE">
        <w:rPr>
          <w:rFonts w:ascii="Arial" w:eastAsia="Times New Roman" w:hAnsi="Arial" w:cs="Arial"/>
          <w:b/>
          <w:lang w:eastAsia="en-AU"/>
        </w:rPr>
        <w:t xml:space="preserve"> 3</w:t>
      </w:r>
      <w:r w:rsidR="002F311A" w:rsidRPr="004165E0">
        <w:rPr>
          <w:rFonts w:ascii="Arial" w:eastAsia="Times New Roman" w:hAnsi="Arial" w:cs="Arial"/>
          <w:b/>
          <w:lang w:eastAsia="en-AU"/>
        </w:rPr>
        <w:t xml:space="preserve">: </w:t>
      </w:r>
      <w:r w:rsidR="0033143F">
        <w:rPr>
          <w:rFonts w:ascii="Arial" w:eastAsia="Times New Roman" w:hAnsi="Arial" w:cs="Arial"/>
          <w:b/>
          <w:lang w:eastAsia="en-AU"/>
        </w:rPr>
        <w:t xml:space="preserve">Signing page and template for </w:t>
      </w:r>
      <w:r w:rsidR="002F311A" w:rsidRPr="004165E0">
        <w:rPr>
          <w:rFonts w:ascii="Arial" w:eastAsia="Times New Roman" w:hAnsi="Arial" w:cs="Arial"/>
          <w:b/>
          <w:lang w:eastAsia="en-AU"/>
        </w:rPr>
        <w:t xml:space="preserve">applicants to complete </w:t>
      </w:r>
    </w:p>
    <w:p w:rsidR="004165E0" w:rsidRPr="004165E0" w:rsidRDefault="004165E0" w:rsidP="000C6B64">
      <w:pPr>
        <w:spacing w:line="240" w:lineRule="auto"/>
        <w:rPr>
          <w:rFonts w:ascii="Arial" w:eastAsia="Times New Roman" w:hAnsi="Arial" w:cs="Arial"/>
          <w:lang w:eastAsia="en-AU"/>
        </w:rPr>
      </w:pPr>
      <w:r w:rsidRPr="004165E0">
        <w:rPr>
          <w:rFonts w:ascii="Arial" w:eastAsia="Times New Roman" w:hAnsi="Arial" w:cs="Arial"/>
          <w:lang w:eastAsia="en-AU"/>
        </w:rPr>
        <w:t xml:space="preserve">Applicants wishing to apply for interim accreditation to undertake data integration projects involving Commonwealth data will need to complete the following template. They will need to attach additional supporting information (e.g. copies of relevant policies and procedures, a copy of the corporate plan, evidence of compliance with the Australian Government Protective Security Policy Framework) to help the Oversight Board and auditor make an assessment. </w:t>
      </w:r>
    </w:p>
    <w:p w:rsidR="004165E0" w:rsidRPr="004165E0" w:rsidRDefault="004165E0" w:rsidP="004165E0">
      <w:pPr>
        <w:rPr>
          <w:rFonts w:ascii="Arial" w:eastAsia="Times New Roman" w:hAnsi="Arial" w:cs="Arial"/>
          <w:lang w:eastAsia="en-AU"/>
        </w:rPr>
      </w:pPr>
      <w:r w:rsidRPr="004165E0">
        <w:rPr>
          <w:rFonts w:ascii="Arial" w:eastAsia="Times New Roman" w:hAnsi="Arial" w:cs="Arial"/>
          <w:lang w:eastAsia="en-AU"/>
        </w:rPr>
        <w:t xml:space="preserve">When making a decision about whether or not to apply for </w:t>
      </w:r>
      <w:r w:rsidR="002B3790">
        <w:rPr>
          <w:rFonts w:ascii="Arial" w:eastAsia="Times New Roman" w:hAnsi="Arial" w:cs="Arial"/>
          <w:lang w:eastAsia="en-AU"/>
        </w:rPr>
        <w:t>interim accreditation</w:t>
      </w:r>
      <w:r w:rsidRPr="004165E0">
        <w:rPr>
          <w:rFonts w:ascii="Arial" w:eastAsia="Times New Roman" w:hAnsi="Arial" w:cs="Arial"/>
          <w:lang w:eastAsia="en-AU"/>
        </w:rPr>
        <w:t>,</w:t>
      </w:r>
      <w:r w:rsidR="008C7C67">
        <w:rPr>
          <w:rFonts w:ascii="Arial" w:eastAsia="Times New Roman" w:hAnsi="Arial" w:cs="Arial"/>
          <w:lang w:eastAsia="en-AU"/>
        </w:rPr>
        <w:t xml:space="preserve"> </w:t>
      </w:r>
      <w:r w:rsidR="008C7C67">
        <w:rPr>
          <w:rFonts w:ascii="Arial" w:hAnsi="Arial" w:cs="Arial"/>
          <w:iCs/>
          <w:color w:val="000000"/>
        </w:rPr>
        <w:t>integrating authorities</w:t>
      </w:r>
      <w:r w:rsidRPr="004165E0">
        <w:rPr>
          <w:rFonts w:ascii="Arial" w:eastAsia="Times New Roman" w:hAnsi="Arial" w:cs="Arial"/>
          <w:lang w:eastAsia="en-AU"/>
        </w:rPr>
        <w:t xml:space="preserve"> will need to consider whether they are likely to have the authorisation required for projects they are contemplating. This will involve discussing obligations and requirements with the data custodian(s).</w:t>
      </w:r>
    </w:p>
    <w:p w:rsidR="004165E0" w:rsidRPr="004165E0" w:rsidRDefault="004165E0" w:rsidP="004165E0">
      <w:pPr>
        <w:rPr>
          <w:rFonts w:ascii="Arial" w:eastAsia="Times New Roman" w:hAnsi="Arial" w:cs="Arial"/>
          <w:b/>
          <w:lang w:eastAsia="en-AU"/>
        </w:rPr>
      </w:pPr>
      <w:r w:rsidRPr="004165E0">
        <w:rPr>
          <w:rFonts w:ascii="Arial" w:eastAsia="Times New Roman" w:hAnsi="Arial" w:cs="Arial"/>
          <w:b/>
          <w:lang w:eastAsia="en-AU"/>
        </w:rPr>
        <w:t>Applications must be signed off by the agency head</w:t>
      </w:r>
      <w:r w:rsidRPr="004165E0">
        <w:rPr>
          <w:rFonts w:ascii="Arial" w:eastAsia="Times New Roman" w:hAnsi="Arial" w:cs="Arial"/>
          <w:b/>
          <w:vertAlign w:val="superscript"/>
          <w:lang w:eastAsia="en-AU"/>
        </w:rPr>
        <w:footnoteReference w:id="1"/>
      </w:r>
      <w:r w:rsidRPr="004165E0">
        <w:rPr>
          <w:rFonts w:ascii="Arial" w:eastAsia="Times New Roman" w:hAnsi="Arial" w:cs="Arial"/>
          <w:b/>
          <w:lang w:eastAsia="en-AU"/>
        </w:rPr>
        <w:t xml:space="preserve"> or they will not be considered.</w:t>
      </w:r>
    </w:p>
    <w:p w:rsidR="004165E0" w:rsidRPr="004165E0" w:rsidRDefault="004165E0" w:rsidP="004165E0">
      <w:pPr>
        <w:rPr>
          <w:rFonts w:ascii="Arial" w:eastAsia="Times New Roman" w:hAnsi="Arial" w:cs="Arial"/>
          <w:b/>
          <w:lang w:eastAsia="en-AU"/>
        </w:rPr>
      </w:pPr>
      <w:r w:rsidRPr="004165E0">
        <w:rPr>
          <w:rFonts w:ascii="Arial" w:eastAsia="Times New Roman" w:hAnsi="Arial" w:cs="Arial"/>
          <w:b/>
          <w:lang w:eastAsia="en-AU"/>
        </w:rPr>
        <w:t>Contact officer details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9042"/>
      </w:tblGrid>
      <w:tr w:rsidR="004165E0" w:rsidRPr="004F1AEF" w:rsidTr="003B2DFB">
        <w:tc>
          <w:tcPr>
            <w:tcW w:w="5000" w:type="pct"/>
            <w:shd w:val="clear" w:color="auto" w:fill="auto"/>
          </w:tcPr>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This assessment has been completed by:</w:t>
            </w: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Name:</w:t>
            </w: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Organisation:</w:t>
            </w: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Contact telephone:</w:t>
            </w: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Signature:</w:t>
            </w: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Date:</w:t>
            </w:r>
          </w:p>
        </w:tc>
      </w:tr>
    </w:tbl>
    <w:p w:rsidR="004165E0" w:rsidRPr="004165E0" w:rsidRDefault="004165E0" w:rsidP="004165E0">
      <w:pPr>
        <w:rPr>
          <w:rFonts w:ascii="Arial" w:eastAsia="Times New Roman" w:hAnsi="Arial" w:cs="Arial"/>
          <w:b/>
          <w:bCs/>
          <w:lang w:eastAsia="en-AU"/>
        </w:rPr>
      </w:pP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Sign-off by agency head</w:t>
      </w:r>
      <w:r w:rsidR="00BA33AE" w:rsidRPr="00BA33AE">
        <w:rPr>
          <w:rFonts w:ascii="Arial" w:eastAsia="Times New Roman" w:hAnsi="Arial" w:cs="Arial"/>
          <w:b/>
          <w:bCs/>
          <w:vertAlign w:val="superscript"/>
          <w:lang w:eastAsia="en-AU"/>
        </w:rPr>
        <w:t>1</w:t>
      </w:r>
    </w:p>
    <w:p w:rsidR="001C52F9" w:rsidRDefault="001C52F9" w:rsidP="001C52F9">
      <w:pPr>
        <w:rPr>
          <w:rFonts w:ascii="Arial" w:eastAsia="Times New Roman" w:hAnsi="Arial" w:cs="Arial"/>
          <w:bCs/>
          <w:lang w:eastAsia="en-AU"/>
        </w:rPr>
      </w:pPr>
      <w:r w:rsidRPr="004165E0">
        <w:rPr>
          <w:rFonts w:ascii="Arial" w:eastAsia="Times New Roman" w:hAnsi="Arial" w:cs="Arial"/>
          <w:bCs/>
          <w:lang w:eastAsia="en-AU"/>
        </w:rPr>
        <w:t xml:space="preserve">I have undertaken sufficient review and investigation to ensure in my opinion that the answers and information provided are accurate, and that my organisation has the necessary values, skills and infrastructure to ensure data integration involving Commonwealth data for high risk statistical and/or research projects is carried out in a safe and effective way. </w:t>
      </w:r>
    </w:p>
    <w:p w:rsidR="004165E0" w:rsidRPr="004165E0" w:rsidRDefault="000C6B64" w:rsidP="000C6B64">
      <w:pPr>
        <w:spacing w:line="480" w:lineRule="auto"/>
        <w:rPr>
          <w:rFonts w:ascii="Arial" w:eastAsia="Times New Roman" w:hAnsi="Arial" w:cs="Arial"/>
          <w:b/>
          <w:bCs/>
          <w:lang w:eastAsia="en-AU"/>
        </w:rPr>
      </w:pPr>
      <w:r>
        <w:rPr>
          <w:rFonts w:ascii="Arial" w:eastAsia="Times New Roman" w:hAnsi="Arial" w:cs="Arial"/>
          <w:b/>
          <w:bCs/>
          <w:lang w:eastAsia="en-AU"/>
        </w:rPr>
        <w:t>Signature</w:t>
      </w:r>
      <w:r w:rsidR="004165E0" w:rsidRPr="004165E0">
        <w:rPr>
          <w:rFonts w:ascii="Arial" w:eastAsia="Times New Roman" w:hAnsi="Arial" w:cs="Arial"/>
          <w:b/>
          <w:bCs/>
          <w:lang w:eastAsia="en-AU"/>
        </w:rPr>
        <w:t>: ____________</w:t>
      </w:r>
      <w:r w:rsidR="00D849F4">
        <w:rPr>
          <w:rFonts w:ascii="Arial" w:eastAsia="Times New Roman" w:hAnsi="Arial" w:cs="Arial"/>
          <w:b/>
          <w:bCs/>
          <w:lang w:eastAsia="en-AU"/>
        </w:rPr>
        <w:t>_______________________</w:t>
      </w:r>
      <w:r w:rsidR="004165E0" w:rsidRPr="004165E0">
        <w:rPr>
          <w:rFonts w:ascii="Arial" w:eastAsia="Times New Roman" w:hAnsi="Arial" w:cs="Arial"/>
          <w:b/>
          <w:bCs/>
          <w:lang w:eastAsia="en-AU"/>
        </w:rPr>
        <w:t xml:space="preserve">  Date: _____________________</w:t>
      </w:r>
    </w:p>
    <w:p w:rsidR="00D849F4" w:rsidRDefault="000C6B64" w:rsidP="000C6B64">
      <w:pPr>
        <w:spacing w:line="480" w:lineRule="auto"/>
        <w:rPr>
          <w:rFonts w:ascii="Arial" w:eastAsia="Times New Roman" w:hAnsi="Arial" w:cs="Arial"/>
          <w:b/>
          <w:bCs/>
          <w:lang w:eastAsia="en-AU"/>
        </w:rPr>
      </w:pPr>
      <w:r>
        <w:rPr>
          <w:rFonts w:ascii="Arial" w:eastAsia="Times New Roman" w:hAnsi="Arial" w:cs="Arial"/>
          <w:b/>
          <w:bCs/>
          <w:lang w:eastAsia="en-AU"/>
        </w:rPr>
        <w:t xml:space="preserve">Name </w:t>
      </w:r>
      <w:r w:rsidRPr="000C6B64">
        <w:rPr>
          <w:rFonts w:ascii="Arial" w:eastAsia="Times New Roman" w:hAnsi="Arial" w:cs="Arial"/>
          <w:bCs/>
          <w:lang w:eastAsia="en-AU"/>
        </w:rPr>
        <w:t>(block letters)</w:t>
      </w:r>
      <w:r w:rsidR="00D849F4" w:rsidRPr="004165E0">
        <w:rPr>
          <w:rFonts w:ascii="Arial" w:eastAsia="Times New Roman" w:hAnsi="Arial" w:cs="Arial"/>
          <w:b/>
          <w:bCs/>
          <w:lang w:eastAsia="en-AU"/>
        </w:rPr>
        <w:t>: ____________</w:t>
      </w:r>
      <w:r w:rsidR="00D849F4">
        <w:rPr>
          <w:rFonts w:ascii="Arial" w:eastAsia="Times New Roman" w:hAnsi="Arial" w:cs="Arial"/>
          <w:b/>
          <w:bCs/>
          <w:lang w:eastAsia="en-AU"/>
        </w:rPr>
        <w:t>___________________________</w:t>
      </w:r>
      <w:r w:rsidR="00D849F4" w:rsidRPr="004165E0">
        <w:rPr>
          <w:rFonts w:ascii="Arial" w:eastAsia="Times New Roman" w:hAnsi="Arial" w:cs="Arial"/>
          <w:b/>
          <w:bCs/>
          <w:lang w:eastAsia="en-AU"/>
        </w:rPr>
        <w:t xml:space="preserve">   </w:t>
      </w:r>
    </w:p>
    <w:p w:rsidR="004165E0" w:rsidRPr="004165E0" w:rsidRDefault="004165E0" w:rsidP="004165E0">
      <w:pPr>
        <w:rPr>
          <w:rFonts w:ascii="Arial" w:eastAsia="Times New Roman" w:hAnsi="Arial" w:cs="Arial"/>
          <w:b/>
          <w:bCs/>
          <w:lang w:eastAsia="en-AU"/>
        </w:rPr>
      </w:pPr>
      <w:r w:rsidRPr="004165E0">
        <w:rPr>
          <w:rFonts w:ascii="Arial" w:eastAsia="Times New Roman" w:hAnsi="Arial" w:cs="Arial"/>
          <w:b/>
          <w:bCs/>
          <w:lang w:eastAsia="en-AU"/>
        </w:rPr>
        <w:t xml:space="preserve">Email this form to the data integration secretariat, email: </w:t>
      </w:r>
      <w:hyperlink r:id="rId15" w:history="1">
        <w:r w:rsidR="006279AE" w:rsidRPr="006279AE">
          <w:rPr>
            <w:rStyle w:val="Hyperlink"/>
            <w:rFonts w:ascii="Arial" w:eastAsia="Times New Roman" w:hAnsi="Arial" w:cs="Arial"/>
            <w:b/>
            <w:bCs/>
            <w:lang w:eastAsia="en-AU"/>
          </w:rPr>
          <w:t>statistical.data.integration@nss.gov.au</w:t>
        </w:r>
      </w:hyperlink>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9042"/>
      </w:tblGrid>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keepNext/>
              <w:keepLines/>
              <w:autoSpaceDE w:val="0"/>
              <w:autoSpaceDN w:val="0"/>
              <w:adjustRightInd w:val="0"/>
              <w:ind w:left="15"/>
              <w:rPr>
                <w:rFonts w:ascii="Arial" w:hAnsi="Arial" w:cs="Arial"/>
                <w:b/>
                <w:bCs/>
                <w:color w:val="000000"/>
              </w:rPr>
            </w:pPr>
          </w:p>
          <w:p w:rsidR="002F311A" w:rsidRPr="004F1AEF" w:rsidRDefault="002F311A">
            <w:pPr>
              <w:keepNext/>
              <w:keepLines/>
              <w:autoSpaceDE w:val="0"/>
              <w:autoSpaceDN w:val="0"/>
              <w:adjustRightInd w:val="0"/>
              <w:ind w:left="15"/>
              <w:rPr>
                <w:rFonts w:ascii="Arial" w:hAnsi="Arial" w:cs="Arial"/>
                <w:b/>
                <w:bCs/>
                <w:color w:val="000000"/>
              </w:rPr>
            </w:pPr>
            <w:r w:rsidRPr="004F1AEF">
              <w:rPr>
                <w:rFonts w:ascii="Arial" w:hAnsi="Arial" w:cs="Arial"/>
                <w:b/>
                <w:bCs/>
                <w:color w:val="000000"/>
              </w:rPr>
              <w:t xml:space="preserve">Criterion I – Ability to ensure secure data management </w:t>
            </w:r>
          </w:p>
          <w:p w:rsidR="002F311A" w:rsidRPr="004F1AEF" w:rsidRDefault="002F311A">
            <w:pPr>
              <w:keepNext/>
              <w:keepLines/>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keepNext/>
              <w:keepLines/>
              <w:autoSpaceDE w:val="0"/>
              <w:autoSpaceDN w:val="0"/>
              <w:adjustRightInd w:val="0"/>
              <w:ind w:left="15"/>
              <w:rPr>
                <w:rFonts w:ascii="Arial" w:hAnsi="Arial" w:cs="Arial"/>
                <w:b/>
                <w:bCs/>
                <w:i/>
                <w:color w:val="000000"/>
              </w:rPr>
            </w:pPr>
          </w:p>
          <w:p w:rsidR="0099154C" w:rsidRPr="004F1AEF" w:rsidRDefault="0099154C" w:rsidP="0099154C">
            <w:pPr>
              <w:keepNext/>
              <w:keepLines/>
              <w:autoSpaceDE w:val="0"/>
              <w:autoSpaceDN w:val="0"/>
              <w:adjustRightInd w:val="0"/>
              <w:ind w:left="15"/>
              <w:rPr>
                <w:rFonts w:ascii="Arial" w:hAnsi="Arial" w:cs="Arial"/>
              </w:rPr>
            </w:pPr>
            <w:r w:rsidRPr="004F1AEF">
              <w:rPr>
                <w:rFonts w:ascii="Arial" w:hAnsi="Arial" w:cs="Arial"/>
                <w:bCs/>
              </w:rPr>
              <w:t xml:space="preserve">I(a) </w:t>
            </w:r>
            <w:r w:rsidRPr="004F1AEF">
              <w:rPr>
                <w:rFonts w:ascii="Arial" w:hAnsi="Arial" w:cs="Arial"/>
              </w:rPr>
              <w:t xml:space="preserve">How does your agency adhere to the separation </w:t>
            </w:r>
            <w:r w:rsidR="00A06728" w:rsidRPr="004F1AEF">
              <w:rPr>
                <w:rFonts w:ascii="Arial" w:hAnsi="Arial" w:cs="Arial"/>
              </w:rPr>
              <w:t>of identifying and content data</w:t>
            </w:r>
            <w:r w:rsidRPr="004F1AEF">
              <w:rPr>
                <w:rFonts w:ascii="Arial" w:hAnsi="Arial" w:cs="Arial"/>
              </w:rPr>
              <w:t xml:space="preserve">? Provide details of how only that information, from datasets to be linked, that is required to perform specific tasks is made available to those people performing the tasks. Specifically: </w:t>
            </w:r>
          </w:p>
          <w:p w:rsidR="0099154C" w:rsidRPr="004F1AEF" w:rsidRDefault="0099154C" w:rsidP="0099154C">
            <w:pPr>
              <w:keepNext/>
              <w:keepLines/>
              <w:numPr>
                <w:ilvl w:val="0"/>
                <w:numId w:val="40"/>
              </w:numPr>
              <w:autoSpaceDE w:val="0"/>
              <w:autoSpaceDN w:val="0"/>
              <w:adjustRightInd w:val="0"/>
              <w:spacing w:after="120" w:line="240" w:lineRule="auto"/>
              <w:ind w:left="731" w:hanging="442"/>
              <w:rPr>
                <w:rFonts w:ascii="Arial" w:hAnsi="Arial" w:cs="Arial"/>
              </w:rPr>
            </w:pPr>
            <w:r w:rsidRPr="004F1AEF">
              <w:rPr>
                <w:rFonts w:ascii="Arial" w:hAnsi="Arial" w:cs="Arial"/>
              </w:rPr>
              <w:t>linking separation (where those people performing the linking of the datasets can only access those parts of the datasets to be linked that are required to complete the linkage)</w:t>
            </w:r>
          </w:p>
          <w:p w:rsidR="0099154C" w:rsidRPr="004F1AEF" w:rsidRDefault="0099154C" w:rsidP="0099154C">
            <w:pPr>
              <w:keepNext/>
              <w:keepLines/>
              <w:numPr>
                <w:ilvl w:val="0"/>
                <w:numId w:val="39"/>
              </w:numPr>
              <w:autoSpaceDE w:val="0"/>
              <w:autoSpaceDN w:val="0"/>
              <w:adjustRightInd w:val="0"/>
              <w:spacing w:after="0" w:line="240" w:lineRule="auto"/>
              <w:ind w:hanging="428"/>
              <w:rPr>
                <w:rFonts w:ascii="Arial" w:hAnsi="Arial" w:cs="Arial"/>
                <w:bCs/>
              </w:rPr>
            </w:pPr>
            <w:r w:rsidRPr="004F1AEF">
              <w:rPr>
                <w:rFonts w:ascii="Arial" w:hAnsi="Arial" w:cs="Arial"/>
              </w:rPr>
              <w:t>analysis separation (where those people performing analysis of the linked datasets can only access those parts of the datasets required for the analysis).</w:t>
            </w:r>
          </w:p>
          <w:p w:rsidR="0099154C" w:rsidRPr="004F1AEF" w:rsidRDefault="0099154C" w:rsidP="0099154C">
            <w:pPr>
              <w:keepNext/>
              <w:keepLines/>
              <w:autoSpaceDE w:val="0"/>
              <w:autoSpaceDN w:val="0"/>
              <w:adjustRightInd w:val="0"/>
              <w:rPr>
                <w:rFonts w:ascii="Arial" w:hAnsi="Arial" w:cs="Arial"/>
                <w:bCs/>
                <w:sz w:val="20"/>
                <w:szCs w:val="20"/>
              </w:rPr>
            </w:pPr>
          </w:p>
          <w:p w:rsidR="002F311A" w:rsidRPr="004F1AEF" w:rsidRDefault="002F311A">
            <w:pPr>
              <w:keepNext/>
              <w:keepLines/>
              <w:autoSpaceDE w:val="0"/>
              <w:autoSpaceDN w:val="0"/>
              <w:adjustRightInd w:val="0"/>
              <w:ind w:left="15"/>
              <w:rPr>
                <w:rFonts w:ascii="Arial" w:hAnsi="Arial" w:cs="Arial"/>
              </w:rPr>
            </w:pPr>
          </w:p>
          <w:p w:rsidR="002F311A" w:rsidRPr="004F1AEF" w:rsidRDefault="002F311A">
            <w:pPr>
              <w:keepNext/>
              <w:keepLines/>
              <w:autoSpaceDE w:val="0"/>
              <w:autoSpaceDN w:val="0"/>
              <w:adjustRightInd w:val="0"/>
              <w:rPr>
                <w:rFonts w:ascii="Arial" w:hAnsi="Arial" w:cs="Arial"/>
                <w:bCs/>
              </w:rPr>
            </w:pPr>
          </w:p>
          <w:p w:rsidR="004165E0" w:rsidRPr="004F1AEF" w:rsidRDefault="004165E0">
            <w:pPr>
              <w:keepNext/>
              <w:keepLines/>
              <w:autoSpaceDE w:val="0"/>
              <w:autoSpaceDN w:val="0"/>
              <w:adjustRightInd w:val="0"/>
              <w:rPr>
                <w:rFonts w:ascii="Arial" w:hAnsi="Arial" w:cs="Arial"/>
                <w:bCs/>
              </w:rPr>
            </w:pPr>
          </w:p>
          <w:p w:rsidR="004165E0" w:rsidRPr="004F1AEF" w:rsidRDefault="004165E0">
            <w:pPr>
              <w:keepNext/>
              <w:keepLines/>
              <w:autoSpaceDE w:val="0"/>
              <w:autoSpaceDN w:val="0"/>
              <w:adjustRightInd w:val="0"/>
              <w:rPr>
                <w:rFonts w:ascii="Arial" w:hAnsi="Arial" w:cs="Arial"/>
                <w:bCs/>
              </w:rPr>
            </w:pPr>
          </w:p>
          <w:p w:rsidR="002F311A" w:rsidRPr="004F1AEF" w:rsidRDefault="002F311A">
            <w:pPr>
              <w:keepNext/>
              <w:keepLines/>
              <w:autoSpaceDE w:val="0"/>
              <w:autoSpaceDN w:val="0"/>
              <w:adjustRightInd w:val="0"/>
              <w:rPr>
                <w:rFonts w:ascii="Arial" w:hAnsi="Arial" w:cs="Arial"/>
                <w:bCs/>
              </w:rPr>
            </w:pPr>
          </w:p>
          <w:p w:rsidR="002F311A" w:rsidRPr="004F1AEF" w:rsidRDefault="002F311A">
            <w:pPr>
              <w:keepNext/>
              <w:keepLines/>
              <w:autoSpaceDE w:val="0"/>
              <w:autoSpaceDN w:val="0"/>
              <w:adjustRightInd w:val="0"/>
              <w:rPr>
                <w:rFonts w:ascii="Arial" w:hAnsi="Arial" w:cs="Arial"/>
                <w:bCs/>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keepNext/>
              <w:keepLines/>
              <w:autoSpaceDE w:val="0"/>
              <w:autoSpaceDN w:val="0"/>
              <w:adjustRightInd w:val="0"/>
              <w:rPr>
                <w:rFonts w:ascii="Arial" w:hAnsi="Arial" w:cs="Arial"/>
                <w:color w:val="000000"/>
              </w:rPr>
            </w:pPr>
            <w:r w:rsidRPr="004F1AEF">
              <w:rPr>
                <w:rFonts w:ascii="Arial" w:hAnsi="Arial" w:cs="Arial"/>
                <w:bCs/>
                <w:color w:val="000000"/>
              </w:rPr>
              <w:t>I(b)</w:t>
            </w:r>
            <w:r w:rsidRPr="004F1AEF">
              <w:rPr>
                <w:rFonts w:ascii="Arial" w:hAnsi="Arial" w:cs="Arial"/>
                <w:color w:val="000000"/>
              </w:rPr>
              <w:t xml:space="preserve"> How does your agency’s audit program (internal and external) ensure the continued security of data? </w:t>
            </w: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keepNext/>
              <w:keepLines/>
              <w:autoSpaceDE w:val="0"/>
              <w:autoSpaceDN w:val="0"/>
              <w:adjustRightInd w:val="0"/>
              <w:rPr>
                <w:rFonts w:ascii="Arial" w:hAnsi="Arial" w:cs="Arial"/>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hideMark/>
          </w:tcPr>
          <w:p w:rsidR="002F311A" w:rsidRPr="004F1AEF" w:rsidRDefault="002F311A">
            <w:pPr>
              <w:autoSpaceDE w:val="0"/>
              <w:autoSpaceDN w:val="0"/>
              <w:adjustRightInd w:val="0"/>
              <w:spacing w:after="120"/>
              <w:rPr>
                <w:rFonts w:ascii="Arial" w:hAnsi="Arial" w:cs="Arial"/>
                <w:b/>
                <w:bCs/>
                <w:i/>
                <w:color w:val="000000"/>
              </w:rPr>
            </w:pPr>
            <w:r w:rsidRPr="004F1AEF">
              <w:rPr>
                <w:rFonts w:ascii="Arial" w:hAnsi="Arial" w:cs="Arial"/>
                <w:b/>
                <w:i/>
                <w:iCs/>
                <w:color w:val="000000"/>
              </w:rPr>
              <w:t xml:space="preserve">NOTE: If your agency complies with the </w:t>
            </w:r>
            <w:hyperlink r:id="rId16" w:history="1">
              <w:r w:rsidRPr="004F1AEF">
                <w:rPr>
                  <w:rStyle w:val="Hyperlink"/>
                  <w:rFonts w:ascii="Arial" w:hAnsi="Arial" w:cs="Arial"/>
                  <w:b/>
                  <w:i/>
                  <w:iCs/>
                  <w:color w:val="00B0F0"/>
                </w:rPr>
                <w:t>Australian Government Protective Security Policy Framework</w:t>
              </w:r>
            </w:hyperlink>
            <w:r w:rsidRPr="004F1AEF">
              <w:rPr>
                <w:rFonts w:ascii="Arial" w:hAnsi="Arial" w:cs="Arial"/>
                <w:b/>
                <w:i/>
                <w:iCs/>
                <w:color w:val="00B0F0"/>
              </w:rPr>
              <w:t xml:space="preserve"> </w:t>
            </w:r>
            <w:r w:rsidRPr="004F1AEF">
              <w:rPr>
                <w:rFonts w:ascii="Arial" w:hAnsi="Arial" w:cs="Arial"/>
                <w:b/>
                <w:i/>
                <w:iCs/>
              </w:rPr>
              <w:t>(and can demonstrate this to the auditor)</w:t>
            </w:r>
            <w:r w:rsidRPr="004F1AEF">
              <w:rPr>
                <w:rFonts w:ascii="Arial" w:hAnsi="Arial" w:cs="Arial"/>
                <w:b/>
                <w:i/>
                <w:iCs/>
                <w:color w:val="00B0F0"/>
              </w:rPr>
              <w:t xml:space="preserve"> </w:t>
            </w:r>
            <w:r w:rsidRPr="004F1AEF">
              <w:rPr>
                <w:rFonts w:ascii="Arial" w:hAnsi="Arial" w:cs="Arial"/>
                <w:b/>
                <w:i/>
                <w:iCs/>
                <w:color w:val="000000"/>
              </w:rPr>
              <w:t>the remaining questions under criterion 1 do not need to be answered. Go to question IIa. Otherwise, please complete the following questions.</w:t>
            </w: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rPr>
            </w:pPr>
            <w:r w:rsidRPr="004F1AEF">
              <w:rPr>
                <w:rFonts w:ascii="Arial" w:hAnsi="Arial" w:cs="Arial"/>
                <w:bCs/>
                <w:color w:val="000000"/>
              </w:rPr>
              <w:t>I(c)</w:t>
            </w:r>
            <w:r w:rsidRPr="004F1AEF">
              <w:rPr>
                <w:rFonts w:ascii="Arial" w:hAnsi="Arial" w:cs="Arial"/>
                <w:b/>
                <w:iCs/>
                <w:color w:val="000000"/>
              </w:rPr>
              <w:t xml:space="preserve"> </w:t>
            </w:r>
            <w:r w:rsidRPr="004F1AEF">
              <w:rPr>
                <w:rFonts w:ascii="Arial" w:hAnsi="Arial" w:cs="Arial"/>
                <w:iCs/>
              </w:rPr>
              <w:t>Do employees (including contractors) undergo police checks upon employment?</w:t>
            </w:r>
          </w:p>
          <w:p w:rsidR="002F311A" w:rsidRPr="004F1AEF" w:rsidRDefault="002F311A">
            <w:pPr>
              <w:keepNext/>
              <w:keepLines/>
              <w:autoSpaceDE w:val="0"/>
              <w:autoSpaceDN w:val="0"/>
              <w:adjustRightInd w:val="0"/>
              <w:ind w:left="15"/>
              <w:rPr>
                <w:rFonts w:ascii="Arial" w:hAnsi="Arial" w:cs="Arial"/>
                <w:b/>
                <w:bCs/>
                <w:color w:val="FF00FF"/>
              </w:rPr>
            </w:pPr>
          </w:p>
          <w:p w:rsidR="002F311A" w:rsidRPr="004F1AEF" w:rsidRDefault="002F311A">
            <w:pPr>
              <w:keepNext/>
              <w:keepLines/>
              <w:autoSpaceDE w:val="0"/>
              <w:autoSpaceDN w:val="0"/>
              <w:adjustRightInd w:val="0"/>
              <w:ind w:left="15"/>
              <w:rPr>
                <w:rFonts w:ascii="Arial" w:hAnsi="Arial" w:cs="Arial"/>
                <w:b/>
                <w:bCs/>
                <w:color w:val="FF00FF"/>
              </w:rPr>
            </w:pPr>
          </w:p>
          <w:p w:rsidR="002F311A" w:rsidRPr="004F1AEF" w:rsidRDefault="002F311A">
            <w:pPr>
              <w:keepNext/>
              <w:keepLines/>
              <w:autoSpaceDE w:val="0"/>
              <w:autoSpaceDN w:val="0"/>
              <w:adjustRightInd w:val="0"/>
              <w:ind w:left="15"/>
              <w:rPr>
                <w:rFonts w:ascii="Arial" w:hAnsi="Arial" w:cs="Arial"/>
                <w:b/>
                <w:bCs/>
                <w:color w:val="FF00FF"/>
              </w:rPr>
            </w:pPr>
          </w:p>
          <w:p w:rsidR="002F311A" w:rsidRPr="004F1AEF" w:rsidRDefault="002F311A">
            <w:pPr>
              <w:keepNext/>
              <w:keepLines/>
              <w:autoSpaceDE w:val="0"/>
              <w:autoSpaceDN w:val="0"/>
              <w:adjustRightInd w:val="0"/>
              <w:ind w:left="15"/>
              <w:rPr>
                <w:rFonts w:ascii="Arial" w:hAnsi="Arial" w:cs="Arial"/>
                <w:b/>
                <w:bCs/>
                <w:color w:val="FF00FF"/>
              </w:rPr>
            </w:pPr>
          </w:p>
          <w:p w:rsidR="002F311A" w:rsidRPr="004F1AEF" w:rsidRDefault="002F311A">
            <w:pPr>
              <w:keepNext/>
              <w:keepLines/>
              <w:autoSpaceDE w:val="0"/>
              <w:autoSpaceDN w:val="0"/>
              <w:adjustRightInd w:val="0"/>
              <w:ind w:left="15"/>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bCs/>
                <w:color w:val="000000"/>
              </w:rPr>
              <w:lastRenderedPageBreak/>
              <w:t>I(d)</w:t>
            </w:r>
            <w:r w:rsidRPr="004F1AEF">
              <w:rPr>
                <w:rFonts w:ascii="Arial" w:hAnsi="Arial" w:cs="Arial"/>
                <w:color w:val="000000"/>
              </w:rPr>
              <w:t xml:space="preserve"> How i</w:t>
            </w:r>
            <w:r w:rsidRPr="004F1AEF">
              <w:rPr>
                <w:rFonts w:ascii="Arial" w:hAnsi="Arial" w:cs="Arial"/>
                <w:iCs/>
                <w:color w:val="000000"/>
              </w:rPr>
              <w:t>s access to your agency’s premises controlled?</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bCs/>
                <w:i/>
                <w:color w:val="000000"/>
              </w:rPr>
            </w:pPr>
          </w:p>
          <w:p w:rsidR="002F311A" w:rsidRPr="004F1AEF" w:rsidRDefault="002F311A">
            <w:pPr>
              <w:autoSpaceDE w:val="0"/>
              <w:autoSpaceDN w:val="0"/>
              <w:adjustRightInd w:val="0"/>
              <w:spacing w:after="12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bCs/>
                <w:color w:val="000000"/>
              </w:rPr>
              <w:t>I(e)</w:t>
            </w:r>
            <w:r w:rsidRPr="004F1AEF">
              <w:rPr>
                <w:rFonts w:ascii="Arial" w:hAnsi="Arial" w:cs="Arial"/>
                <w:color w:val="000000"/>
              </w:rPr>
              <w:t xml:space="preserve">  </w:t>
            </w:r>
            <w:r w:rsidRPr="004F1AEF">
              <w:rPr>
                <w:rFonts w:ascii="Arial" w:hAnsi="Arial" w:cs="Arial"/>
                <w:iCs/>
                <w:color w:val="000000"/>
              </w:rPr>
              <w:t>How is your agency’s Internet gateway secured?</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
                <w:iCs/>
                <w:color w:val="000000"/>
              </w:rPr>
            </w:pPr>
          </w:p>
          <w:p w:rsidR="002F311A" w:rsidRPr="004F1AEF" w:rsidRDefault="002F311A">
            <w:pPr>
              <w:keepNext/>
              <w:keepLines/>
              <w:autoSpaceDE w:val="0"/>
              <w:autoSpaceDN w:val="0"/>
              <w:adjustRightInd w:val="0"/>
              <w:ind w:left="15"/>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tabs>
                <w:tab w:val="left" w:pos="-1338"/>
              </w:tabs>
              <w:autoSpaceDE w:val="0"/>
              <w:autoSpaceDN w:val="0"/>
              <w:adjustRightInd w:val="0"/>
              <w:spacing w:after="120"/>
              <w:rPr>
                <w:rFonts w:ascii="Arial" w:hAnsi="Arial" w:cs="Arial"/>
                <w:iCs/>
                <w:color w:val="000000"/>
              </w:rPr>
            </w:pPr>
            <w:r w:rsidRPr="004F1AEF">
              <w:rPr>
                <w:rFonts w:ascii="Arial" w:hAnsi="Arial" w:cs="Arial"/>
                <w:bCs/>
                <w:color w:val="000000"/>
              </w:rPr>
              <w:t>I(f)</w:t>
            </w:r>
            <w:r w:rsidRPr="004F1AEF">
              <w:rPr>
                <w:rFonts w:ascii="Arial" w:hAnsi="Arial" w:cs="Arial"/>
                <w:color w:val="000000"/>
              </w:rPr>
              <w:t xml:space="preserve"> </w:t>
            </w:r>
            <w:r w:rsidRPr="004F1AEF">
              <w:rPr>
                <w:rFonts w:ascii="Arial" w:hAnsi="Arial" w:cs="Arial"/>
                <w:iCs/>
                <w:color w:val="000000"/>
              </w:rPr>
              <w:t>Does your agency have an Information Security Policy and procedural plan (including protective control of data, secure ICT access and documented procedures)? Please specify key elements of your Information Security protocols.</w:t>
            </w:r>
          </w:p>
          <w:p w:rsidR="002F311A" w:rsidRPr="004F1AEF" w:rsidRDefault="002F311A">
            <w:pPr>
              <w:tabs>
                <w:tab w:val="left" w:pos="-1338"/>
              </w:tabs>
              <w:autoSpaceDE w:val="0"/>
              <w:autoSpaceDN w:val="0"/>
              <w:adjustRightInd w:val="0"/>
              <w:spacing w:after="120"/>
              <w:rPr>
                <w:rFonts w:ascii="Arial" w:hAnsi="Arial" w:cs="Arial"/>
                <w:iCs/>
                <w:color w:val="000000"/>
              </w:rPr>
            </w:pPr>
          </w:p>
          <w:p w:rsidR="002F311A" w:rsidRPr="004F1AEF" w:rsidRDefault="002F311A">
            <w:pPr>
              <w:tabs>
                <w:tab w:val="left" w:pos="-1338"/>
              </w:tabs>
              <w:autoSpaceDE w:val="0"/>
              <w:autoSpaceDN w:val="0"/>
              <w:adjustRightInd w:val="0"/>
              <w:spacing w:after="120"/>
              <w:rPr>
                <w:rFonts w:ascii="Arial" w:hAnsi="Arial" w:cs="Arial"/>
                <w:iCs/>
                <w:color w:val="000000"/>
              </w:rPr>
            </w:pPr>
          </w:p>
          <w:p w:rsidR="002F311A" w:rsidRPr="004F1AEF" w:rsidRDefault="002F311A">
            <w:pPr>
              <w:tabs>
                <w:tab w:val="left" w:pos="-1338"/>
              </w:tabs>
              <w:autoSpaceDE w:val="0"/>
              <w:autoSpaceDN w:val="0"/>
              <w:adjustRightInd w:val="0"/>
              <w:spacing w:after="120"/>
              <w:rPr>
                <w:rFonts w:ascii="Arial" w:hAnsi="Arial" w:cs="Arial"/>
                <w:i/>
                <w:iCs/>
                <w:color w:val="000000"/>
              </w:rPr>
            </w:pPr>
          </w:p>
          <w:p w:rsidR="002F311A" w:rsidRPr="004F1AEF" w:rsidRDefault="002F311A">
            <w:pPr>
              <w:keepNext/>
              <w:keepLines/>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keepNext/>
              <w:keepLines/>
              <w:autoSpaceDE w:val="0"/>
              <w:autoSpaceDN w:val="0"/>
              <w:adjustRightInd w:val="0"/>
              <w:ind w:left="15"/>
              <w:rPr>
                <w:rFonts w:ascii="Arial" w:hAnsi="Arial" w:cs="Arial"/>
                <w:b/>
                <w:bCs/>
                <w:color w:val="000000"/>
              </w:rPr>
            </w:pPr>
          </w:p>
          <w:p w:rsidR="002F311A" w:rsidRPr="004F1AEF" w:rsidRDefault="002F311A">
            <w:pPr>
              <w:keepNext/>
              <w:keepLines/>
              <w:autoSpaceDE w:val="0"/>
              <w:autoSpaceDN w:val="0"/>
              <w:adjustRightInd w:val="0"/>
              <w:ind w:left="15"/>
              <w:rPr>
                <w:rFonts w:ascii="Arial" w:hAnsi="Arial" w:cs="Arial"/>
                <w:b/>
                <w:bCs/>
                <w:color w:val="000000"/>
              </w:rPr>
            </w:pPr>
            <w:r w:rsidRPr="004F1AEF">
              <w:rPr>
                <w:rFonts w:ascii="Arial" w:hAnsi="Arial" w:cs="Arial"/>
                <w:b/>
                <w:bCs/>
                <w:color w:val="000000"/>
              </w:rPr>
              <w:t>Criterion II –</w:t>
            </w:r>
            <w:r w:rsidR="006279AE" w:rsidRPr="004F1AEF">
              <w:rPr>
                <w:rFonts w:ascii="Arial" w:hAnsi="Arial" w:cs="Arial"/>
                <w:b/>
                <w:bCs/>
                <w:color w:val="000000"/>
              </w:rPr>
              <w:t xml:space="preserve"> Integrating authorities</w:t>
            </w:r>
            <w:r w:rsidRPr="004F1AEF">
              <w:rPr>
                <w:rFonts w:ascii="Arial" w:hAnsi="Arial" w:cs="Arial"/>
                <w:b/>
                <w:bCs/>
                <w:color w:val="000000"/>
              </w:rPr>
              <w:t xml:space="preserve"> must demonstrate that information that is likely to enable identification of individuals or organisations is not disclosed to external users </w:t>
            </w:r>
          </w:p>
          <w:p w:rsidR="002F311A" w:rsidRPr="004F1AEF" w:rsidRDefault="002F311A">
            <w:pPr>
              <w:keepNext/>
              <w:keepLines/>
              <w:autoSpaceDE w:val="0"/>
              <w:autoSpaceDN w:val="0"/>
              <w:adjustRightInd w:val="0"/>
              <w:ind w:left="15"/>
              <w:rPr>
                <w:rFonts w:ascii="Arial" w:hAnsi="Arial" w:cs="Arial"/>
                <w:b/>
                <w:b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bCs/>
              </w:rPr>
              <w:t xml:space="preserve">II(a) </w:t>
            </w:r>
            <w:r w:rsidRPr="004F1AEF">
              <w:rPr>
                <w:rFonts w:ascii="Arial" w:hAnsi="Arial" w:cs="Arial"/>
                <w:iCs/>
                <w:color w:val="000000"/>
              </w:rPr>
              <w:t>How will safe data access be provided? Please provide details of the proposed method. For example:</w:t>
            </w:r>
          </w:p>
          <w:p w:rsidR="002F311A" w:rsidRPr="004F1AEF" w:rsidRDefault="002F311A" w:rsidP="0077252D">
            <w:pPr>
              <w:numPr>
                <w:ilvl w:val="0"/>
                <w:numId w:val="7"/>
              </w:numPr>
              <w:tabs>
                <w:tab w:val="left" w:pos="859"/>
              </w:tabs>
              <w:autoSpaceDE w:val="0"/>
              <w:autoSpaceDN w:val="0"/>
              <w:adjustRightInd w:val="0"/>
              <w:spacing w:after="0" w:line="240" w:lineRule="auto"/>
              <w:ind w:left="717" w:hanging="425"/>
              <w:rPr>
                <w:rFonts w:ascii="Arial" w:hAnsi="Arial" w:cs="Arial"/>
                <w:iCs/>
                <w:color w:val="000000"/>
              </w:rPr>
            </w:pPr>
            <w:r w:rsidRPr="004F1AEF">
              <w:rPr>
                <w:rFonts w:ascii="Arial" w:hAnsi="Arial" w:cs="Arial"/>
              </w:rPr>
              <w:t xml:space="preserve">providing access to data that are not likely to enable identification of individuals or organisations via </w:t>
            </w:r>
            <w:r w:rsidRPr="004F1AEF">
              <w:rPr>
                <w:rFonts w:ascii="Arial" w:hAnsi="Arial" w:cs="Arial"/>
                <w:iCs/>
                <w:color w:val="000000"/>
              </w:rPr>
              <w:t>on site data laboratories</w:t>
            </w:r>
          </w:p>
          <w:p w:rsidR="002F311A" w:rsidRPr="004F1AEF" w:rsidRDefault="002F311A" w:rsidP="0077252D">
            <w:pPr>
              <w:numPr>
                <w:ilvl w:val="0"/>
                <w:numId w:val="7"/>
              </w:numPr>
              <w:tabs>
                <w:tab w:val="left" w:pos="859"/>
              </w:tabs>
              <w:autoSpaceDE w:val="0"/>
              <w:autoSpaceDN w:val="0"/>
              <w:adjustRightInd w:val="0"/>
              <w:spacing w:after="0" w:line="240" w:lineRule="auto"/>
              <w:ind w:left="717" w:hanging="425"/>
              <w:rPr>
                <w:rFonts w:ascii="Arial" w:hAnsi="Arial" w:cs="Arial"/>
                <w:iCs/>
                <w:color w:val="000000"/>
              </w:rPr>
            </w:pPr>
            <w:r w:rsidRPr="004F1AEF">
              <w:rPr>
                <w:rFonts w:ascii="Arial" w:hAnsi="Arial" w:cs="Arial"/>
              </w:rPr>
              <w:t>providing access to data that are not likely to enable identification of individuals or organisations via secure remote access facilities</w:t>
            </w:r>
            <w:r w:rsidRPr="004F1AEF">
              <w:rPr>
                <w:rFonts w:ascii="Arial" w:hAnsi="Arial" w:cs="Arial"/>
                <w:iCs/>
                <w:color w:val="000000"/>
              </w:rPr>
              <w:t xml:space="preserve"> </w:t>
            </w:r>
          </w:p>
          <w:p w:rsidR="002F311A" w:rsidRPr="004F1AEF" w:rsidRDefault="002F311A" w:rsidP="0077252D">
            <w:pPr>
              <w:numPr>
                <w:ilvl w:val="0"/>
                <w:numId w:val="7"/>
              </w:numPr>
              <w:tabs>
                <w:tab w:val="left" w:pos="859"/>
              </w:tabs>
              <w:autoSpaceDE w:val="0"/>
              <w:autoSpaceDN w:val="0"/>
              <w:adjustRightInd w:val="0"/>
              <w:spacing w:after="0" w:line="240" w:lineRule="auto"/>
              <w:ind w:left="717" w:hanging="425"/>
              <w:rPr>
                <w:rFonts w:ascii="Arial" w:hAnsi="Arial" w:cs="Arial"/>
                <w:iCs/>
                <w:color w:val="000000"/>
              </w:rPr>
            </w:pPr>
            <w:r w:rsidRPr="004F1AEF">
              <w:rPr>
                <w:rFonts w:ascii="Arial" w:hAnsi="Arial" w:cs="Arial"/>
                <w:iCs/>
                <w:color w:val="000000"/>
              </w:rPr>
              <w:t>review of data by appropriately skilled internal staff to ensure data is appropriately confidentialised before release</w:t>
            </w:r>
          </w:p>
          <w:p w:rsidR="002F311A" w:rsidRPr="004F1AEF" w:rsidRDefault="002F311A" w:rsidP="0077252D">
            <w:pPr>
              <w:numPr>
                <w:ilvl w:val="0"/>
                <w:numId w:val="7"/>
              </w:numPr>
              <w:tabs>
                <w:tab w:val="left" w:pos="859"/>
              </w:tabs>
              <w:autoSpaceDE w:val="0"/>
              <w:autoSpaceDN w:val="0"/>
              <w:adjustRightInd w:val="0"/>
              <w:spacing w:after="0" w:line="240" w:lineRule="auto"/>
              <w:ind w:left="717" w:hanging="425"/>
              <w:rPr>
                <w:rFonts w:ascii="Arial" w:hAnsi="Arial" w:cs="Arial"/>
                <w:iCs/>
                <w:color w:val="000000"/>
              </w:rPr>
            </w:pPr>
            <w:r w:rsidRPr="004F1AEF">
              <w:rPr>
                <w:rFonts w:ascii="Arial" w:hAnsi="Arial" w:cs="Arial"/>
                <w:iCs/>
                <w:color w:val="000000"/>
              </w:rPr>
              <w:t>provision of only confidentialised files to users (e.g. using formal algorithms to apply confidentiality)</w:t>
            </w:r>
          </w:p>
          <w:p w:rsidR="002F311A" w:rsidRPr="004F1AEF" w:rsidRDefault="002F311A" w:rsidP="0077252D">
            <w:pPr>
              <w:numPr>
                <w:ilvl w:val="0"/>
                <w:numId w:val="7"/>
              </w:numPr>
              <w:tabs>
                <w:tab w:val="left" w:pos="859"/>
              </w:tabs>
              <w:autoSpaceDE w:val="0"/>
              <w:autoSpaceDN w:val="0"/>
              <w:adjustRightInd w:val="0"/>
              <w:spacing w:after="120" w:line="240" w:lineRule="auto"/>
              <w:ind w:left="717" w:hanging="425"/>
              <w:rPr>
                <w:rFonts w:ascii="Arial" w:hAnsi="Arial" w:cs="Arial"/>
                <w:iCs/>
                <w:color w:val="000000"/>
              </w:rPr>
            </w:pPr>
            <w:r w:rsidRPr="004F1AEF">
              <w:rPr>
                <w:rFonts w:ascii="Arial" w:hAnsi="Arial" w:cs="Arial"/>
                <w:iCs/>
                <w:color w:val="000000"/>
              </w:rPr>
              <w:t>other - specify.</w:t>
            </w:r>
          </w:p>
          <w:p w:rsidR="002F311A" w:rsidRPr="004F1AEF" w:rsidRDefault="002F311A">
            <w:pPr>
              <w:tabs>
                <w:tab w:val="left" w:pos="859"/>
              </w:tabs>
              <w:autoSpaceDE w:val="0"/>
              <w:autoSpaceDN w:val="0"/>
              <w:adjustRightInd w:val="0"/>
              <w:ind w:left="292"/>
              <w:rPr>
                <w:rFonts w:ascii="Arial" w:hAnsi="Arial" w:cs="Arial"/>
                <w:iCs/>
                <w:color w:val="000000"/>
              </w:rPr>
            </w:pPr>
            <w:r w:rsidRPr="004F1AEF">
              <w:rPr>
                <w:rFonts w:ascii="Arial" w:hAnsi="Arial" w:cs="Arial"/>
                <w:iCs/>
                <w:color w:val="000000"/>
              </w:rPr>
              <w:t>As an extra protection, in addition to one of the methods above,</w:t>
            </w:r>
            <w:r w:rsidR="00224842" w:rsidRPr="004F1AEF">
              <w:rPr>
                <w:rFonts w:ascii="Arial" w:hAnsi="Arial" w:cs="Arial"/>
                <w:iCs/>
                <w:color w:val="000000"/>
              </w:rPr>
              <w:t xml:space="preserve"> integrating authorities</w:t>
            </w:r>
            <w:r w:rsidRPr="004F1AEF">
              <w:rPr>
                <w:rFonts w:ascii="Arial" w:hAnsi="Arial" w:cs="Arial"/>
                <w:iCs/>
                <w:color w:val="000000"/>
              </w:rPr>
              <w:t xml:space="preserve"> may also restrict access to endorsed applicants (similar to </w:t>
            </w:r>
            <w:r w:rsidRPr="004F1AEF">
              <w:rPr>
                <w:rFonts w:ascii="Arial" w:hAnsi="Arial" w:cs="Arial"/>
                <w:iCs/>
              </w:rPr>
              <w:t xml:space="preserve">the </w:t>
            </w:r>
            <w:hyperlink r:id="rId17" w:history="1">
              <w:r w:rsidRPr="004F1AEF">
                <w:rPr>
                  <w:rStyle w:val="Hyperlink"/>
                  <w:rFonts w:ascii="Arial" w:hAnsi="Arial" w:cs="Arial"/>
                  <w:iCs/>
                </w:rPr>
                <w:t xml:space="preserve">restrictions placed on </w:t>
              </w:r>
              <w:r w:rsidRPr="004F1AEF">
                <w:rPr>
                  <w:rStyle w:val="Hyperlink"/>
                  <w:rFonts w:ascii="Arial" w:hAnsi="Arial" w:cs="Arial"/>
                  <w:iCs/>
                </w:rPr>
                <w:lastRenderedPageBreak/>
                <w:t>access to Confidentialised Unit Record Files by the ABS</w:t>
              </w:r>
            </w:hyperlink>
            <w:r w:rsidRPr="004F1AEF">
              <w:rPr>
                <w:rFonts w:ascii="Arial" w:hAnsi="Arial" w:cs="Arial"/>
                <w:iCs/>
              </w:rPr>
              <w:t>, for example</w:t>
            </w:r>
            <w:r w:rsidRPr="004F1AEF">
              <w:rPr>
                <w:rFonts w:ascii="Arial" w:hAnsi="Arial" w:cs="Arial"/>
                <w:iCs/>
                <w:color w:val="000000"/>
              </w:rPr>
              <w:t>).</w:t>
            </w:r>
          </w:p>
          <w:p w:rsidR="002F311A" w:rsidRPr="004F1AEF" w:rsidRDefault="002F311A">
            <w:pPr>
              <w:tabs>
                <w:tab w:val="left" w:pos="859"/>
              </w:tabs>
              <w:autoSpaceDE w:val="0"/>
              <w:autoSpaceDN w:val="0"/>
              <w:adjustRightInd w:val="0"/>
              <w:spacing w:after="120"/>
              <w:ind w:left="292"/>
              <w:rPr>
                <w:rFonts w:ascii="Arial" w:hAnsi="Arial" w:cs="Arial"/>
                <w:iCs/>
                <w:color w:val="000000"/>
              </w:rPr>
            </w:pPr>
          </w:p>
          <w:p w:rsidR="002F311A" w:rsidRPr="004F1AEF" w:rsidRDefault="002F311A">
            <w:pPr>
              <w:autoSpaceDE w:val="0"/>
              <w:autoSpaceDN w:val="0"/>
              <w:adjustRightInd w:val="0"/>
              <w:spacing w:after="120"/>
              <w:rPr>
                <w:rFonts w:ascii="Arial" w:hAnsi="Arial" w:cs="Arial"/>
                <w:b/>
                <w:i/>
                <w:iCs/>
                <w:color w:val="000000"/>
              </w:rPr>
            </w:pPr>
            <w:r w:rsidRPr="004F1AEF">
              <w:rPr>
                <w:rFonts w:ascii="Arial" w:hAnsi="Arial" w:cs="Arial"/>
                <w:b/>
                <w:i/>
                <w:iCs/>
                <w:color w:val="000000"/>
              </w:rPr>
              <w:t>NOTE: Any of these options is acceptable provided the applicant can demonstrate safe practices. The application will need to include details of how the</w:t>
            </w:r>
            <w:r w:rsidR="00224842" w:rsidRPr="004F1AEF">
              <w:t xml:space="preserve"> </w:t>
            </w:r>
            <w:r w:rsidR="00224842" w:rsidRPr="004F1AEF">
              <w:rPr>
                <w:rFonts w:ascii="Arial" w:hAnsi="Arial" w:cs="Arial"/>
                <w:b/>
                <w:i/>
                <w:iCs/>
                <w:color w:val="000000"/>
              </w:rPr>
              <w:t>integrating authority</w:t>
            </w:r>
            <w:r w:rsidRPr="004F1AEF">
              <w:rPr>
                <w:rFonts w:ascii="Arial" w:hAnsi="Arial" w:cs="Arial"/>
                <w:b/>
                <w:i/>
                <w:iCs/>
                <w:color w:val="000000"/>
              </w:rPr>
              <w:t xml:space="preserve"> confidentialises data.</w:t>
            </w:r>
          </w:p>
          <w:p w:rsidR="002F311A" w:rsidRPr="004F1AEF" w:rsidRDefault="002F311A">
            <w:pPr>
              <w:autoSpaceDE w:val="0"/>
              <w:autoSpaceDN w:val="0"/>
              <w:adjustRightInd w:val="0"/>
              <w:spacing w:after="120"/>
              <w:rPr>
                <w:rFonts w:ascii="Arial" w:hAnsi="Arial" w:cs="Arial"/>
                <w:b/>
                <w:i/>
                <w:iCs/>
                <w:color w:val="000000"/>
              </w:rPr>
            </w:pPr>
          </w:p>
          <w:p w:rsidR="002F311A" w:rsidRPr="004F1AEF" w:rsidRDefault="002F311A">
            <w:pPr>
              <w:autoSpaceDE w:val="0"/>
              <w:autoSpaceDN w:val="0"/>
              <w:adjustRightInd w:val="0"/>
              <w:spacing w:after="120"/>
              <w:rPr>
                <w:rFonts w:ascii="Arial" w:hAnsi="Arial" w:cs="Arial"/>
                <w:b/>
                <w:i/>
                <w:iCs/>
                <w:color w:val="000000"/>
              </w:rPr>
            </w:pPr>
          </w:p>
          <w:p w:rsidR="002F311A" w:rsidRPr="004F1AEF" w:rsidRDefault="002F311A">
            <w:pPr>
              <w:autoSpaceDE w:val="0"/>
              <w:autoSpaceDN w:val="0"/>
              <w:adjustRightInd w:val="0"/>
              <w:spacing w:after="120"/>
              <w:rPr>
                <w:rFonts w:ascii="Arial" w:hAnsi="Arial" w:cs="Arial"/>
                <w:b/>
                <w:i/>
                <w:iCs/>
                <w:color w:val="000000"/>
              </w:rPr>
            </w:pPr>
          </w:p>
          <w:p w:rsidR="002F311A" w:rsidRPr="004F1AEF" w:rsidRDefault="002F311A">
            <w:pPr>
              <w:autoSpaceDE w:val="0"/>
              <w:autoSpaceDN w:val="0"/>
              <w:adjustRightInd w:val="0"/>
              <w:spacing w:after="120"/>
              <w:rPr>
                <w:rFonts w:ascii="Arial" w:hAnsi="Arial" w:cs="Arial"/>
                <w:b/>
                <w:i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autoSpaceDE w:val="0"/>
              <w:autoSpaceDN w:val="0"/>
              <w:adjustRightInd w:val="0"/>
              <w:rPr>
                <w:rFonts w:ascii="Arial" w:hAnsi="Arial" w:cs="Arial"/>
                <w:b/>
                <w:bCs/>
                <w:color w:val="000000"/>
              </w:rPr>
            </w:pPr>
          </w:p>
          <w:p w:rsidR="002F311A" w:rsidRPr="004F1AEF" w:rsidRDefault="002F311A">
            <w:pPr>
              <w:autoSpaceDE w:val="0"/>
              <w:autoSpaceDN w:val="0"/>
              <w:adjustRightInd w:val="0"/>
              <w:rPr>
                <w:rFonts w:ascii="Arial" w:hAnsi="Arial" w:cs="Arial"/>
                <w:b/>
                <w:bCs/>
                <w:iCs/>
                <w:color w:val="000000"/>
              </w:rPr>
            </w:pPr>
            <w:r w:rsidRPr="004F1AEF">
              <w:rPr>
                <w:rFonts w:ascii="Arial" w:hAnsi="Arial" w:cs="Arial"/>
                <w:b/>
                <w:bCs/>
                <w:iCs/>
                <w:color w:val="000000"/>
              </w:rPr>
              <w:t xml:space="preserve">Criterion III </w:t>
            </w:r>
            <w:r w:rsidRPr="004F1AEF">
              <w:rPr>
                <w:rFonts w:ascii="Arial" w:hAnsi="Arial" w:cs="Arial"/>
                <w:b/>
                <w:bCs/>
                <w:color w:val="000000"/>
              </w:rPr>
              <w:t>–</w:t>
            </w:r>
            <w:r w:rsidRPr="004F1AEF">
              <w:rPr>
                <w:rFonts w:ascii="Arial" w:hAnsi="Arial" w:cs="Arial"/>
                <w:b/>
                <w:bCs/>
                <w:iCs/>
                <w:color w:val="000000"/>
              </w:rPr>
              <w:t xml:space="preserve"> Availability of appropriate skills</w:t>
            </w:r>
          </w:p>
          <w:p w:rsidR="002F311A" w:rsidRPr="004F1AEF" w:rsidRDefault="002F311A">
            <w:pPr>
              <w:keepNext/>
              <w:keepLines/>
              <w:autoSpaceDE w:val="0"/>
              <w:autoSpaceDN w:val="0"/>
              <w:adjustRightInd w:val="0"/>
              <w:ind w:left="15"/>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iCs/>
                <w:color w:val="000000"/>
              </w:rPr>
              <w:t>III(a) What expertise and experience does the agency have to undertake high risk data integration projects? If your agency does not have this expertise or experience, what strategies are in place to acquire the necessary expertise to undertake a high risk integration project?</w:t>
            </w:r>
          </w:p>
          <w:p w:rsidR="002F311A" w:rsidRPr="004F1AEF" w:rsidRDefault="002F311A">
            <w:pPr>
              <w:autoSpaceDE w:val="0"/>
              <w:autoSpaceDN w:val="0"/>
              <w:adjustRightInd w:val="0"/>
              <w:rPr>
                <w:rFonts w:ascii="Arial" w:hAnsi="Arial" w:cs="Arial"/>
                <w:b/>
                <w:bCs/>
                <w:i/>
                <w:iCs/>
                <w:color w:val="000000"/>
              </w:rPr>
            </w:pPr>
          </w:p>
          <w:p w:rsidR="002F311A" w:rsidRPr="004F1AEF" w:rsidRDefault="002F311A">
            <w:pPr>
              <w:autoSpaceDE w:val="0"/>
              <w:autoSpaceDN w:val="0"/>
              <w:adjustRightInd w:val="0"/>
              <w:rPr>
                <w:rFonts w:ascii="Arial" w:hAnsi="Arial" w:cs="Arial"/>
                <w:b/>
                <w:bCs/>
                <w:i/>
                <w:iCs/>
                <w:color w:val="000000"/>
              </w:rPr>
            </w:pPr>
            <w:r w:rsidRPr="004F1AEF">
              <w:rPr>
                <w:rFonts w:ascii="Arial" w:hAnsi="Arial" w:cs="Arial"/>
                <w:b/>
                <w:bCs/>
                <w:i/>
                <w:iCs/>
                <w:color w:val="000000"/>
              </w:rPr>
              <w:t>NOTE: Relevant skills to consider include: expertise in linkage and merging functions; expertise in privacy; expertise in confidentiality; information management skills; ability to provide useful metadata to data users; and appreciation of data quality issues.</w:t>
            </w:r>
          </w:p>
          <w:p w:rsidR="002F311A" w:rsidRPr="004F1AEF" w:rsidRDefault="002F311A">
            <w:pPr>
              <w:autoSpaceDE w:val="0"/>
              <w:autoSpaceDN w:val="0"/>
              <w:adjustRightInd w:val="0"/>
              <w:rPr>
                <w:rFonts w:ascii="Arial" w:hAnsi="Arial" w:cs="Arial"/>
                <w:b/>
                <w:bCs/>
                <w:i/>
                <w:iCs/>
                <w:color w:val="000000"/>
              </w:rPr>
            </w:pPr>
          </w:p>
          <w:p w:rsidR="002F311A" w:rsidRPr="004F1AEF" w:rsidRDefault="002F311A">
            <w:pPr>
              <w:autoSpaceDE w:val="0"/>
              <w:autoSpaceDN w:val="0"/>
              <w:adjustRightInd w:val="0"/>
              <w:rPr>
                <w:rFonts w:ascii="Arial" w:hAnsi="Arial" w:cs="Arial"/>
                <w:b/>
                <w:bCs/>
                <w:i/>
                <w:iCs/>
                <w:color w:val="000000"/>
              </w:rPr>
            </w:pPr>
          </w:p>
          <w:p w:rsidR="002F311A" w:rsidRPr="004F1AEF" w:rsidRDefault="002F311A">
            <w:pPr>
              <w:keepNext/>
              <w:keepLines/>
              <w:autoSpaceDE w:val="0"/>
              <w:autoSpaceDN w:val="0"/>
              <w:adjustRightInd w:val="0"/>
              <w:ind w:left="15"/>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III(b) What documentation and training is available to ensure staff have the appropriate skills and knowledge required in high risk data integration projects?</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rPr>
                <w:rFonts w:ascii="Arial" w:hAnsi="Arial" w:cs="Arial"/>
                <w:color w:val="000000"/>
              </w:rPr>
            </w:pPr>
          </w:p>
          <w:p w:rsidR="002F311A" w:rsidRPr="004F1AEF" w:rsidRDefault="002F311A">
            <w:pPr>
              <w:autoSpaceDE w:val="0"/>
              <w:autoSpaceDN w:val="0"/>
              <w:adjustRightInd w:val="0"/>
              <w:rPr>
                <w:rFonts w:ascii="Arial" w:hAnsi="Arial" w:cs="Arial"/>
                <w:color w:val="000000"/>
              </w:rPr>
            </w:pPr>
          </w:p>
        </w:tc>
      </w:tr>
    </w:tbl>
    <w:p w:rsidR="002F311A" w:rsidRPr="00CD1F5A" w:rsidRDefault="002F311A" w:rsidP="002F311A">
      <w:pPr>
        <w:rPr>
          <w:rFonts w:ascii="Arial" w:hAnsi="Arial" w:cs="Arial"/>
        </w:rPr>
      </w:pPr>
      <w:r w:rsidRPr="00CD1F5A">
        <w:rPr>
          <w:rFonts w:ascii="Arial" w:hAnsi="Arial" w:cs="Arial"/>
        </w:rPr>
        <w:br w:type="page"/>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9042"/>
      </w:tblGrid>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autoSpaceDE w:val="0"/>
              <w:autoSpaceDN w:val="0"/>
              <w:adjustRightInd w:val="0"/>
              <w:rPr>
                <w:rFonts w:ascii="Arial" w:hAnsi="Arial" w:cs="Arial"/>
                <w:b/>
                <w:bCs/>
                <w:iCs/>
                <w:color w:val="000000"/>
              </w:rPr>
            </w:pPr>
          </w:p>
          <w:p w:rsidR="002F311A" w:rsidRPr="004F1AEF" w:rsidRDefault="002F311A">
            <w:pPr>
              <w:autoSpaceDE w:val="0"/>
              <w:autoSpaceDN w:val="0"/>
              <w:adjustRightInd w:val="0"/>
              <w:rPr>
                <w:rFonts w:ascii="Arial" w:hAnsi="Arial" w:cs="Arial"/>
                <w:b/>
                <w:bCs/>
                <w:iCs/>
                <w:color w:val="000000"/>
              </w:rPr>
            </w:pPr>
            <w:r w:rsidRPr="004F1AEF">
              <w:rPr>
                <w:rFonts w:ascii="Arial" w:hAnsi="Arial" w:cs="Arial"/>
                <w:b/>
                <w:bCs/>
                <w:iCs/>
                <w:color w:val="000000"/>
              </w:rPr>
              <w:t xml:space="preserve">Criterion IV </w:t>
            </w:r>
            <w:r w:rsidRPr="004F1AEF">
              <w:rPr>
                <w:rFonts w:ascii="Arial" w:hAnsi="Arial" w:cs="Arial"/>
                <w:b/>
                <w:bCs/>
                <w:color w:val="000000"/>
              </w:rPr>
              <w:t xml:space="preserve">– </w:t>
            </w:r>
            <w:r w:rsidRPr="004F1AEF">
              <w:rPr>
                <w:rFonts w:ascii="Arial" w:hAnsi="Arial" w:cs="Arial"/>
                <w:b/>
                <w:bCs/>
                <w:iCs/>
                <w:color w:val="000000"/>
              </w:rPr>
              <w:t>Appropriate technical capability</w:t>
            </w:r>
          </w:p>
          <w:p w:rsidR="002F311A" w:rsidRPr="004F1AEF" w:rsidRDefault="002F311A">
            <w:pPr>
              <w:keepNext/>
              <w:keepLines/>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bCs/>
                <w:iCs/>
                <w:color w:val="000000"/>
              </w:rPr>
              <w:t>IV(a) Does your agency have secure</w:t>
            </w:r>
            <w:r w:rsidRPr="004F1AEF">
              <w:rPr>
                <w:rFonts w:ascii="Arial" w:hAnsi="Arial" w:cs="Arial"/>
                <w:iCs/>
                <w:color w:val="000000"/>
              </w:rPr>
              <w:t xml:space="preserve"> IT infrastructure, including hardware and software systems, and the capacity to support the potentially large and/or complex files associated with high risk data integration projects? Give a brief evidentiary statement.</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bCs/>
                <w:iCs/>
                <w:color w:val="000000"/>
              </w:rPr>
              <w:t>IV(</w:t>
            </w:r>
            <w:r w:rsidRPr="004F1AEF">
              <w:rPr>
                <w:rFonts w:ascii="Arial" w:hAnsi="Arial" w:cs="Arial"/>
                <w:color w:val="000000"/>
              </w:rPr>
              <w:t xml:space="preserve">b) </w:t>
            </w:r>
            <w:r w:rsidRPr="004F1AEF">
              <w:rPr>
                <w:rFonts w:ascii="Arial" w:hAnsi="Arial" w:cs="Arial"/>
                <w:iCs/>
                <w:color w:val="000000"/>
              </w:rPr>
              <w:t xml:space="preserve">How does the system track access and changes to data to allow audits by date and user identification? Does the system 'footprint' inspection of records and provide an audit trail? </w:t>
            </w: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keepNext/>
              <w:keepLines/>
              <w:autoSpaceDE w:val="0"/>
              <w:autoSpaceDN w:val="0"/>
              <w:adjustRightInd w:val="0"/>
              <w:rPr>
                <w:rFonts w:ascii="Arial" w:hAnsi="Arial" w:cs="Arial"/>
                <w:color w:val="000000"/>
              </w:rPr>
            </w:pPr>
          </w:p>
          <w:p w:rsidR="002F311A" w:rsidRPr="004F1AEF" w:rsidRDefault="002F311A">
            <w:pPr>
              <w:autoSpaceDE w:val="0"/>
              <w:autoSpaceDN w:val="0"/>
              <w:adjustRightInd w:val="0"/>
              <w:spacing w:after="120"/>
              <w:rPr>
                <w:rFonts w:ascii="Arial" w:hAnsi="Arial" w:cs="Arial"/>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bCs/>
                <w:iCs/>
                <w:color w:val="000000"/>
              </w:rPr>
              <w:t xml:space="preserve">IV(c) </w:t>
            </w:r>
            <w:r w:rsidRPr="004F1AEF">
              <w:rPr>
                <w:rFonts w:ascii="Arial" w:hAnsi="Arial" w:cs="Arial"/>
                <w:iCs/>
                <w:color w:val="000000"/>
              </w:rPr>
              <w:t>What IT support is in place for staff?</w:t>
            </w:r>
          </w:p>
          <w:p w:rsidR="002F311A" w:rsidRPr="004F1AEF" w:rsidRDefault="002F311A">
            <w:pPr>
              <w:autoSpaceDE w:val="0"/>
              <w:autoSpaceDN w:val="0"/>
              <w:adjustRightInd w:val="0"/>
              <w:rPr>
                <w:rFonts w:ascii="Arial" w:hAnsi="Arial" w:cs="Arial"/>
                <w:b/>
                <w:iCs/>
                <w:color w:val="000000"/>
              </w:rPr>
            </w:pPr>
          </w:p>
          <w:p w:rsidR="002F311A" w:rsidRPr="004F1AEF" w:rsidRDefault="002F311A">
            <w:pPr>
              <w:autoSpaceDE w:val="0"/>
              <w:autoSpaceDN w:val="0"/>
              <w:adjustRightInd w:val="0"/>
              <w:rPr>
                <w:rFonts w:ascii="Arial" w:hAnsi="Arial" w:cs="Arial"/>
                <w:b/>
                <w:iCs/>
                <w:color w:val="000000"/>
              </w:rPr>
            </w:pPr>
          </w:p>
          <w:p w:rsidR="002F311A" w:rsidRPr="004F1AEF" w:rsidRDefault="002F311A">
            <w:pPr>
              <w:autoSpaceDE w:val="0"/>
              <w:autoSpaceDN w:val="0"/>
              <w:adjustRightInd w:val="0"/>
              <w:rPr>
                <w:rFonts w:ascii="Arial" w:hAnsi="Arial" w:cs="Arial"/>
                <w:b/>
                <w:iCs/>
                <w:color w:val="000000"/>
              </w:rPr>
            </w:pPr>
          </w:p>
          <w:p w:rsidR="002F311A" w:rsidRPr="004F1AEF" w:rsidRDefault="002F311A">
            <w:pPr>
              <w:autoSpaceDE w:val="0"/>
              <w:autoSpaceDN w:val="0"/>
              <w:adjustRightInd w:val="0"/>
              <w:rPr>
                <w:rFonts w:ascii="Arial" w:hAnsi="Arial" w:cs="Arial"/>
                <w:b/>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autoSpaceDE w:val="0"/>
              <w:autoSpaceDN w:val="0"/>
              <w:adjustRightInd w:val="0"/>
              <w:rPr>
                <w:rFonts w:ascii="Arial" w:hAnsi="Arial" w:cs="Arial"/>
                <w:b/>
                <w:bCs/>
                <w:iCs/>
                <w:color w:val="000000"/>
              </w:rPr>
            </w:pPr>
          </w:p>
          <w:p w:rsidR="002F311A" w:rsidRPr="004F1AEF" w:rsidRDefault="002F311A">
            <w:pPr>
              <w:autoSpaceDE w:val="0"/>
              <w:autoSpaceDN w:val="0"/>
              <w:adjustRightInd w:val="0"/>
              <w:rPr>
                <w:rFonts w:ascii="Arial" w:hAnsi="Arial" w:cs="Arial"/>
                <w:b/>
                <w:bCs/>
                <w:iCs/>
                <w:color w:val="000000"/>
              </w:rPr>
            </w:pPr>
            <w:r w:rsidRPr="004F1AEF">
              <w:rPr>
                <w:rFonts w:ascii="Arial" w:hAnsi="Arial" w:cs="Arial"/>
                <w:b/>
                <w:bCs/>
                <w:iCs/>
                <w:color w:val="000000"/>
              </w:rPr>
              <w:t xml:space="preserve">Criterion V </w:t>
            </w:r>
            <w:r w:rsidRPr="004F1AEF">
              <w:rPr>
                <w:rFonts w:ascii="Arial" w:hAnsi="Arial" w:cs="Arial"/>
                <w:b/>
                <w:bCs/>
                <w:color w:val="000000"/>
              </w:rPr>
              <w:t>– Lack of c</w:t>
            </w:r>
            <w:r w:rsidRPr="004F1AEF">
              <w:rPr>
                <w:rFonts w:ascii="Arial" w:hAnsi="Arial" w:cs="Arial"/>
                <w:b/>
                <w:bCs/>
                <w:iCs/>
              </w:rPr>
              <w:t>onflict</w:t>
            </w:r>
            <w:r w:rsidRPr="004F1AEF">
              <w:rPr>
                <w:rFonts w:ascii="Arial" w:hAnsi="Arial" w:cs="Arial"/>
                <w:b/>
                <w:bCs/>
                <w:iCs/>
                <w:color w:val="000000"/>
              </w:rPr>
              <w:t xml:space="preserve"> of interest</w:t>
            </w:r>
          </w:p>
          <w:p w:rsidR="002F311A" w:rsidRPr="004F1AEF" w:rsidRDefault="002F311A">
            <w:pPr>
              <w:keepNext/>
              <w:keepLines/>
              <w:autoSpaceDE w:val="0"/>
              <w:autoSpaceDN w:val="0"/>
              <w:adjustRightInd w:val="0"/>
              <w:ind w:left="15"/>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color w:val="000000"/>
              </w:rPr>
            </w:pPr>
            <w:r w:rsidRPr="004F1AEF">
              <w:rPr>
                <w:rFonts w:ascii="Arial" w:hAnsi="Arial" w:cs="Arial"/>
                <w:bCs/>
                <w:iCs/>
                <w:color w:val="000000"/>
              </w:rPr>
              <w:t xml:space="preserve">V(a) </w:t>
            </w:r>
            <w:r w:rsidRPr="004F1AEF">
              <w:rPr>
                <w:rFonts w:ascii="Arial" w:hAnsi="Arial" w:cs="Arial"/>
                <w:iCs/>
                <w:color w:val="000000"/>
              </w:rPr>
              <w:t xml:space="preserve">Does the agency have a compliance monitoring or regulatory function? </w:t>
            </w:r>
            <w:r w:rsidRPr="004F1AEF">
              <w:rPr>
                <w:rFonts w:ascii="Arial" w:hAnsi="Arial" w:cs="Arial"/>
                <w:color w:val="000000"/>
              </w:rPr>
              <w:t>If yes, describe how this function will be separated from integration projects undertaken for statistical and research purposes to avoid this conflict of interest.</w:t>
            </w:r>
          </w:p>
          <w:p w:rsidR="002F311A" w:rsidRPr="004F1AEF" w:rsidRDefault="002F311A">
            <w:pPr>
              <w:autoSpaceDE w:val="0"/>
              <w:autoSpaceDN w:val="0"/>
              <w:adjustRightInd w:val="0"/>
              <w:rPr>
                <w:rFonts w:ascii="Arial" w:hAnsi="Arial" w:cs="Arial"/>
                <w:color w:val="000000"/>
              </w:rPr>
            </w:pPr>
          </w:p>
          <w:p w:rsidR="002F311A" w:rsidRPr="004F1AEF" w:rsidRDefault="002F311A">
            <w:pPr>
              <w:autoSpaceDE w:val="0"/>
              <w:autoSpaceDN w:val="0"/>
              <w:adjustRightInd w:val="0"/>
              <w:rPr>
                <w:rFonts w:ascii="Arial" w:hAnsi="Arial" w:cs="Arial"/>
                <w:color w:val="000000"/>
              </w:rPr>
            </w:pPr>
          </w:p>
          <w:p w:rsidR="002F311A" w:rsidRPr="004F1AEF" w:rsidRDefault="002F311A">
            <w:pPr>
              <w:autoSpaceDE w:val="0"/>
              <w:autoSpaceDN w:val="0"/>
              <w:adjustRightInd w:val="0"/>
              <w:rPr>
                <w:rFonts w:ascii="Arial" w:hAnsi="Arial" w:cs="Arial"/>
                <w:color w:val="000000"/>
              </w:rPr>
            </w:pPr>
          </w:p>
          <w:p w:rsidR="002F311A" w:rsidRPr="004F1AEF" w:rsidRDefault="002F311A">
            <w:pPr>
              <w:autoSpaceDE w:val="0"/>
              <w:autoSpaceDN w:val="0"/>
              <w:adjustRightInd w:val="0"/>
              <w:rPr>
                <w:rFonts w:ascii="Arial" w:hAnsi="Arial" w:cs="Arial"/>
                <w:color w:val="000000"/>
              </w:rPr>
            </w:pPr>
          </w:p>
          <w:p w:rsidR="002F311A" w:rsidRPr="004F1AEF" w:rsidRDefault="002F311A">
            <w:pPr>
              <w:autoSpaceDE w:val="0"/>
              <w:autoSpaceDN w:val="0"/>
              <w:adjustRightInd w:val="0"/>
              <w:rPr>
                <w:rFonts w:ascii="Arial" w:hAnsi="Arial" w:cs="Arial"/>
                <w:i/>
                <w:iCs/>
                <w:color w:val="000000"/>
              </w:rPr>
            </w:pPr>
          </w:p>
          <w:p w:rsidR="002F311A" w:rsidRPr="004F1AEF" w:rsidRDefault="002F311A">
            <w:pPr>
              <w:autoSpaceDE w:val="0"/>
              <w:autoSpaceDN w:val="0"/>
              <w:adjustRightInd w:val="0"/>
              <w:rPr>
                <w:rFonts w:ascii="Arial" w:hAnsi="Arial" w:cs="Arial"/>
                <w:i/>
                <w:i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autoSpaceDE w:val="0"/>
              <w:autoSpaceDN w:val="0"/>
              <w:adjustRightInd w:val="0"/>
              <w:rPr>
                <w:rFonts w:ascii="Arial" w:hAnsi="Arial" w:cs="Arial"/>
                <w:b/>
                <w:bCs/>
                <w:iCs/>
                <w:color w:val="000000"/>
              </w:rPr>
            </w:pPr>
          </w:p>
          <w:p w:rsidR="002F311A" w:rsidRPr="004F1AEF" w:rsidRDefault="002F311A">
            <w:pPr>
              <w:autoSpaceDE w:val="0"/>
              <w:autoSpaceDN w:val="0"/>
              <w:adjustRightInd w:val="0"/>
              <w:rPr>
                <w:rFonts w:ascii="Arial" w:hAnsi="Arial" w:cs="Arial"/>
                <w:b/>
                <w:bCs/>
                <w:iCs/>
                <w:color w:val="000000"/>
              </w:rPr>
            </w:pPr>
            <w:r w:rsidRPr="004F1AEF">
              <w:rPr>
                <w:rFonts w:ascii="Arial" w:hAnsi="Arial" w:cs="Arial"/>
                <w:b/>
                <w:bCs/>
                <w:iCs/>
                <w:color w:val="000000"/>
              </w:rPr>
              <w:t xml:space="preserve">Criterion VI </w:t>
            </w:r>
            <w:r w:rsidRPr="004F1AEF">
              <w:rPr>
                <w:rFonts w:ascii="Arial" w:hAnsi="Arial" w:cs="Arial"/>
                <w:b/>
                <w:bCs/>
                <w:color w:val="000000"/>
              </w:rPr>
              <w:t>– C</w:t>
            </w:r>
            <w:r w:rsidRPr="004F1AEF">
              <w:rPr>
                <w:rFonts w:ascii="Arial" w:hAnsi="Arial" w:cs="Arial"/>
                <w:b/>
                <w:bCs/>
                <w:iCs/>
                <w:color w:val="000000"/>
              </w:rPr>
              <w:t>ulture and values that ensure protection of confidential information and support the use of data as a strategic resource</w:t>
            </w:r>
          </w:p>
          <w:p w:rsidR="002F311A" w:rsidRPr="004F1AEF" w:rsidRDefault="002F311A">
            <w:pPr>
              <w:keepNext/>
              <w:keepLines/>
              <w:autoSpaceDE w:val="0"/>
              <w:autoSpaceDN w:val="0"/>
              <w:adjustRightInd w:val="0"/>
              <w:ind w:left="375"/>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 xml:space="preserve">VI(a) How is an appropriate culture and values embedded in the agency’s corporate plan/mission statement/policies etc? </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iCs/>
                <w:color w:val="000000"/>
              </w:rPr>
              <w:t xml:space="preserve">VI(b) How have staff been trained in requirements for protecting personal information and how are they made aware of policies regarding breaches of security or confidentiality? </w:t>
            </w: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VI(c) Do staff sign undertakings related to secrecy and fidelity?</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iCs/>
                <w:color w:val="000000"/>
              </w:rPr>
              <w:t xml:space="preserve">VI(d) What mechanisms are in place to engage with stakeholders to maximise the usefulness of the data holdings? </w:t>
            </w: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Cs/>
                <w:color w:val="000000"/>
              </w:rPr>
            </w:pPr>
          </w:p>
          <w:p w:rsidR="002F311A" w:rsidRPr="004F1AEF" w:rsidRDefault="002F311A">
            <w:pPr>
              <w:autoSpaceDE w:val="0"/>
              <w:autoSpaceDN w:val="0"/>
              <w:adjustRightInd w:val="0"/>
              <w:rPr>
                <w:rFonts w:ascii="Arial" w:hAnsi="Arial" w:cs="Arial"/>
                <w:i/>
                <w:i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rPr>
                <w:rFonts w:ascii="Arial" w:hAnsi="Arial" w:cs="Arial"/>
                <w:iCs/>
                <w:color w:val="000000"/>
              </w:rPr>
            </w:pPr>
            <w:r w:rsidRPr="004F1AEF">
              <w:rPr>
                <w:rFonts w:ascii="Arial" w:hAnsi="Arial" w:cs="Arial"/>
                <w:iCs/>
                <w:color w:val="000000"/>
              </w:rPr>
              <w:lastRenderedPageBreak/>
              <w:t>VI(e) How does your agency provide for valuable use of the data, i.e. how does it maximise the value of data for users by providing them with access to as much data as possible while still protecting confidentiality?</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b/>
                <w:iCs/>
                <w:color w:val="000000"/>
              </w:rPr>
            </w:pPr>
          </w:p>
          <w:p w:rsidR="002F311A" w:rsidRPr="004F1AEF" w:rsidRDefault="002F311A">
            <w:pPr>
              <w:autoSpaceDE w:val="0"/>
              <w:autoSpaceDN w:val="0"/>
              <w:adjustRightInd w:val="0"/>
              <w:spacing w:after="120"/>
              <w:rPr>
                <w:rFonts w:ascii="Arial" w:hAnsi="Arial" w:cs="Arial"/>
                <w:b/>
                <w:iCs/>
                <w:color w:val="000000"/>
              </w:rPr>
            </w:pPr>
          </w:p>
          <w:p w:rsidR="002F311A" w:rsidRPr="004F1AEF" w:rsidRDefault="002F311A">
            <w:pPr>
              <w:autoSpaceDE w:val="0"/>
              <w:autoSpaceDN w:val="0"/>
              <w:adjustRightInd w:val="0"/>
              <w:spacing w:after="120"/>
              <w:rPr>
                <w:rFonts w:ascii="Arial" w:hAnsi="Arial" w:cs="Arial"/>
                <w:b/>
                <w:iCs/>
                <w:color w:val="000000"/>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autoSpaceDE w:val="0"/>
              <w:autoSpaceDN w:val="0"/>
              <w:adjustRightInd w:val="0"/>
              <w:spacing w:before="120" w:after="240"/>
              <w:rPr>
                <w:rFonts w:ascii="Arial" w:hAnsi="Arial" w:cs="Arial"/>
                <w:b/>
                <w:bCs/>
                <w:iCs/>
                <w:color w:val="000000"/>
              </w:rPr>
            </w:pPr>
          </w:p>
          <w:p w:rsidR="002F311A" w:rsidRPr="004F1AEF" w:rsidRDefault="002F311A">
            <w:pPr>
              <w:autoSpaceDE w:val="0"/>
              <w:autoSpaceDN w:val="0"/>
              <w:adjustRightInd w:val="0"/>
              <w:spacing w:before="120" w:after="240"/>
              <w:rPr>
                <w:rFonts w:ascii="Arial" w:hAnsi="Arial" w:cs="Arial"/>
                <w:b/>
                <w:bCs/>
                <w:iCs/>
                <w:color w:val="000000"/>
              </w:rPr>
            </w:pPr>
            <w:r w:rsidRPr="004F1AEF">
              <w:rPr>
                <w:rFonts w:ascii="Arial" w:hAnsi="Arial" w:cs="Arial"/>
                <w:b/>
                <w:bCs/>
                <w:iCs/>
                <w:color w:val="000000"/>
              </w:rPr>
              <w:t xml:space="preserve">Criterion VII </w:t>
            </w:r>
            <w:r w:rsidRPr="004F1AEF">
              <w:rPr>
                <w:rFonts w:ascii="Arial" w:hAnsi="Arial" w:cs="Arial"/>
                <w:b/>
                <w:bCs/>
                <w:color w:val="000000"/>
              </w:rPr>
              <w:t>–</w:t>
            </w:r>
            <w:r w:rsidRPr="004F1AEF">
              <w:rPr>
                <w:rFonts w:ascii="Arial" w:hAnsi="Arial" w:cs="Arial"/>
                <w:b/>
                <w:bCs/>
                <w:iCs/>
                <w:color w:val="000000"/>
              </w:rPr>
              <w:t xml:space="preserve"> Transparency of operation</w:t>
            </w: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VII(a) Are data retention and data disposal statements publicly available? Provide details.</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VII(b) Are details of governance arrangements publicly available? Provide details.</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VII(c) Where are details of data integration projects published?</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VII(d) What other relevant material is published? Examples include data protocols such as microdata access protocols, confidentiality protocols, protocols for linking and protecting privacy; and data integration manuals.</w:t>
            </w: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spacing w:after="120"/>
              <w:rPr>
                <w:rFonts w:ascii="Arial" w:hAnsi="Arial" w:cs="Arial"/>
                <w:iCs/>
                <w:color w:val="000000"/>
              </w:rPr>
            </w:pP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shd w:val="clear" w:color="auto" w:fill="A6A6A6"/>
          </w:tcPr>
          <w:p w:rsidR="002F311A" w:rsidRPr="004F1AEF" w:rsidRDefault="002F311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b/>
                <w:bCs/>
                <w:iCs/>
                <w:color w:val="000000"/>
              </w:rPr>
            </w:pPr>
          </w:p>
          <w:p w:rsidR="002F311A" w:rsidRPr="004F1AEF" w:rsidRDefault="002F311A">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b/>
                <w:bCs/>
                <w:iCs/>
                <w:color w:val="000000"/>
              </w:rPr>
            </w:pPr>
            <w:r w:rsidRPr="004F1AEF">
              <w:rPr>
                <w:rFonts w:ascii="Arial" w:hAnsi="Arial" w:cs="Arial"/>
                <w:b/>
                <w:bCs/>
                <w:iCs/>
                <w:color w:val="000000"/>
              </w:rPr>
              <w:t xml:space="preserve">Criterion VIII </w:t>
            </w:r>
            <w:r w:rsidRPr="004F1AEF">
              <w:rPr>
                <w:rFonts w:ascii="Arial" w:hAnsi="Arial" w:cs="Arial"/>
                <w:b/>
                <w:bCs/>
                <w:color w:val="000000"/>
              </w:rPr>
              <w:t>–</w:t>
            </w:r>
            <w:r w:rsidRPr="004F1AEF">
              <w:rPr>
                <w:rFonts w:ascii="Arial" w:hAnsi="Arial" w:cs="Arial"/>
                <w:b/>
                <w:bCs/>
                <w:iCs/>
                <w:color w:val="000000"/>
              </w:rPr>
              <w:t xml:space="preserve"> Existence of an appropriate governance and administrative framework</w:t>
            </w: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 xml:space="preserve">VIII(a) What are the institutional and project-specific governance arrangements for data integration? (Provide attachment or link to where published.) </w:t>
            </w:r>
          </w:p>
          <w:p w:rsidR="002F311A" w:rsidRPr="004F1AEF" w:rsidRDefault="002F311A">
            <w:pPr>
              <w:autoSpaceDE w:val="0"/>
              <w:autoSpaceDN w:val="0"/>
              <w:adjustRightInd w:val="0"/>
              <w:rPr>
                <w:rFonts w:ascii="Arial" w:hAnsi="Arial" w:cs="Arial"/>
                <w:b/>
                <w:bCs/>
                <w:color w:val="FF00FF"/>
              </w:rPr>
            </w:pPr>
          </w:p>
        </w:tc>
      </w:tr>
      <w:tr w:rsidR="002F311A" w:rsidRPr="004F1AEF" w:rsidTr="002F311A">
        <w:tc>
          <w:tcPr>
            <w:tcW w:w="5000" w:type="pct"/>
            <w:tcBorders>
              <w:top w:val="single" w:sz="6" w:space="0" w:color="auto"/>
              <w:left w:val="single" w:sz="6" w:space="0" w:color="auto"/>
              <w:bottom w:val="single" w:sz="6" w:space="0" w:color="auto"/>
              <w:right w:val="single" w:sz="6" w:space="0" w:color="auto"/>
            </w:tcBorders>
          </w:tcPr>
          <w:p w:rsidR="002F311A" w:rsidRPr="004F1AEF" w:rsidRDefault="002F311A">
            <w:pPr>
              <w:autoSpaceDE w:val="0"/>
              <w:autoSpaceDN w:val="0"/>
              <w:adjustRightInd w:val="0"/>
              <w:spacing w:after="120"/>
              <w:rPr>
                <w:rFonts w:ascii="Arial" w:hAnsi="Arial" w:cs="Arial"/>
                <w:iCs/>
                <w:color w:val="000000"/>
              </w:rPr>
            </w:pPr>
            <w:r w:rsidRPr="004F1AEF">
              <w:rPr>
                <w:rFonts w:ascii="Arial" w:hAnsi="Arial" w:cs="Arial"/>
                <w:iCs/>
                <w:color w:val="000000"/>
              </w:rPr>
              <w:t>VIII(b) What framework is in place to conduct investigations and handle complaints for data integration projects?</w:t>
            </w:r>
          </w:p>
          <w:p w:rsidR="002F311A" w:rsidRPr="004F1AEF" w:rsidRDefault="002F311A">
            <w:pPr>
              <w:autoSpaceDE w:val="0"/>
              <w:autoSpaceDN w:val="0"/>
              <w:adjustRightInd w:val="0"/>
              <w:rPr>
                <w:rFonts w:ascii="Arial" w:hAnsi="Arial" w:cs="Arial"/>
                <w:b/>
                <w:bCs/>
                <w:color w:val="FF00FF"/>
              </w:rPr>
            </w:pPr>
          </w:p>
          <w:p w:rsidR="002F311A" w:rsidRPr="004F1AEF" w:rsidRDefault="002F311A">
            <w:pPr>
              <w:autoSpaceDE w:val="0"/>
              <w:autoSpaceDN w:val="0"/>
              <w:adjustRightInd w:val="0"/>
              <w:rPr>
                <w:rFonts w:ascii="Arial" w:hAnsi="Arial" w:cs="Arial"/>
                <w:b/>
                <w:bCs/>
                <w:color w:val="FF00FF"/>
              </w:rPr>
            </w:pPr>
          </w:p>
          <w:p w:rsidR="002F311A" w:rsidRPr="004F1AEF" w:rsidRDefault="002F311A">
            <w:pPr>
              <w:autoSpaceDE w:val="0"/>
              <w:autoSpaceDN w:val="0"/>
              <w:adjustRightInd w:val="0"/>
              <w:rPr>
                <w:rFonts w:ascii="Arial" w:hAnsi="Arial" w:cs="Arial"/>
                <w:b/>
                <w:bCs/>
                <w:color w:val="FF00FF"/>
              </w:rPr>
            </w:pPr>
          </w:p>
        </w:tc>
      </w:tr>
    </w:tbl>
    <w:p w:rsidR="002F311A" w:rsidRPr="00CD1F5A" w:rsidRDefault="002F311A" w:rsidP="002F311A">
      <w:pPr>
        <w:rPr>
          <w:rFonts w:ascii="Arial" w:hAnsi="Arial" w:cs="Arial"/>
          <w:b/>
        </w:rPr>
      </w:pPr>
    </w:p>
    <w:p w:rsidR="00F87E83" w:rsidRPr="00CD1F5A" w:rsidRDefault="00F87E83" w:rsidP="00F87E83">
      <w:pPr>
        <w:spacing w:after="0" w:line="240" w:lineRule="auto"/>
        <w:rPr>
          <w:rFonts w:ascii="Arial" w:eastAsia="Times New Roman" w:hAnsi="Arial" w:cs="Arial"/>
          <w:b/>
          <w:lang w:eastAsia="en-AU"/>
        </w:rPr>
      </w:pPr>
    </w:p>
    <w:p w:rsidR="00F87E83" w:rsidRPr="00CD1F5A" w:rsidRDefault="00F87E83" w:rsidP="00F87E83">
      <w:pPr>
        <w:spacing w:after="0" w:line="240" w:lineRule="auto"/>
        <w:rPr>
          <w:rFonts w:ascii="Arial" w:eastAsia="Times New Roman" w:hAnsi="Arial" w:cs="Arial"/>
          <w:lang w:eastAsia="en-AU"/>
        </w:rPr>
      </w:pPr>
    </w:p>
    <w:p w:rsidR="00DD331A" w:rsidRPr="00CD1F5A" w:rsidRDefault="00F87E83" w:rsidP="003F492C">
      <w:pPr>
        <w:spacing w:after="0" w:line="240" w:lineRule="auto"/>
        <w:rPr>
          <w:rFonts w:ascii="Arial" w:hAnsi="Arial" w:cs="Arial"/>
        </w:rPr>
      </w:pPr>
      <w:r w:rsidRPr="00CD1F5A">
        <w:rPr>
          <w:rFonts w:ascii="Arial" w:eastAsia="Times New Roman" w:hAnsi="Arial" w:cs="Arial"/>
          <w:lang w:eastAsia="en-AU"/>
        </w:rPr>
        <w:t xml:space="preserve"> </w:t>
      </w:r>
    </w:p>
    <w:sectPr w:rsidR="00DD331A" w:rsidRPr="00CD1F5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51B" w:rsidRDefault="0013451B" w:rsidP="00DD331A">
      <w:pPr>
        <w:spacing w:after="0" w:line="240" w:lineRule="auto"/>
      </w:pPr>
      <w:r>
        <w:separator/>
      </w:r>
    </w:p>
  </w:endnote>
  <w:endnote w:type="continuationSeparator" w:id="0">
    <w:p w:rsidR="0013451B" w:rsidRDefault="0013451B" w:rsidP="00DD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roman"/>
    <w:notTrueType/>
    <w:pitch w:val="default"/>
  </w:font>
  <w:font w:name="Helv">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F06" w:rsidRDefault="00163F06" w:rsidP="00191CFC">
    <w:pPr>
      <w:pStyle w:val="Footer"/>
      <w:jc w:val="center"/>
    </w:pPr>
    <w:r>
      <w:t xml:space="preserve">Cross Portfolio Data Integration Secretariat Ph: (02) 6252 7198 E-mail: </w:t>
    </w:r>
    <w:r w:rsidR="001C52F9">
      <w:t>statistical.data.integration</w:t>
    </w:r>
    <w:r>
      <w:t>@nss.gov.au</w:t>
    </w:r>
  </w:p>
  <w:p w:rsidR="00163F06" w:rsidRDefault="00163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51B" w:rsidRDefault="0013451B" w:rsidP="00DD331A">
      <w:pPr>
        <w:spacing w:after="0" w:line="240" w:lineRule="auto"/>
      </w:pPr>
      <w:r>
        <w:separator/>
      </w:r>
    </w:p>
  </w:footnote>
  <w:footnote w:type="continuationSeparator" w:id="0">
    <w:p w:rsidR="0013451B" w:rsidRDefault="0013451B" w:rsidP="00DD331A">
      <w:pPr>
        <w:spacing w:after="0" w:line="240" w:lineRule="auto"/>
      </w:pPr>
      <w:r>
        <w:continuationSeparator/>
      </w:r>
    </w:p>
  </w:footnote>
  <w:footnote w:id="1">
    <w:p w:rsidR="00163F06" w:rsidRDefault="00163F06" w:rsidP="004165E0">
      <w:pPr>
        <w:pStyle w:val="FootnoteText"/>
      </w:pPr>
      <w:r>
        <w:rPr>
          <w:rStyle w:val="FootnoteReference"/>
        </w:rPr>
        <w:footnoteRef/>
      </w:r>
      <w:r>
        <w:t xml:space="preserve"> The ‘agency head’ is the person legally accountable for the activities of the organisation, and those of its staff and affiliates. In the case of a government department, this will be the Secretary of the department. For the private sector, it will be the CEO, Company Secretary or Managing Director. For a university, it will be the Vice-Chancellor, Pro Vice-Chancellor, Deputy Vice-Chancellor or University Registrar.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F06" w:rsidRDefault="00163F06" w:rsidP="00191CFC">
    <w:pPr>
      <w:pStyle w:val="Header"/>
      <w:jc w:val="center"/>
    </w:pPr>
    <w:r w:rsidRPr="00191CFC">
      <w:t>Terms of Reference for</w:t>
    </w:r>
    <w:r>
      <w:t xml:space="preserve"> interim </w:t>
    </w:r>
    <w:r w:rsidRPr="00191CFC">
      <w:t>accreditation audits of Integrating Authorities</w:t>
    </w:r>
  </w:p>
  <w:p w:rsidR="00163F06" w:rsidRDefault="00163F06" w:rsidP="00191C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9724B98"/>
    <w:lvl w:ilvl="0">
      <w:numFmt w:val="bullet"/>
      <w:lvlText w:val="*"/>
      <w:lvlJc w:val="left"/>
    </w:lvl>
  </w:abstractNum>
  <w:abstractNum w:abstractNumId="1" w15:restartNumberingAfterBreak="0">
    <w:nsid w:val="01280007"/>
    <w:multiLevelType w:val="hybridMultilevel"/>
    <w:tmpl w:val="84843B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1E5D21"/>
    <w:multiLevelType w:val="multilevel"/>
    <w:tmpl w:val="9EDA9110"/>
    <w:lvl w:ilvl="0">
      <w:start w:val="1"/>
      <w:numFmt w:val="decimal"/>
      <w:lvlText w:val="%1."/>
      <w:lvlJc w:val="left"/>
      <w:pPr>
        <w:ind w:left="720" w:hanging="360"/>
      </w:pPr>
      <w:rPr>
        <w:rFonts w:hint="default"/>
        <w:b/>
        <w:i w:val="0"/>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04182E"/>
    <w:multiLevelType w:val="hybridMultilevel"/>
    <w:tmpl w:val="92C865C0"/>
    <w:lvl w:ilvl="0" w:tplc="0C09000F">
      <w:start w:val="1"/>
      <w:numFmt w:val="decimal"/>
      <w:lvlText w:val="%1."/>
      <w:lvlJc w:val="left"/>
      <w:pPr>
        <w:tabs>
          <w:tab w:val="num" w:pos="551"/>
        </w:tabs>
        <w:ind w:left="540" w:firstLine="0"/>
      </w:pPr>
      <w:rPr>
        <w:rFonts w:hint="default"/>
        <w:b w:val="0"/>
        <w:i w:val="0"/>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15:restartNumberingAfterBreak="0">
    <w:nsid w:val="0D7E5F11"/>
    <w:multiLevelType w:val="multilevel"/>
    <w:tmpl w:val="1FA2F3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3C195B"/>
    <w:multiLevelType w:val="hybridMultilevel"/>
    <w:tmpl w:val="C75220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586DE8"/>
    <w:multiLevelType w:val="hybridMultilevel"/>
    <w:tmpl w:val="4F421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DD4314"/>
    <w:multiLevelType w:val="hybridMultilevel"/>
    <w:tmpl w:val="1DC6997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14FA3"/>
    <w:multiLevelType w:val="hybridMultilevel"/>
    <w:tmpl w:val="F07E9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BA12C3"/>
    <w:multiLevelType w:val="hybridMultilevel"/>
    <w:tmpl w:val="FC6A3B3E"/>
    <w:lvl w:ilvl="0" w:tplc="0C090001">
      <w:start w:val="1"/>
      <w:numFmt w:val="bullet"/>
      <w:lvlText w:val=""/>
      <w:lvlJc w:val="left"/>
      <w:pPr>
        <w:ind w:left="991" w:hanging="360"/>
      </w:pPr>
      <w:rPr>
        <w:rFonts w:ascii="Symbol" w:hAnsi="Symbol" w:hint="default"/>
      </w:rPr>
    </w:lvl>
    <w:lvl w:ilvl="1" w:tplc="0C090003" w:tentative="1">
      <w:start w:val="1"/>
      <w:numFmt w:val="bullet"/>
      <w:lvlText w:val="o"/>
      <w:lvlJc w:val="left"/>
      <w:pPr>
        <w:ind w:left="1711" w:hanging="360"/>
      </w:pPr>
      <w:rPr>
        <w:rFonts w:ascii="Courier New" w:hAnsi="Courier New" w:cs="Courier New" w:hint="default"/>
      </w:rPr>
    </w:lvl>
    <w:lvl w:ilvl="2" w:tplc="0C090005" w:tentative="1">
      <w:start w:val="1"/>
      <w:numFmt w:val="bullet"/>
      <w:lvlText w:val=""/>
      <w:lvlJc w:val="left"/>
      <w:pPr>
        <w:ind w:left="2431" w:hanging="360"/>
      </w:pPr>
      <w:rPr>
        <w:rFonts w:ascii="Wingdings" w:hAnsi="Wingdings" w:hint="default"/>
      </w:rPr>
    </w:lvl>
    <w:lvl w:ilvl="3" w:tplc="0C090001" w:tentative="1">
      <w:start w:val="1"/>
      <w:numFmt w:val="bullet"/>
      <w:lvlText w:val=""/>
      <w:lvlJc w:val="left"/>
      <w:pPr>
        <w:ind w:left="3151" w:hanging="360"/>
      </w:pPr>
      <w:rPr>
        <w:rFonts w:ascii="Symbol" w:hAnsi="Symbol" w:hint="default"/>
      </w:rPr>
    </w:lvl>
    <w:lvl w:ilvl="4" w:tplc="0C090003" w:tentative="1">
      <w:start w:val="1"/>
      <w:numFmt w:val="bullet"/>
      <w:lvlText w:val="o"/>
      <w:lvlJc w:val="left"/>
      <w:pPr>
        <w:ind w:left="3871" w:hanging="360"/>
      </w:pPr>
      <w:rPr>
        <w:rFonts w:ascii="Courier New" w:hAnsi="Courier New" w:cs="Courier New" w:hint="default"/>
      </w:rPr>
    </w:lvl>
    <w:lvl w:ilvl="5" w:tplc="0C090005" w:tentative="1">
      <w:start w:val="1"/>
      <w:numFmt w:val="bullet"/>
      <w:lvlText w:val=""/>
      <w:lvlJc w:val="left"/>
      <w:pPr>
        <w:ind w:left="4591" w:hanging="360"/>
      </w:pPr>
      <w:rPr>
        <w:rFonts w:ascii="Wingdings" w:hAnsi="Wingdings" w:hint="default"/>
      </w:rPr>
    </w:lvl>
    <w:lvl w:ilvl="6" w:tplc="0C090001" w:tentative="1">
      <w:start w:val="1"/>
      <w:numFmt w:val="bullet"/>
      <w:lvlText w:val=""/>
      <w:lvlJc w:val="left"/>
      <w:pPr>
        <w:ind w:left="5311" w:hanging="360"/>
      </w:pPr>
      <w:rPr>
        <w:rFonts w:ascii="Symbol" w:hAnsi="Symbol" w:hint="default"/>
      </w:rPr>
    </w:lvl>
    <w:lvl w:ilvl="7" w:tplc="0C090003" w:tentative="1">
      <w:start w:val="1"/>
      <w:numFmt w:val="bullet"/>
      <w:lvlText w:val="o"/>
      <w:lvlJc w:val="left"/>
      <w:pPr>
        <w:ind w:left="6031" w:hanging="360"/>
      </w:pPr>
      <w:rPr>
        <w:rFonts w:ascii="Courier New" w:hAnsi="Courier New" w:cs="Courier New" w:hint="default"/>
      </w:rPr>
    </w:lvl>
    <w:lvl w:ilvl="8" w:tplc="0C090005" w:tentative="1">
      <w:start w:val="1"/>
      <w:numFmt w:val="bullet"/>
      <w:lvlText w:val=""/>
      <w:lvlJc w:val="left"/>
      <w:pPr>
        <w:ind w:left="6751" w:hanging="360"/>
      </w:pPr>
      <w:rPr>
        <w:rFonts w:ascii="Wingdings" w:hAnsi="Wingdings" w:hint="default"/>
      </w:rPr>
    </w:lvl>
  </w:abstractNum>
  <w:abstractNum w:abstractNumId="10" w15:restartNumberingAfterBreak="0">
    <w:nsid w:val="2FA6361B"/>
    <w:multiLevelType w:val="hybridMultilevel"/>
    <w:tmpl w:val="C56AEFEC"/>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36E357F"/>
    <w:multiLevelType w:val="hybridMultilevel"/>
    <w:tmpl w:val="CA26C674"/>
    <w:lvl w:ilvl="0" w:tplc="0C090001">
      <w:start w:val="1"/>
      <w:numFmt w:val="bullet"/>
      <w:lvlText w:val=""/>
      <w:lvlJc w:val="left"/>
      <w:pPr>
        <w:ind w:left="720" w:hanging="705"/>
      </w:pPr>
      <w:rPr>
        <w:rFonts w:ascii="Symbol" w:hAnsi="Symbol" w:hint="default"/>
      </w:rPr>
    </w:lvl>
    <w:lvl w:ilvl="1" w:tplc="0C090003" w:tentative="1">
      <w:start w:val="1"/>
      <w:numFmt w:val="bullet"/>
      <w:lvlText w:val="o"/>
      <w:lvlJc w:val="left"/>
      <w:pPr>
        <w:ind w:left="1095" w:hanging="360"/>
      </w:pPr>
      <w:rPr>
        <w:rFonts w:ascii="Courier New" w:hAnsi="Courier New" w:cs="Courier New" w:hint="default"/>
      </w:rPr>
    </w:lvl>
    <w:lvl w:ilvl="2" w:tplc="0C090005" w:tentative="1">
      <w:start w:val="1"/>
      <w:numFmt w:val="bullet"/>
      <w:lvlText w:val=""/>
      <w:lvlJc w:val="left"/>
      <w:pPr>
        <w:ind w:left="1815" w:hanging="360"/>
      </w:pPr>
      <w:rPr>
        <w:rFonts w:ascii="Wingdings" w:hAnsi="Wingdings" w:hint="default"/>
      </w:rPr>
    </w:lvl>
    <w:lvl w:ilvl="3" w:tplc="0C090001" w:tentative="1">
      <w:start w:val="1"/>
      <w:numFmt w:val="bullet"/>
      <w:lvlText w:val=""/>
      <w:lvlJc w:val="left"/>
      <w:pPr>
        <w:ind w:left="2535" w:hanging="360"/>
      </w:pPr>
      <w:rPr>
        <w:rFonts w:ascii="Symbol" w:hAnsi="Symbol" w:hint="default"/>
      </w:rPr>
    </w:lvl>
    <w:lvl w:ilvl="4" w:tplc="0C090003" w:tentative="1">
      <w:start w:val="1"/>
      <w:numFmt w:val="bullet"/>
      <w:lvlText w:val="o"/>
      <w:lvlJc w:val="left"/>
      <w:pPr>
        <w:ind w:left="3255" w:hanging="360"/>
      </w:pPr>
      <w:rPr>
        <w:rFonts w:ascii="Courier New" w:hAnsi="Courier New" w:cs="Courier New" w:hint="default"/>
      </w:rPr>
    </w:lvl>
    <w:lvl w:ilvl="5" w:tplc="0C090005" w:tentative="1">
      <w:start w:val="1"/>
      <w:numFmt w:val="bullet"/>
      <w:lvlText w:val=""/>
      <w:lvlJc w:val="left"/>
      <w:pPr>
        <w:ind w:left="3975" w:hanging="360"/>
      </w:pPr>
      <w:rPr>
        <w:rFonts w:ascii="Wingdings" w:hAnsi="Wingdings" w:hint="default"/>
      </w:rPr>
    </w:lvl>
    <w:lvl w:ilvl="6" w:tplc="0C090001" w:tentative="1">
      <w:start w:val="1"/>
      <w:numFmt w:val="bullet"/>
      <w:lvlText w:val=""/>
      <w:lvlJc w:val="left"/>
      <w:pPr>
        <w:ind w:left="4695" w:hanging="360"/>
      </w:pPr>
      <w:rPr>
        <w:rFonts w:ascii="Symbol" w:hAnsi="Symbol" w:hint="default"/>
      </w:rPr>
    </w:lvl>
    <w:lvl w:ilvl="7" w:tplc="0C090003" w:tentative="1">
      <w:start w:val="1"/>
      <w:numFmt w:val="bullet"/>
      <w:lvlText w:val="o"/>
      <w:lvlJc w:val="left"/>
      <w:pPr>
        <w:ind w:left="5415" w:hanging="360"/>
      </w:pPr>
      <w:rPr>
        <w:rFonts w:ascii="Courier New" w:hAnsi="Courier New" w:cs="Courier New" w:hint="default"/>
      </w:rPr>
    </w:lvl>
    <w:lvl w:ilvl="8" w:tplc="0C090005" w:tentative="1">
      <w:start w:val="1"/>
      <w:numFmt w:val="bullet"/>
      <w:lvlText w:val=""/>
      <w:lvlJc w:val="left"/>
      <w:pPr>
        <w:ind w:left="6135" w:hanging="360"/>
      </w:pPr>
      <w:rPr>
        <w:rFonts w:ascii="Wingdings" w:hAnsi="Wingdings" w:hint="default"/>
      </w:rPr>
    </w:lvl>
  </w:abstractNum>
  <w:abstractNum w:abstractNumId="12" w15:restartNumberingAfterBreak="0">
    <w:nsid w:val="35802DCB"/>
    <w:multiLevelType w:val="multilevel"/>
    <w:tmpl w:val="BF888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D057CF"/>
    <w:multiLevelType w:val="hybridMultilevel"/>
    <w:tmpl w:val="AFD625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BF4414D"/>
    <w:multiLevelType w:val="hybridMultilevel"/>
    <w:tmpl w:val="E40AD3D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107AB6"/>
    <w:multiLevelType w:val="hybridMultilevel"/>
    <w:tmpl w:val="FAD8B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A8356B"/>
    <w:multiLevelType w:val="hybridMultilevel"/>
    <w:tmpl w:val="35E85C1E"/>
    <w:lvl w:ilvl="0" w:tplc="0C090001">
      <w:start w:val="1"/>
      <w:numFmt w:val="bullet"/>
      <w:lvlText w:val=""/>
      <w:lvlJc w:val="left"/>
      <w:pPr>
        <w:tabs>
          <w:tab w:val="num" w:pos="735"/>
        </w:tabs>
        <w:ind w:left="735" w:hanging="360"/>
      </w:pPr>
      <w:rPr>
        <w:rFonts w:ascii="Symbol" w:hAnsi="Symbol" w:hint="default"/>
      </w:rPr>
    </w:lvl>
    <w:lvl w:ilvl="1" w:tplc="0C090003" w:tentative="1">
      <w:start w:val="1"/>
      <w:numFmt w:val="bullet"/>
      <w:lvlText w:val="o"/>
      <w:lvlJc w:val="left"/>
      <w:pPr>
        <w:tabs>
          <w:tab w:val="num" w:pos="1455"/>
        </w:tabs>
        <w:ind w:left="1455" w:hanging="360"/>
      </w:pPr>
      <w:rPr>
        <w:rFonts w:ascii="Courier New" w:hAnsi="Courier New" w:cs="Courier New" w:hint="default"/>
      </w:rPr>
    </w:lvl>
    <w:lvl w:ilvl="2" w:tplc="0C090005" w:tentative="1">
      <w:start w:val="1"/>
      <w:numFmt w:val="bullet"/>
      <w:lvlText w:val=""/>
      <w:lvlJc w:val="left"/>
      <w:pPr>
        <w:tabs>
          <w:tab w:val="num" w:pos="2175"/>
        </w:tabs>
        <w:ind w:left="2175" w:hanging="360"/>
      </w:pPr>
      <w:rPr>
        <w:rFonts w:ascii="Wingdings" w:hAnsi="Wingdings" w:hint="default"/>
      </w:rPr>
    </w:lvl>
    <w:lvl w:ilvl="3" w:tplc="0C090001" w:tentative="1">
      <w:start w:val="1"/>
      <w:numFmt w:val="bullet"/>
      <w:lvlText w:val=""/>
      <w:lvlJc w:val="left"/>
      <w:pPr>
        <w:tabs>
          <w:tab w:val="num" w:pos="2895"/>
        </w:tabs>
        <w:ind w:left="2895" w:hanging="360"/>
      </w:pPr>
      <w:rPr>
        <w:rFonts w:ascii="Symbol" w:hAnsi="Symbol" w:hint="default"/>
      </w:rPr>
    </w:lvl>
    <w:lvl w:ilvl="4" w:tplc="0C090003" w:tentative="1">
      <w:start w:val="1"/>
      <w:numFmt w:val="bullet"/>
      <w:lvlText w:val="o"/>
      <w:lvlJc w:val="left"/>
      <w:pPr>
        <w:tabs>
          <w:tab w:val="num" w:pos="3615"/>
        </w:tabs>
        <w:ind w:left="3615" w:hanging="360"/>
      </w:pPr>
      <w:rPr>
        <w:rFonts w:ascii="Courier New" w:hAnsi="Courier New" w:cs="Courier New" w:hint="default"/>
      </w:rPr>
    </w:lvl>
    <w:lvl w:ilvl="5" w:tplc="0C090005" w:tentative="1">
      <w:start w:val="1"/>
      <w:numFmt w:val="bullet"/>
      <w:lvlText w:val=""/>
      <w:lvlJc w:val="left"/>
      <w:pPr>
        <w:tabs>
          <w:tab w:val="num" w:pos="4335"/>
        </w:tabs>
        <w:ind w:left="4335" w:hanging="360"/>
      </w:pPr>
      <w:rPr>
        <w:rFonts w:ascii="Wingdings" w:hAnsi="Wingdings" w:hint="default"/>
      </w:rPr>
    </w:lvl>
    <w:lvl w:ilvl="6" w:tplc="0C090001" w:tentative="1">
      <w:start w:val="1"/>
      <w:numFmt w:val="bullet"/>
      <w:lvlText w:val=""/>
      <w:lvlJc w:val="left"/>
      <w:pPr>
        <w:tabs>
          <w:tab w:val="num" w:pos="5055"/>
        </w:tabs>
        <w:ind w:left="5055" w:hanging="360"/>
      </w:pPr>
      <w:rPr>
        <w:rFonts w:ascii="Symbol" w:hAnsi="Symbol" w:hint="default"/>
      </w:rPr>
    </w:lvl>
    <w:lvl w:ilvl="7" w:tplc="0C090003" w:tentative="1">
      <w:start w:val="1"/>
      <w:numFmt w:val="bullet"/>
      <w:lvlText w:val="o"/>
      <w:lvlJc w:val="left"/>
      <w:pPr>
        <w:tabs>
          <w:tab w:val="num" w:pos="5775"/>
        </w:tabs>
        <w:ind w:left="5775" w:hanging="360"/>
      </w:pPr>
      <w:rPr>
        <w:rFonts w:ascii="Courier New" w:hAnsi="Courier New" w:cs="Courier New" w:hint="default"/>
      </w:rPr>
    </w:lvl>
    <w:lvl w:ilvl="8" w:tplc="0C090005" w:tentative="1">
      <w:start w:val="1"/>
      <w:numFmt w:val="bullet"/>
      <w:lvlText w:val=""/>
      <w:lvlJc w:val="left"/>
      <w:pPr>
        <w:tabs>
          <w:tab w:val="num" w:pos="6495"/>
        </w:tabs>
        <w:ind w:left="6495" w:hanging="360"/>
      </w:pPr>
      <w:rPr>
        <w:rFonts w:ascii="Wingdings" w:hAnsi="Wingdings" w:hint="default"/>
      </w:rPr>
    </w:lvl>
  </w:abstractNum>
  <w:abstractNum w:abstractNumId="17" w15:restartNumberingAfterBreak="0">
    <w:nsid w:val="3CB7668B"/>
    <w:multiLevelType w:val="hybridMultilevel"/>
    <w:tmpl w:val="C96A6D2A"/>
    <w:lvl w:ilvl="0" w:tplc="C130E500">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8" w15:restartNumberingAfterBreak="0">
    <w:nsid w:val="3D7E479D"/>
    <w:multiLevelType w:val="hybridMultilevel"/>
    <w:tmpl w:val="3CBEC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2714D1"/>
    <w:multiLevelType w:val="hybridMultilevel"/>
    <w:tmpl w:val="978C6B4A"/>
    <w:lvl w:ilvl="0" w:tplc="98F20A94">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5160FB9"/>
    <w:multiLevelType w:val="multilevel"/>
    <w:tmpl w:val="1FA2F3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B25CA4"/>
    <w:multiLevelType w:val="hybridMultilevel"/>
    <w:tmpl w:val="9E76C40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E2539B"/>
    <w:multiLevelType w:val="hybridMultilevel"/>
    <w:tmpl w:val="3300E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61BE2"/>
    <w:multiLevelType w:val="hybridMultilevel"/>
    <w:tmpl w:val="C0CE26FC"/>
    <w:lvl w:ilvl="0" w:tplc="0C090001">
      <w:start w:val="1"/>
      <w:numFmt w:val="bullet"/>
      <w:lvlText w:val=""/>
      <w:lvlJc w:val="left"/>
      <w:pPr>
        <w:ind w:left="720" w:hanging="360"/>
      </w:pPr>
      <w:rPr>
        <w:rFonts w:ascii="Symbol" w:hAnsi="Symbol" w:hint="default"/>
      </w:rPr>
    </w:lvl>
    <w:lvl w:ilvl="1" w:tplc="1660B8A6">
      <w:numFmt w:val="bullet"/>
      <w:lvlText w:val="•"/>
      <w:lvlJc w:val="left"/>
      <w:pPr>
        <w:ind w:left="1440" w:hanging="360"/>
      </w:pPr>
      <w:rPr>
        <w:rFonts w:ascii="Calibri" w:eastAsia="Calibri" w:hAnsi="Calibri" w:cs="Calibri"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5B5BB2"/>
    <w:multiLevelType w:val="hybridMultilevel"/>
    <w:tmpl w:val="17929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0E2C3D"/>
    <w:multiLevelType w:val="hybridMultilevel"/>
    <w:tmpl w:val="86DABB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95757B"/>
    <w:multiLevelType w:val="hybridMultilevel"/>
    <w:tmpl w:val="603AECD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27" w15:restartNumberingAfterBreak="0">
    <w:nsid w:val="55112593"/>
    <w:multiLevelType w:val="hybridMultilevel"/>
    <w:tmpl w:val="876CD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5201CF"/>
    <w:multiLevelType w:val="hybridMultilevel"/>
    <w:tmpl w:val="FC921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DF047A"/>
    <w:multiLevelType w:val="hybridMultilevel"/>
    <w:tmpl w:val="A7ECB800"/>
    <w:lvl w:ilvl="0" w:tplc="FD9AA2FA">
      <w:start w:val="1"/>
      <w:numFmt w:val="lowerLetter"/>
      <w:lvlText w:val="%1)"/>
      <w:lvlJc w:val="left"/>
      <w:pPr>
        <w:ind w:left="1080" w:hanging="720"/>
      </w:pPr>
      <w:rPr>
        <w:rFonts w:hint="default"/>
      </w:rPr>
    </w:lvl>
    <w:lvl w:ilvl="1" w:tplc="6D220EDC">
      <w:start w:val="2"/>
      <w:numFmt w:val="bullet"/>
      <w:lvlText w:val="·"/>
      <w:lvlJc w:val="left"/>
      <w:pPr>
        <w:ind w:left="1800" w:hanging="720"/>
      </w:pPr>
      <w:rPr>
        <w:rFonts w:ascii="Arial" w:eastAsia="Calibr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1F1D0F"/>
    <w:multiLevelType w:val="hybridMultilevel"/>
    <w:tmpl w:val="ED28B49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 w15:restartNumberingAfterBreak="0">
    <w:nsid w:val="6525022A"/>
    <w:multiLevelType w:val="hybridMultilevel"/>
    <w:tmpl w:val="6CBA92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673054B"/>
    <w:multiLevelType w:val="hybridMultilevel"/>
    <w:tmpl w:val="5D700AA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6E503CB7"/>
    <w:multiLevelType w:val="multilevel"/>
    <w:tmpl w:val="BF888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0751334"/>
    <w:multiLevelType w:val="hybridMultilevel"/>
    <w:tmpl w:val="CD4C6C00"/>
    <w:lvl w:ilvl="0" w:tplc="0C090001">
      <w:start w:val="1"/>
      <w:numFmt w:val="bullet"/>
      <w:lvlText w:val=""/>
      <w:lvlJc w:val="left"/>
      <w:pPr>
        <w:ind w:left="735" w:hanging="705"/>
      </w:pPr>
      <w:rPr>
        <w:rFonts w:ascii="Symbol" w:hAnsi="Symbol" w:hint="default"/>
      </w:rPr>
    </w:lvl>
    <w:lvl w:ilvl="1" w:tplc="0C090003" w:tentative="1">
      <w:start w:val="1"/>
      <w:numFmt w:val="bullet"/>
      <w:lvlText w:val="o"/>
      <w:lvlJc w:val="left"/>
      <w:pPr>
        <w:ind w:left="1455" w:hanging="360"/>
      </w:pPr>
      <w:rPr>
        <w:rFonts w:ascii="Courier New" w:hAnsi="Courier New" w:cs="Courier New" w:hint="default"/>
      </w:rPr>
    </w:lvl>
    <w:lvl w:ilvl="2" w:tplc="0C090005" w:tentative="1">
      <w:start w:val="1"/>
      <w:numFmt w:val="bullet"/>
      <w:lvlText w:val=""/>
      <w:lvlJc w:val="left"/>
      <w:pPr>
        <w:ind w:left="2175" w:hanging="360"/>
      </w:pPr>
      <w:rPr>
        <w:rFonts w:ascii="Wingdings" w:hAnsi="Wingdings" w:hint="default"/>
      </w:rPr>
    </w:lvl>
    <w:lvl w:ilvl="3" w:tplc="0C090001" w:tentative="1">
      <w:start w:val="1"/>
      <w:numFmt w:val="bullet"/>
      <w:lvlText w:val=""/>
      <w:lvlJc w:val="left"/>
      <w:pPr>
        <w:ind w:left="2895" w:hanging="360"/>
      </w:pPr>
      <w:rPr>
        <w:rFonts w:ascii="Symbol" w:hAnsi="Symbol" w:hint="default"/>
      </w:rPr>
    </w:lvl>
    <w:lvl w:ilvl="4" w:tplc="0C090003" w:tentative="1">
      <w:start w:val="1"/>
      <w:numFmt w:val="bullet"/>
      <w:lvlText w:val="o"/>
      <w:lvlJc w:val="left"/>
      <w:pPr>
        <w:ind w:left="3615" w:hanging="360"/>
      </w:pPr>
      <w:rPr>
        <w:rFonts w:ascii="Courier New" w:hAnsi="Courier New" w:cs="Courier New" w:hint="default"/>
      </w:rPr>
    </w:lvl>
    <w:lvl w:ilvl="5" w:tplc="0C090005" w:tentative="1">
      <w:start w:val="1"/>
      <w:numFmt w:val="bullet"/>
      <w:lvlText w:val=""/>
      <w:lvlJc w:val="left"/>
      <w:pPr>
        <w:ind w:left="4335" w:hanging="360"/>
      </w:pPr>
      <w:rPr>
        <w:rFonts w:ascii="Wingdings" w:hAnsi="Wingdings" w:hint="default"/>
      </w:rPr>
    </w:lvl>
    <w:lvl w:ilvl="6" w:tplc="0C090001" w:tentative="1">
      <w:start w:val="1"/>
      <w:numFmt w:val="bullet"/>
      <w:lvlText w:val=""/>
      <w:lvlJc w:val="left"/>
      <w:pPr>
        <w:ind w:left="5055" w:hanging="360"/>
      </w:pPr>
      <w:rPr>
        <w:rFonts w:ascii="Symbol" w:hAnsi="Symbol" w:hint="default"/>
      </w:rPr>
    </w:lvl>
    <w:lvl w:ilvl="7" w:tplc="0C090003" w:tentative="1">
      <w:start w:val="1"/>
      <w:numFmt w:val="bullet"/>
      <w:lvlText w:val="o"/>
      <w:lvlJc w:val="left"/>
      <w:pPr>
        <w:ind w:left="5775" w:hanging="360"/>
      </w:pPr>
      <w:rPr>
        <w:rFonts w:ascii="Courier New" w:hAnsi="Courier New" w:cs="Courier New" w:hint="default"/>
      </w:rPr>
    </w:lvl>
    <w:lvl w:ilvl="8" w:tplc="0C090005" w:tentative="1">
      <w:start w:val="1"/>
      <w:numFmt w:val="bullet"/>
      <w:lvlText w:val=""/>
      <w:lvlJc w:val="left"/>
      <w:pPr>
        <w:ind w:left="6495" w:hanging="360"/>
      </w:pPr>
      <w:rPr>
        <w:rFonts w:ascii="Wingdings" w:hAnsi="Wingdings" w:hint="default"/>
      </w:rPr>
    </w:lvl>
  </w:abstractNum>
  <w:abstractNum w:abstractNumId="35" w15:restartNumberingAfterBreak="0">
    <w:nsid w:val="70886B84"/>
    <w:multiLevelType w:val="hybridMultilevel"/>
    <w:tmpl w:val="D29A0564"/>
    <w:lvl w:ilvl="0" w:tplc="2502070E">
      <w:start w:val="1"/>
      <w:numFmt w:val="lowerRoman"/>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38C0974"/>
    <w:multiLevelType w:val="hybridMultilevel"/>
    <w:tmpl w:val="CBC28C84"/>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4506991"/>
    <w:multiLevelType w:val="hybridMultilevel"/>
    <w:tmpl w:val="15AA8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EE7AE8"/>
    <w:multiLevelType w:val="multilevel"/>
    <w:tmpl w:val="BF888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6380997"/>
    <w:multiLevelType w:val="hybridMultilevel"/>
    <w:tmpl w:val="53B601EC"/>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E8620B"/>
    <w:multiLevelType w:val="hybridMultilevel"/>
    <w:tmpl w:val="0FB8533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3"/>
  </w:num>
  <w:num w:numId="2">
    <w:abstractNumId w:val="19"/>
  </w:num>
  <w:num w:numId="3">
    <w:abstractNumId w:val="7"/>
  </w:num>
  <w:num w:numId="4">
    <w:abstractNumId w:val="9"/>
  </w:num>
  <w:num w:numId="5">
    <w:abstractNumId w:val="26"/>
  </w:num>
  <w:num w:numId="6">
    <w:abstractNumId w:val="35"/>
  </w:num>
  <w:num w:numId="7">
    <w:abstractNumId w:val="0"/>
    <w:lvlOverride w:ilvl="0">
      <w:lvl w:ilvl="0">
        <w:numFmt w:val="bullet"/>
        <w:lvlText w:val=""/>
        <w:legacy w:legacy="1" w:legacySpace="0" w:legacyIndent="0"/>
        <w:lvlJc w:val="left"/>
        <w:rPr>
          <w:rFonts w:ascii="Symbol" w:hAnsi="Symbol" w:hint="default"/>
          <w:sz w:val="22"/>
        </w:rPr>
      </w:lvl>
    </w:lvlOverride>
  </w:num>
  <w:num w:numId="8">
    <w:abstractNumId w:val="13"/>
  </w:num>
  <w:num w:numId="9">
    <w:abstractNumId w:val="30"/>
  </w:num>
  <w:num w:numId="10">
    <w:abstractNumId w:val="16"/>
  </w:num>
  <w:num w:numId="11">
    <w:abstractNumId w:val="24"/>
  </w:num>
  <w:num w:numId="12">
    <w:abstractNumId w:val="18"/>
  </w:num>
  <w:num w:numId="13">
    <w:abstractNumId w:val="21"/>
  </w:num>
  <w:num w:numId="14">
    <w:abstractNumId w:val="22"/>
  </w:num>
  <w:num w:numId="15">
    <w:abstractNumId w:val="27"/>
  </w:num>
  <w:num w:numId="16">
    <w:abstractNumId w:val="37"/>
  </w:num>
  <w:num w:numId="17">
    <w:abstractNumId w:val="5"/>
  </w:num>
  <w:num w:numId="18">
    <w:abstractNumId w:val="31"/>
  </w:num>
  <w:num w:numId="19">
    <w:abstractNumId w:val="1"/>
  </w:num>
  <w:num w:numId="20">
    <w:abstractNumId w:val="17"/>
  </w:num>
  <w:num w:numId="21">
    <w:abstractNumId w:val="14"/>
  </w:num>
  <w:num w:numId="22">
    <w:abstractNumId w:val="15"/>
  </w:num>
  <w:num w:numId="23">
    <w:abstractNumId w:val="8"/>
  </w:num>
  <w:num w:numId="24">
    <w:abstractNumId w:val="6"/>
  </w:num>
  <w:num w:numId="25">
    <w:abstractNumId w:val="28"/>
  </w:num>
  <w:num w:numId="26">
    <w:abstractNumId w:val="25"/>
  </w:num>
  <w:num w:numId="27">
    <w:abstractNumId w:val="4"/>
  </w:num>
  <w:num w:numId="28">
    <w:abstractNumId w:val="2"/>
  </w:num>
  <w:num w:numId="29">
    <w:abstractNumId w:val="33"/>
  </w:num>
  <w:num w:numId="30">
    <w:abstractNumId w:val="12"/>
  </w:num>
  <w:num w:numId="31">
    <w:abstractNumId w:val="40"/>
  </w:num>
  <w:num w:numId="32">
    <w:abstractNumId w:val="32"/>
  </w:num>
  <w:num w:numId="33">
    <w:abstractNumId w:val="10"/>
  </w:num>
  <w:num w:numId="34">
    <w:abstractNumId w:val="29"/>
  </w:num>
  <w:num w:numId="35">
    <w:abstractNumId w:val="39"/>
  </w:num>
  <w:num w:numId="36">
    <w:abstractNumId w:val="36"/>
  </w:num>
  <w:num w:numId="37">
    <w:abstractNumId w:val="20"/>
  </w:num>
  <w:num w:numId="38">
    <w:abstractNumId w:val="38"/>
  </w:num>
  <w:num w:numId="39">
    <w:abstractNumId w:val="11"/>
  </w:num>
  <w:num w:numId="40">
    <w:abstractNumId w:val="34"/>
  </w:num>
  <w:num w:numId="4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B9"/>
    <w:rsid w:val="00024A1B"/>
    <w:rsid w:val="00045736"/>
    <w:rsid w:val="0006317E"/>
    <w:rsid w:val="00063F8E"/>
    <w:rsid w:val="0008225D"/>
    <w:rsid w:val="00095C3D"/>
    <w:rsid w:val="000B42C7"/>
    <w:rsid w:val="000C6B64"/>
    <w:rsid w:val="00111D4B"/>
    <w:rsid w:val="0013451B"/>
    <w:rsid w:val="00163F06"/>
    <w:rsid w:val="00191CFC"/>
    <w:rsid w:val="001A5465"/>
    <w:rsid w:val="001C45F2"/>
    <w:rsid w:val="001C52F9"/>
    <w:rsid w:val="001D27EE"/>
    <w:rsid w:val="001E5290"/>
    <w:rsid w:val="00201E57"/>
    <w:rsid w:val="00212413"/>
    <w:rsid w:val="00224842"/>
    <w:rsid w:val="00226CA8"/>
    <w:rsid w:val="002311C8"/>
    <w:rsid w:val="0023298E"/>
    <w:rsid w:val="002376BB"/>
    <w:rsid w:val="00241F8E"/>
    <w:rsid w:val="00242D01"/>
    <w:rsid w:val="00260D4D"/>
    <w:rsid w:val="00267505"/>
    <w:rsid w:val="002B3790"/>
    <w:rsid w:val="002B7D2C"/>
    <w:rsid w:val="002C2F37"/>
    <w:rsid w:val="002F2E19"/>
    <w:rsid w:val="002F311A"/>
    <w:rsid w:val="00303B0A"/>
    <w:rsid w:val="0031179C"/>
    <w:rsid w:val="003223F6"/>
    <w:rsid w:val="00322566"/>
    <w:rsid w:val="0033143F"/>
    <w:rsid w:val="003542FF"/>
    <w:rsid w:val="00356042"/>
    <w:rsid w:val="00360B9F"/>
    <w:rsid w:val="00372DCE"/>
    <w:rsid w:val="00377862"/>
    <w:rsid w:val="00384943"/>
    <w:rsid w:val="00384FC5"/>
    <w:rsid w:val="003B2DFB"/>
    <w:rsid w:val="003B5C4E"/>
    <w:rsid w:val="003F492C"/>
    <w:rsid w:val="00413226"/>
    <w:rsid w:val="004165E0"/>
    <w:rsid w:val="00420835"/>
    <w:rsid w:val="0042688B"/>
    <w:rsid w:val="0044156D"/>
    <w:rsid w:val="00464D93"/>
    <w:rsid w:val="00465251"/>
    <w:rsid w:val="004841DC"/>
    <w:rsid w:val="004B7220"/>
    <w:rsid w:val="004E122E"/>
    <w:rsid w:val="004E26CE"/>
    <w:rsid w:val="004F1AEF"/>
    <w:rsid w:val="0050549A"/>
    <w:rsid w:val="00532FB9"/>
    <w:rsid w:val="00551D35"/>
    <w:rsid w:val="0056232B"/>
    <w:rsid w:val="00585A73"/>
    <w:rsid w:val="005D37B3"/>
    <w:rsid w:val="005F018B"/>
    <w:rsid w:val="005F0F76"/>
    <w:rsid w:val="005F79F5"/>
    <w:rsid w:val="006033E7"/>
    <w:rsid w:val="006128C4"/>
    <w:rsid w:val="00612AED"/>
    <w:rsid w:val="00612CA8"/>
    <w:rsid w:val="006210D1"/>
    <w:rsid w:val="006279AE"/>
    <w:rsid w:val="00646E97"/>
    <w:rsid w:val="006545AE"/>
    <w:rsid w:val="0066779C"/>
    <w:rsid w:val="00680CB0"/>
    <w:rsid w:val="00697132"/>
    <w:rsid w:val="006C5D21"/>
    <w:rsid w:val="006D4784"/>
    <w:rsid w:val="0072614B"/>
    <w:rsid w:val="00726D31"/>
    <w:rsid w:val="00735985"/>
    <w:rsid w:val="00744FDD"/>
    <w:rsid w:val="00757CB9"/>
    <w:rsid w:val="00761CC2"/>
    <w:rsid w:val="0077252D"/>
    <w:rsid w:val="007B7FCD"/>
    <w:rsid w:val="007C1BE5"/>
    <w:rsid w:val="007E12DE"/>
    <w:rsid w:val="007E6FD0"/>
    <w:rsid w:val="007F1C73"/>
    <w:rsid w:val="007F5E51"/>
    <w:rsid w:val="00816C8B"/>
    <w:rsid w:val="00842AC1"/>
    <w:rsid w:val="0087157A"/>
    <w:rsid w:val="0089178D"/>
    <w:rsid w:val="008B3135"/>
    <w:rsid w:val="008B7BA4"/>
    <w:rsid w:val="008C7C67"/>
    <w:rsid w:val="008D0883"/>
    <w:rsid w:val="008D63EB"/>
    <w:rsid w:val="00922828"/>
    <w:rsid w:val="00944044"/>
    <w:rsid w:val="00946D20"/>
    <w:rsid w:val="00966488"/>
    <w:rsid w:val="00983BDB"/>
    <w:rsid w:val="0099154C"/>
    <w:rsid w:val="00994E2F"/>
    <w:rsid w:val="009D1905"/>
    <w:rsid w:val="009F53EB"/>
    <w:rsid w:val="00A054A2"/>
    <w:rsid w:val="00A060D7"/>
    <w:rsid w:val="00A06728"/>
    <w:rsid w:val="00A11727"/>
    <w:rsid w:val="00A1690B"/>
    <w:rsid w:val="00A50237"/>
    <w:rsid w:val="00A562CA"/>
    <w:rsid w:val="00A62FA3"/>
    <w:rsid w:val="00A8047E"/>
    <w:rsid w:val="00A84E6E"/>
    <w:rsid w:val="00A95E08"/>
    <w:rsid w:val="00AC087C"/>
    <w:rsid w:val="00AC3E68"/>
    <w:rsid w:val="00AE1685"/>
    <w:rsid w:val="00AE1E5F"/>
    <w:rsid w:val="00AE3BE7"/>
    <w:rsid w:val="00AE5A2C"/>
    <w:rsid w:val="00AF2756"/>
    <w:rsid w:val="00B016C4"/>
    <w:rsid w:val="00B06812"/>
    <w:rsid w:val="00B202D6"/>
    <w:rsid w:val="00B23CE0"/>
    <w:rsid w:val="00B74CB7"/>
    <w:rsid w:val="00B779B5"/>
    <w:rsid w:val="00B85A6E"/>
    <w:rsid w:val="00BA33AE"/>
    <w:rsid w:val="00BB0640"/>
    <w:rsid w:val="00BE562F"/>
    <w:rsid w:val="00BE7649"/>
    <w:rsid w:val="00C15E2C"/>
    <w:rsid w:val="00C21DAC"/>
    <w:rsid w:val="00C41ACD"/>
    <w:rsid w:val="00C74CD4"/>
    <w:rsid w:val="00C87959"/>
    <w:rsid w:val="00CC571B"/>
    <w:rsid w:val="00CD0665"/>
    <w:rsid w:val="00CD1F5A"/>
    <w:rsid w:val="00CD7BD4"/>
    <w:rsid w:val="00CF015E"/>
    <w:rsid w:val="00CF438A"/>
    <w:rsid w:val="00D12CFD"/>
    <w:rsid w:val="00D51173"/>
    <w:rsid w:val="00D545E1"/>
    <w:rsid w:val="00D849F4"/>
    <w:rsid w:val="00DA0505"/>
    <w:rsid w:val="00DA22EC"/>
    <w:rsid w:val="00DB4534"/>
    <w:rsid w:val="00DB68F0"/>
    <w:rsid w:val="00DC01C5"/>
    <w:rsid w:val="00DC47D2"/>
    <w:rsid w:val="00DD2D47"/>
    <w:rsid w:val="00DD331A"/>
    <w:rsid w:val="00DF12B5"/>
    <w:rsid w:val="00E07C0F"/>
    <w:rsid w:val="00E16D7F"/>
    <w:rsid w:val="00E23C36"/>
    <w:rsid w:val="00E27820"/>
    <w:rsid w:val="00E35679"/>
    <w:rsid w:val="00E57AEE"/>
    <w:rsid w:val="00E630D1"/>
    <w:rsid w:val="00E64F64"/>
    <w:rsid w:val="00E80B92"/>
    <w:rsid w:val="00EB1639"/>
    <w:rsid w:val="00EE1F71"/>
    <w:rsid w:val="00F033C6"/>
    <w:rsid w:val="00F05F13"/>
    <w:rsid w:val="00F125BF"/>
    <w:rsid w:val="00F15149"/>
    <w:rsid w:val="00F3313F"/>
    <w:rsid w:val="00F427D0"/>
    <w:rsid w:val="00F55AC9"/>
    <w:rsid w:val="00F87E83"/>
    <w:rsid w:val="00FD27CE"/>
    <w:rsid w:val="00FE23CC"/>
    <w:rsid w:val="00FE4196"/>
    <w:rsid w:val="00FF25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4F484-A636-A147-B63D-56FBBE34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3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B9"/>
    <w:pPr>
      <w:ind w:left="720"/>
      <w:contextualSpacing/>
    </w:pPr>
  </w:style>
  <w:style w:type="paragraph" w:styleId="FootnoteText">
    <w:name w:val="footnote text"/>
    <w:basedOn w:val="Normal"/>
    <w:link w:val="FootnoteTextChar"/>
    <w:semiHidden/>
    <w:rsid w:val="00DD331A"/>
    <w:pPr>
      <w:spacing w:after="0" w:line="240" w:lineRule="auto"/>
    </w:pPr>
    <w:rPr>
      <w:rFonts w:ascii="Times New Roman" w:eastAsia="Times New Roman" w:hAnsi="Times New Roman"/>
      <w:sz w:val="20"/>
      <w:szCs w:val="20"/>
      <w:lang w:eastAsia="en-AU"/>
    </w:rPr>
  </w:style>
  <w:style w:type="character" w:customStyle="1" w:styleId="FootnoteTextChar">
    <w:name w:val="Footnote Text Char"/>
    <w:link w:val="FootnoteText"/>
    <w:semiHidden/>
    <w:rsid w:val="00DD331A"/>
    <w:rPr>
      <w:rFonts w:ascii="Times New Roman" w:eastAsia="Times New Roman" w:hAnsi="Times New Roman" w:cs="Times New Roman"/>
      <w:sz w:val="20"/>
      <w:szCs w:val="20"/>
      <w:lang w:eastAsia="en-AU"/>
    </w:rPr>
  </w:style>
  <w:style w:type="character" w:styleId="FootnoteReference">
    <w:name w:val="footnote reference"/>
    <w:semiHidden/>
    <w:rsid w:val="00DD331A"/>
    <w:rPr>
      <w:vertAlign w:val="superscript"/>
    </w:rPr>
  </w:style>
  <w:style w:type="character" w:styleId="Hyperlink">
    <w:name w:val="Hyperlink"/>
    <w:uiPriority w:val="99"/>
    <w:unhideWhenUsed/>
    <w:rsid w:val="00DD331A"/>
    <w:rPr>
      <w:color w:val="0000FF"/>
      <w:u w:val="single"/>
    </w:rPr>
  </w:style>
  <w:style w:type="paragraph" w:styleId="BalloonText">
    <w:name w:val="Balloon Text"/>
    <w:basedOn w:val="Normal"/>
    <w:link w:val="BalloonTextChar"/>
    <w:uiPriority w:val="99"/>
    <w:semiHidden/>
    <w:unhideWhenUsed/>
    <w:rsid w:val="005F79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79F5"/>
    <w:rPr>
      <w:rFonts w:ascii="Tahoma" w:hAnsi="Tahoma" w:cs="Tahoma"/>
      <w:sz w:val="16"/>
      <w:szCs w:val="16"/>
    </w:rPr>
  </w:style>
  <w:style w:type="paragraph" w:styleId="Header">
    <w:name w:val="header"/>
    <w:basedOn w:val="Normal"/>
    <w:link w:val="HeaderChar"/>
    <w:uiPriority w:val="99"/>
    <w:unhideWhenUsed/>
    <w:rsid w:val="008D6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3EB"/>
  </w:style>
  <w:style w:type="paragraph" w:styleId="Footer">
    <w:name w:val="footer"/>
    <w:basedOn w:val="Normal"/>
    <w:link w:val="FooterChar"/>
    <w:uiPriority w:val="99"/>
    <w:unhideWhenUsed/>
    <w:rsid w:val="008D6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3EB"/>
  </w:style>
  <w:style w:type="character" w:styleId="FollowedHyperlink">
    <w:name w:val="FollowedHyperlink"/>
    <w:uiPriority w:val="99"/>
    <w:semiHidden/>
    <w:unhideWhenUsed/>
    <w:rsid w:val="00F3313F"/>
    <w:rPr>
      <w:color w:val="800080"/>
      <w:u w:val="single"/>
    </w:rPr>
  </w:style>
  <w:style w:type="character" w:styleId="CommentReference">
    <w:name w:val="annotation reference"/>
    <w:uiPriority w:val="99"/>
    <w:semiHidden/>
    <w:unhideWhenUsed/>
    <w:rsid w:val="00A84E6E"/>
    <w:rPr>
      <w:sz w:val="16"/>
      <w:szCs w:val="16"/>
    </w:rPr>
  </w:style>
  <w:style w:type="paragraph" w:styleId="CommentText">
    <w:name w:val="annotation text"/>
    <w:basedOn w:val="Normal"/>
    <w:link w:val="CommentTextChar"/>
    <w:uiPriority w:val="99"/>
    <w:semiHidden/>
    <w:unhideWhenUsed/>
    <w:rsid w:val="00A84E6E"/>
    <w:pPr>
      <w:spacing w:line="240" w:lineRule="auto"/>
    </w:pPr>
    <w:rPr>
      <w:sz w:val="20"/>
      <w:szCs w:val="20"/>
    </w:rPr>
  </w:style>
  <w:style w:type="character" w:customStyle="1" w:styleId="CommentTextChar">
    <w:name w:val="Comment Text Char"/>
    <w:link w:val="CommentText"/>
    <w:uiPriority w:val="99"/>
    <w:semiHidden/>
    <w:rsid w:val="00A84E6E"/>
    <w:rPr>
      <w:sz w:val="20"/>
      <w:szCs w:val="20"/>
    </w:rPr>
  </w:style>
  <w:style w:type="paragraph" w:styleId="CommentSubject">
    <w:name w:val="annotation subject"/>
    <w:basedOn w:val="CommentText"/>
    <w:next w:val="CommentText"/>
    <w:link w:val="CommentSubjectChar"/>
    <w:uiPriority w:val="99"/>
    <w:semiHidden/>
    <w:unhideWhenUsed/>
    <w:rsid w:val="00A84E6E"/>
    <w:rPr>
      <w:b/>
      <w:bCs/>
    </w:rPr>
  </w:style>
  <w:style w:type="character" w:customStyle="1" w:styleId="CommentSubjectChar">
    <w:name w:val="Comment Subject Char"/>
    <w:link w:val="CommentSubject"/>
    <w:uiPriority w:val="99"/>
    <w:semiHidden/>
    <w:rsid w:val="00A84E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90212">
      <w:bodyDiv w:val="1"/>
      <w:marLeft w:val="0"/>
      <w:marRight w:val="0"/>
      <w:marTop w:val="0"/>
      <w:marBottom w:val="0"/>
      <w:divBdr>
        <w:top w:val="none" w:sz="0" w:space="0" w:color="auto"/>
        <w:left w:val="none" w:sz="0" w:space="0" w:color="auto"/>
        <w:bottom w:val="none" w:sz="0" w:space="0" w:color="auto"/>
        <w:right w:val="none" w:sz="0" w:space="0" w:color="auto"/>
      </w:divBdr>
    </w:div>
    <w:div w:id="894510494">
      <w:bodyDiv w:val="1"/>
      <w:marLeft w:val="0"/>
      <w:marRight w:val="0"/>
      <w:marTop w:val="0"/>
      <w:marBottom w:val="0"/>
      <w:divBdr>
        <w:top w:val="none" w:sz="0" w:space="0" w:color="auto"/>
        <w:left w:val="none" w:sz="0" w:space="0" w:color="auto"/>
        <w:bottom w:val="none" w:sz="0" w:space="0" w:color="auto"/>
        <w:right w:val="none" w:sz="0" w:space="0" w:color="auto"/>
      </w:divBdr>
    </w:div>
    <w:div w:id="1967617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s.gov.au/nss/home.nsf/NSS/00FB7E20E1D56B96CA2577F20016C3DB?opendocument" TargetMode="External"/><Relationship Id="rId13" Type="http://schemas.openxmlformats.org/officeDocument/2006/relationships/hyperlink" Target="http://www.ag.gov.au/psp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tatistical.data.integration@nss.gov.au" TargetMode="External"/><Relationship Id="rId17" Type="http://schemas.openxmlformats.org/officeDocument/2006/relationships/hyperlink" Target="http://www.abs.gov.au/websitedbs/D3310114.nsf/home/CURF:+Applying+for+CURF+Microdata" TargetMode="External"/><Relationship Id="rId2" Type="http://schemas.openxmlformats.org/officeDocument/2006/relationships/numbering" Target="numbering.xml"/><Relationship Id="rId16" Type="http://schemas.openxmlformats.org/officeDocument/2006/relationships/hyperlink" Target="http://www.ag.gov.au/psp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atisatical.data.integration@nss.gov.au" TargetMode="External"/><Relationship Id="rId5" Type="http://schemas.openxmlformats.org/officeDocument/2006/relationships/webSettings" Target="webSettings.xml"/><Relationship Id="rId15" Type="http://schemas.openxmlformats.org/officeDocument/2006/relationships/hyperlink" Target="mailto:statistical.data.integration@nss.gov.au" TargetMode="External"/><Relationship Id="rId10" Type="http://schemas.openxmlformats.org/officeDocument/2006/relationships/hyperlink" Target="mailto:statistical.data.integration@nss.gov.a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ss.gov.au/nss/home.NSF/pages/Data+integration+projects+%E2%80%93+how+to+determine+the+risk+level?opendocument" TargetMode="External"/><Relationship Id="rId14" Type="http://schemas.openxmlformats.org/officeDocument/2006/relationships/hyperlink" Target="http://www.privacy.gov.au/materials/types/download/9509/6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1BFC0-DDDE-1145-AFBA-57EA78B5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ABS</Company>
  <LinksUpToDate>false</LinksUpToDate>
  <CharactersWithSpaces>24288</CharactersWithSpaces>
  <SharedDoc>false</SharedDoc>
  <HLinks>
    <vt:vector size="60" baseType="variant">
      <vt:variant>
        <vt:i4>852054</vt:i4>
      </vt:variant>
      <vt:variant>
        <vt:i4>27</vt:i4>
      </vt:variant>
      <vt:variant>
        <vt:i4>0</vt:i4>
      </vt:variant>
      <vt:variant>
        <vt:i4>5</vt:i4>
      </vt:variant>
      <vt:variant>
        <vt:lpwstr>http://www.abs.gov.au/websitedbs/D3310114.nsf/home/CURF:+Applying+for+CURF+Microdata</vt:lpwstr>
      </vt:variant>
      <vt:variant>
        <vt:lpwstr/>
      </vt:variant>
      <vt:variant>
        <vt:i4>5242907</vt:i4>
      </vt:variant>
      <vt:variant>
        <vt:i4>24</vt:i4>
      </vt:variant>
      <vt:variant>
        <vt:i4>0</vt:i4>
      </vt:variant>
      <vt:variant>
        <vt:i4>5</vt:i4>
      </vt:variant>
      <vt:variant>
        <vt:lpwstr>http://www.ag.gov.au/pspf</vt:lpwstr>
      </vt:variant>
      <vt:variant>
        <vt:lpwstr/>
      </vt:variant>
      <vt:variant>
        <vt:i4>1507438</vt:i4>
      </vt:variant>
      <vt:variant>
        <vt:i4>21</vt:i4>
      </vt:variant>
      <vt:variant>
        <vt:i4>0</vt:i4>
      </vt:variant>
      <vt:variant>
        <vt:i4>5</vt:i4>
      </vt:variant>
      <vt:variant>
        <vt:lpwstr>mailto:statistical.data.integration@nss.gov.au</vt:lpwstr>
      </vt:variant>
      <vt:variant>
        <vt:lpwstr/>
      </vt:variant>
      <vt:variant>
        <vt:i4>4259857</vt:i4>
      </vt:variant>
      <vt:variant>
        <vt:i4>18</vt:i4>
      </vt:variant>
      <vt:variant>
        <vt:i4>0</vt:i4>
      </vt:variant>
      <vt:variant>
        <vt:i4>5</vt:i4>
      </vt:variant>
      <vt:variant>
        <vt:lpwstr>http://www.privacy.gov.au/materials/types/download/9509/6590</vt:lpwstr>
      </vt:variant>
      <vt:variant>
        <vt:lpwstr/>
      </vt:variant>
      <vt:variant>
        <vt:i4>5242907</vt:i4>
      </vt:variant>
      <vt:variant>
        <vt:i4>15</vt:i4>
      </vt:variant>
      <vt:variant>
        <vt:i4>0</vt:i4>
      </vt:variant>
      <vt:variant>
        <vt:i4>5</vt:i4>
      </vt:variant>
      <vt:variant>
        <vt:lpwstr>http://www.ag.gov.au/pspf</vt:lpwstr>
      </vt:variant>
      <vt:variant>
        <vt:lpwstr/>
      </vt:variant>
      <vt:variant>
        <vt:i4>1507438</vt:i4>
      </vt:variant>
      <vt:variant>
        <vt:i4>12</vt:i4>
      </vt:variant>
      <vt:variant>
        <vt:i4>0</vt:i4>
      </vt:variant>
      <vt:variant>
        <vt:i4>5</vt:i4>
      </vt:variant>
      <vt:variant>
        <vt:lpwstr>mailto:statistical.data.integration@nss.gov.au</vt:lpwstr>
      </vt:variant>
      <vt:variant>
        <vt:lpwstr/>
      </vt:variant>
      <vt:variant>
        <vt:i4>3080258</vt:i4>
      </vt:variant>
      <vt:variant>
        <vt:i4>9</vt:i4>
      </vt:variant>
      <vt:variant>
        <vt:i4>0</vt:i4>
      </vt:variant>
      <vt:variant>
        <vt:i4>5</vt:i4>
      </vt:variant>
      <vt:variant>
        <vt:lpwstr>mailto:statisatical.data.integration@nss.gov.au</vt:lpwstr>
      </vt:variant>
      <vt:variant>
        <vt:lpwstr/>
      </vt:variant>
      <vt:variant>
        <vt:i4>1507438</vt:i4>
      </vt:variant>
      <vt:variant>
        <vt:i4>6</vt:i4>
      </vt:variant>
      <vt:variant>
        <vt:i4>0</vt:i4>
      </vt:variant>
      <vt:variant>
        <vt:i4>5</vt:i4>
      </vt:variant>
      <vt:variant>
        <vt:lpwstr>mailto:statistical.data.integration@nss.gov.au</vt:lpwstr>
      </vt:variant>
      <vt:variant>
        <vt:lpwstr/>
      </vt:variant>
      <vt:variant>
        <vt:i4>4259843</vt:i4>
      </vt:variant>
      <vt:variant>
        <vt:i4>3</vt:i4>
      </vt:variant>
      <vt:variant>
        <vt:i4>0</vt:i4>
      </vt:variant>
      <vt:variant>
        <vt:i4>5</vt:i4>
      </vt:variant>
      <vt:variant>
        <vt:lpwstr>http://www.nss.gov.au/nss/home.NSF/pages/Data+integration+projects+%E2%80%93+how+to+determine+the+risk+level?opendocument</vt:lpwstr>
      </vt:variant>
      <vt:variant>
        <vt:lpwstr/>
      </vt:variant>
      <vt:variant>
        <vt:i4>5963856</vt:i4>
      </vt:variant>
      <vt:variant>
        <vt:i4>0</vt:i4>
      </vt:variant>
      <vt:variant>
        <vt:i4>0</vt:i4>
      </vt:variant>
      <vt:variant>
        <vt:i4>5</vt:i4>
      </vt:variant>
      <vt:variant>
        <vt:lpwstr>http://www.nss.gov.au/nss/home.nsf/NSS/00FB7E20E1D56B96CA2577F20016C3DB?opendocument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Cooper</dc:creator>
  <cp:keywords/>
  <cp:lastModifiedBy>Gordon W</cp:lastModifiedBy>
  <cp:revision>2</cp:revision>
  <cp:lastPrinted>2011-06-30T05:46:00Z</cp:lastPrinted>
  <dcterms:created xsi:type="dcterms:W3CDTF">2018-08-14T06:25:00Z</dcterms:created>
  <dcterms:modified xsi:type="dcterms:W3CDTF">2018-08-14T06:25:00Z</dcterms:modified>
</cp:coreProperties>
</file>