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6B4" w:rsidRPr="002F27E0" w:rsidRDefault="002D56B4" w:rsidP="00502F44">
      <w:pPr>
        <w:autoSpaceDE w:val="0"/>
        <w:autoSpaceDN w:val="0"/>
        <w:adjustRightInd w:val="0"/>
        <w:spacing w:after="0" w:line="240" w:lineRule="auto"/>
        <w:rPr>
          <w:rFonts w:ascii="Arial" w:hAnsi="Arial" w:cs="Arial"/>
          <w:b/>
          <w:bCs/>
          <w:sz w:val="24"/>
          <w:szCs w:val="24"/>
        </w:rPr>
      </w:pPr>
      <w:r w:rsidRPr="002F27E0">
        <w:rPr>
          <w:rFonts w:ascii="Arial" w:hAnsi="Arial" w:cs="Arial"/>
          <w:b/>
          <w:bCs/>
          <w:sz w:val="24"/>
          <w:szCs w:val="24"/>
        </w:rPr>
        <w:t>Report on Departmental Open data Commitments and adherence to Public Data Princip</w:t>
      </w:r>
      <w:r w:rsidR="00AE7628" w:rsidRPr="002F27E0">
        <w:rPr>
          <w:rFonts w:ascii="Arial" w:hAnsi="Arial" w:cs="Arial"/>
          <w:b/>
          <w:bCs/>
          <w:sz w:val="24"/>
          <w:szCs w:val="24"/>
        </w:rPr>
        <w:t>les for the period between July</w:t>
      </w:r>
      <w:r w:rsidRPr="002F27E0">
        <w:rPr>
          <w:rFonts w:ascii="Arial" w:hAnsi="Arial" w:cs="Arial"/>
          <w:b/>
          <w:bCs/>
          <w:sz w:val="24"/>
          <w:szCs w:val="24"/>
        </w:rPr>
        <w:t xml:space="preserve"> and </w:t>
      </w:r>
      <w:r w:rsidR="00AE7628" w:rsidRPr="002F27E0">
        <w:rPr>
          <w:rFonts w:ascii="Arial" w:hAnsi="Arial" w:cs="Arial"/>
          <w:b/>
          <w:bCs/>
          <w:sz w:val="24"/>
          <w:szCs w:val="24"/>
        </w:rPr>
        <w:t>September</w:t>
      </w:r>
      <w:r w:rsidRPr="002F27E0">
        <w:rPr>
          <w:rFonts w:ascii="Arial" w:hAnsi="Arial" w:cs="Arial"/>
          <w:b/>
          <w:bCs/>
          <w:sz w:val="24"/>
          <w:szCs w:val="24"/>
        </w:rPr>
        <w:t xml:space="preserve"> 2013</w:t>
      </w:r>
    </w:p>
    <w:p w:rsidR="002D56B4" w:rsidRPr="002F27E0" w:rsidRDefault="002D56B4" w:rsidP="00502F44">
      <w:pPr>
        <w:autoSpaceDE w:val="0"/>
        <w:autoSpaceDN w:val="0"/>
        <w:adjustRightInd w:val="0"/>
        <w:spacing w:after="0" w:line="240" w:lineRule="auto"/>
        <w:rPr>
          <w:rFonts w:ascii="Arial" w:hAnsi="Arial" w:cs="Arial"/>
          <w:b/>
          <w:bCs/>
          <w:sz w:val="24"/>
          <w:szCs w:val="24"/>
        </w:rPr>
      </w:pPr>
    </w:p>
    <w:p w:rsidR="002D56B4" w:rsidRPr="002F27E0" w:rsidRDefault="002D56B4" w:rsidP="00502F44">
      <w:pPr>
        <w:autoSpaceDE w:val="0"/>
        <w:autoSpaceDN w:val="0"/>
        <w:adjustRightInd w:val="0"/>
        <w:spacing w:after="0" w:line="240" w:lineRule="auto"/>
        <w:rPr>
          <w:rFonts w:ascii="Arial" w:hAnsi="Arial" w:cs="Arial"/>
          <w:sz w:val="24"/>
          <w:szCs w:val="24"/>
        </w:rPr>
      </w:pPr>
      <w:r w:rsidRPr="002F27E0">
        <w:rPr>
          <w:rFonts w:ascii="Arial" w:hAnsi="Arial" w:cs="Arial"/>
          <w:sz w:val="24"/>
          <w:szCs w:val="24"/>
        </w:rPr>
        <w:t>This is the fourth report on departmental open data commitments and adherence to public da</w:t>
      </w:r>
      <w:r w:rsidR="00AE7628" w:rsidRPr="002F27E0">
        <w:rPr>
          <w:rFonts w:ascii="Arial" w:hAnsi="Arial" w:cs="Arial"/>
          <w:sz w:val="24"/>
          <w:szCs w:val="24"/>
        </w:rPr>
        <w:t>ta principles covering Quarter 2</w:t>
      </w:r>
      <w:r w:rsidRPr="002F27E0">
        <w:rPr>
          <w:rFonts w:ascii="Arial" w:hAnsi="Arial" w:cs="Arial"/>
          <w:sz w:val="24"/>
          <w:szCs w:val="24"/>
        </w:rPr>
        <w:t xml:space="preserve"> 2013/14. </w:t>
      </w:r>
    </w:p>
    <w:p w:rsidR="002D56B4" w:rsidRPr="002F27E0" w:rsidRDefault="002D56B4" w:rsidP="00502F44">
      <w:pPr>
        <w:autoSpaceDE w:val="0"/>
        <w:autoSpaceDN w:val="0"/>
        <w:adjustRightInd w:val="0"/>
        <w:spacing w:after="0" w:line="240" w:lineRule="auto"/>
        <w:rPr>
          <w:rFonts w:ascii="Arial" w:hAnsi="Arial" w:cs="Arial"/>
          <w:sz w:val="24"/>
          <w:szCs w:val="24"/>
        </w:rPr>
      </w:pPr>
      <w:r w:rsidRPr="002F27E0">
        <w:rPr>
          <w:rFonts w:ascii="Arial" w:hAnsi="Arial" w:cs="Arial"/>
          <w:sz w:val="24"/>
          <w:szCs w:val="24"/>
        </w:rPr>
        <w:br/>
        <w:t>Open Data is not just about releasing datasets. The Public Data Principles (Annex A) are designed to encourage departments and government organisations to look at their infrastructures and processes and make improvements to enable the release of data</w:t>
      </w:r>
      <w:r w:rsidR="00044B1B" w:rsidRPr="002F27E0">
        <w:rPr>
          <w:rFonts w:ascii="Arial" w:hAnsi="Arial" w:cs="Arial"/>
          <w:sz w:val="24"/>
          <w:szCs w:val="24"/>
        </w:rPr>
        <w:t xml:space="preserve"> </w:t>
      </w:r>
      <w:r w:rsidRPr="002F27E0">
        <w:rPr>
          <w:rFonts w:ascii="Arial" w:hAnsi="Arial" w:cs="Arial"/>
          <w:sz w:val="24"/>
          <w:szCs w:val="24"/>
        </w:rPr>
        <w:t>in open and reusable formats.</w:t>
      </w:r>
    </w:p>
    <w:p w:rsidR="002D56B4" w:rsidRPr="002F27E0" w:rsidRDefault="002D56B4" w:rsidP="00502F44">
      <w:pPr>
        <w:autoSpaceDE w:val="0"/>
        <w:autoSpaceDN w:val="0"/>
        <w:adjustRightInd w:val="0"/>
        <w:spacing w:after="0" w:line="240" w:lineRule="auto"/>
        <w:rPr>
          <w:rFonts w:ascii="Arial" w:hAnsi="Arial" w:cs="Arial"/>
          <w:sz w:val="24"/>
          <w:szCs w:val="24"/>
        </w:rPr>
      </w:pPr>
    </w:p>
    <w:p w:rsidR="002D56B4" w:rsidRPr="002F27E0" w:rsidRDefault="002D56B4" w:rsidP="00502F44">
      <w:pPr>
        <w:autoSpaceDE w:val="0"/>
        <w:autoSpaceDN w:val="0"/>
        <w:adjustRightInd w:val="0"/>
        <w:spacing w:after="0" w:line="240" w:lineRule="auto"/>
        <w:rPr>
          <w:rFonts w:ascii="Arial" w:hAnsi="Arial" w:cs="Arial"/>
          <w:sz w:val="24"/>
          <w:szCs w:val="24"/>
        </w:rPr>
      </w:pPr>
      <w:r w:rsidRPr="002F27E0">
        <w:rPr>
          <w:rFonts w:ascii="Arial" w:hAnsi="Arial" w:cs="Arial"/>
          <w:sz w:val="24"/>
          <w:szCs w:val="24"/>
        </w:rPr>
        <w:t>During this reporting quarter, the following notable datasets were released:</w:t>
      </w:r>
    </w:p>
    <w:p w:rsidR="002D56B4" w:rsidRPr="002F27E0" w:rsidRDefault="002D56B4" w:rsidP="00502F44">
      <w:pPr>
        <w:autoSpaceDE w:val="0"/>
        <w:autoSpaceDN w:val="0"/>
        <w:adjustRightInd w:val="0"/>
        <w:spacing w:after="0" w:line="240" w:lineRule="auto"/>
        <w:rPr>
          <w:rFonts w:ascii="Arial" w:hAnsi="Arial" w:cs="Arial"/>
          <w:sz w:val="24"/>
          <w:szCs w:val="24"/>
        </w:rPr>
      </w:pPr>
    </w:p>
    <w:p w:rsidR="002D56B4" w:rsidRPr="002F27E0" w:rsidRDefault="000503DE" w:rsidP="000503DE">
      <w:pPr>
        <w:numPr>
          <w:ilvl w:val="0"/>
          <w:numId w:val="22"/>
        </w:numPr>
        <w:autoSpaceDE w:val="0"/>
        <w:autoSpaceDN w:val="0"/>
        <w:adjustRightInd w:val="0"/>
        <w:spacing w:after="0" w:line="240" w:lineRule="auto"/>
        <w:rPr>
          <w:rFonts w:ascii="Arial" w:hAnsi="Arial" w:cs="Arial"/>
          <w:sz w:val="24"/>
          <w:szCs w:val="24"/>
        </w:rPr>
      </w:pPr>
      <w:r w:rsidRPr="002F27E0">
        <w:rPr>
          <w:rFonts w:ascii="Arial" w:hAnsi="Arial" w:cs="Arial"/>
          <w:iCs/>
          <w:color w:val="000000"/>
          <w:sz w:val="24"/>
          <w:szCs w:val="24"/>
        </w:rPr>
        <w:t>The Cabinet Office published the latest data on the government construction pipeline which includes 1,047 projects and programmes, and over £109 billion of investment to 2020 and beyond.</w:t>
      </w:r>
    </w:p>
    <w:p w:rsidR="000503DE" w:rsidRPr="002F27E0" w:rsidRDefault="00811D2E" w:rsidP="000503DE">
      <w:pPr>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The D</w:t>
      </w:r>
      <w:r w:rsidR="000503DE" w:rsidRPr="002F27E0">
        <w:rPr>
          <w:rFonts w:ascii="Arial" w:hAnsi="Arial" w:cs="Arial"/>
          <w:sz w:val="24"/>
          <w:szCs w:val="24"/>
        </w:rPr>
        <w:t>epartment for Energy and Climate Change added a</w:t>
      </w:r>
      <w:r w:rsidR="000503DE" w:rsidRPr="002F27E0">
        <w:rPr>
          <w:rFonts w:ascii="Arial" w:hAnsi="Arial" w:cs="Arial"/>
          <w:iCs/>
          <w:color w:val="000000"/>
          <w:sz w:val="24"/>
          <w:szCs w:val="24"/>
        </w:rPr>
        <w:t>dditional data on accreditations and renewable heat premium payment redeemed vouchers by local authority to the Renewable Heat Incentive dataset from July.</w:t>
      </w:r>
    </w:p>
    <w:p w:rsidR="000503DE" w:rsidRPr="002F27E0" w:rsidRDefault="00811D2E" w:rsidP="000503DE">
      <w:pPr>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Ministry of Justice added c</w:t>
      </w:r>
      <w:r w:rsidR="000503DE" w:rsidRPr="002F27E0">
        <w:rPr>
          <w:rFonts w:ascii="Arial" w:hAnsi="Arial" w:cs="Arial"/>
          <w:sz w:val="24"/>
          <w:szCs w:val="24"/>
        </w:rPr>
        <w:t>ourt timeliness data to police.uk. This allows users to compare performance in their area with the national average.</w:t>
      </w:r>
    </w:p>
    <w:p w:rsidR="00FA081E" w:rsidRDefault="00FA081E" w:rsidP="000503DE">
      <w:pPr>
        <w:numPr>
          <w:ilvl w:val="0"/>
          <w:numId w:val="22"/>
        </w:numPr>
        <w:autoSpaceDE w:val="0"/>
        <w:autoSpaceDN w:val="0"/>
        <w:adjustRightInd w:val="0"/>
        <w:spacing w:after="0" w:line="240" w:lineRule="auto"/>
        <w:rPr>
          <w:rFonts w:ascii="Arial" w:hAnsi="Arial" w:cs="Arial"/>
          <w:sz w:val="24"/>
          <w:szCs w:val="24"/>
        </w:rPr>
      </w:pPr>
      <w:r w:rsidRPr="002F27E0">
        <w:rPr>
          <w:rFonts w:ascii="Arial" w:hAnsi="Arial" w:cs="Arial"/>
          <w:sz w:val="24"/>
          <w:szCs w:val="24"/>
        </w:rPr>
        <w:t>In July, the Department of Health released Friends and Family Test data (Apr-Jun)</w:t>
      </w:r>
      <w:r w:rsidR="00453D5A" w:rsidRPr="002F27E0">
        <w:rPr>
          <w:rFonts w:ascii="Arial" w:hAnsi="Arial" w:cs="Arial"/>
          <w:sz w:val="24"/>
          <w:szCs w:val="24"/>
        </w:rPr>
        <w:t>;</w:t>
      </w:r>
      <w:r w:rsidRPr="002F27E0">
        <w:rPr>
          <w:rFonts w:ascii="Arial" w:hAnsi="Arial" w:cs="Arial"/>
          <w:sz w:val="24"/>
          <w:szCs w:val="24"/>
        </w:rPr>
        <w:t xml:space="preserve"> this will continue to be reported quarterly.</w:t>
      </w:r>
    </w:p>
    <w:p w:rsidR="00C70B47" w:rsidRPr="00430FAC" w:rsidRDefault="00C70B47" w:rsidP="00C70B47">
      <w:pPr>
        <w:numPr>
          <w:ilvl w:val="0"/>
          <w:numId w:val="22"/>
        </w:numPr>
        <w:autoSpaceDE w:val="0"/>
        <w:autoSpaceDN w:val="0"/>
        <w:adjustRightInd w:val="0"/>
        <w:spacing w:after="0" w:line="240" w:lineRule="auto"/>
        <w:rPr>
          <w:rFonts w:ascii="Arial" w:hAnsi="Arial" w:cs="Arial"/>
          <w:iCs/>
          <w:color w:val="000000"/>
          <w:sz w:val="24"/>
          <w:szCs w:val="24"/>
        </w:rPr>
      </w:pPr>
      <w:r w:rsidRPr="00430FAC">
        <w:rPr>
          <w:rFonts w:ascii="Arial" w:hAnsi="Arial" w:cs="Arial"/>
          <w:iCs/>
          <w:color w:val="000000"/>
          <w:sz w:val="24"/>
          <w:szCs w:val="24"/>
        </w:rPr>
        <w:t xml:space="preserve">The Department for Business, Innovation and Skills reported that the </w:t>
      </w:r>
      <w:proofErr w:type="spellStart"/>
      <w:r w:rsidRPr="00430FAC">
        <w:rPr>
          <w:rFonts w:ascii="Arial" w:hAnsi="Arial" w:cs="Arial"/>
          <w:iCs/>
          <w:color w:val="000000"/>
          <w:sz w:val="24"/>
          <w:szCs w:val="24"/>
        </w:rPr>
        <w:t>Unistats</w:t>
      </w:r>
      <w:proofErr w:type="spellEnd"/>
      <w:r w:rsidRPr="00430FAC">
        <w:rPr>
          <w:rFonts w:ascii="Arial" w:hAnsi="Arial" w:cs="Arial"/>
          <w:iCs/>
          <w:color w:val="000000"/>
          <w:sz w:val="24"/>
          <w:szCs w:val="24"/>
        </w:rPr>
        <w:t xml:space="preserve"> website was re-launched with updated data. The latest data was published including 2013 student satisfaction rates, results from the 2011/12 Destinations of Leavers from Higher Education survey and course fees</w:t>
      </w:r>
      <w:r w:rsidR="00811D2E">
        <w:rPr>
          <w:rFonts w:ascii="Arial" w:hAnsi="Arial" w:cs="Arial"/>
          <w:iCs/>
          <w:color w:val="000000"/>
          <w:sz w:val="24"/>
          <w:szCs w:val="24"/>
        </w:rPr>
        <w:t>,</w:t>
      </w:r>
      <w:r w:rsidRPr="00430FAC">
        <w:rPr>
          <w:rFonts w:ascii="Arial" w:hAnsi="Arial" w:cs="Arial"/>
          <w:iCs/>
          <w:color w:val="000000"/>
          <w:sz w:val="24"/>
          <w:szCs w:val="24"/>
        </w:rPr>
        <w:t xml:space="preserve"> and accommodation costs for entry in the 2014/15 academic year. </w:t>
      </w:r>
    </w:p>
    <w:p w:rsidR="00862370" w:rsidRPr="002F27E0" w:rsidRDefault="00862370" w:rsidP="00C903F7">
      <w:pPr>
        <w:autoSpaceDE w:val="0"/>
        <w:autoSpaceDN w:val="0"/>
        <w:adjustRightInd w:val="0"/>
        <w:spacing w:after="0" w:line="240" w:lineRule="auto"/>
        <w:ind w:left="720"/>
        <w:rPr>
          <w:rFonts w:ascii="Arial" w:hAnsi="Arial" w:cs="Arial"/>
          <w:sz w:val="24"/>
          <w:szCs w:val="24"/>
        </w:rPr>
      </w:pPr>
    </w:p>
    <w:p w:rsidR="002D56B4" w:rsidRPr="002F27E0" w:rsidRDefault="002D56B4" w:rsidP="005E3400">
      <w:pPr>
        <w:autoSpaceDE w:val="0"/>
        <w:autoSpaceDN w:val="0"/>
        <w:adjustRightInd w:val="0"/>
        <w:spacing w:after="0" w:line="240" w:lineRule="auto"/>
        <w:outlineLvl w:val="0"/>
        <w:rPr>
          <w:rFonts w:ascii="Arial" w:hAnsi="Arial" w:cs="Arial"/>
          <w:b/>
          <w:sz w:val="24"/>
          <w:szCs w:val="24"/>
        </w:rPr>
      </w:pPr>
      <w:r w:rsidRPr="002F27E0">
        <w:rPr>
          <w:rFonts w:ascii="Arial" w:hAnsi="Arial" w:cs="Arial"/>
          <w:b/>
          <w:sz w:val="24"/>
          <w:szCs w:val="24"/>
        </w:rPr>
        <w:t>Departmental Progress</w:t>
      </w:r>
    </w:p>
    <w:p w:rsidR="002D56B4" w:rsidRPr="002F27E0" w:rsidRDefault="002D56B4" w:rsidP="008A6FD5">
      <w:pPr>
        <w:autoSpaceDE w:val="0"/>
        <w:autoSpaceDN w:val="0"/>
        <w:adjustRightInd w:val="0"/>
        <w:spacing w:after="0" w:line="240" w:lineRule="auto"/>
        <w:rPr>
          <w:rFonts w:ascii="Arial" w:hAnsi="Arial" w:cs="Arial"/>
          <w:b/>
          <w:sz w:val="24"/>
          <w:szCs w:val="24"/>
        </w:rPr>
      </w:pPr>
    </w:p>
    <w:p w:rsidR="002D56B4" w:rsidRPr="002F27E0" w:rsidRDefault="002D56B4" w:rsidP="005E3400">
      <w:pPr>
        <w:autoSpaceDE w:val="0"/>
        <w:autoSpaceDN w:val="0"/>
        <w:adjustRightInd w:val="0"/>
        <w:spacing w:after="0" w:line="240" w:lineRule="auto"/>
        <w:outlineLvl w:val="0"/>
        <w:rPr>
          <w:rFonts w:ascii="Arial" w:hAnsi="Arial" w:cs="Arial"/>
          <w:b/>
          <w:sz w:val="24"/>
          <w:szCs w:val="24"/>
        </w:rPr>
      </w:pPr>
      <w:r w:rsidRPr="002F27E0">
        <w:rPr>
          <w:rFonts w:ascii="Arial" w:hAnsi="Arial" w:cs="Arial"/>
          <w:b/>
          <w:sz w:val="24"/>
          <w:szCs w:val="24"/>
        </w:rPr>
        <w:t>Datasets</w:t>
      </w:r>
    </w:p>
    <w:p w:rsidR="002D56B4" w:rsidRPr="002F27E0" w:rsidRDefault="002D56B4" w:rsidP="008A6FD5">
      <w:pPr>
        <w:autoSpaceDE w:val="0"/>
        <w:autoSpaceDN w:val="0"/>
        <w:adjustRightInd w:val="0"/>
        <w:spacing w:after="0" w:line="240" w:lineRule="auto"/>
        <w:rPr>
          <w:rFonts w:ascii="Arial" w:hAnsi="Arial" w:cs="Arial"/>
          <w:b/>
          <w:sz w:val="24"/>
          <w:szCs w:val="24"/>
        </w:rPr>
      </w:pPr>
    </w:p>
    <w:p w:rsidR="002D56B4" w:rsidRPr="002F27E0" w:rsidRDefault="002D56B4" w:rsidP="005E3400">
      <w:pPr>
        <w:autoSpaceDE w:val="0"/>
        <w:autoSpaceDN w:val="0"/>
        <w:adjustRightInd w:val="0"/>
        <w:spacing w:after="0" w:line="240" w:lineRule="auto"/>
        <w:outlineLvl w:val="0"/>
        <w:rPr>
          <w:rFonts w:ascii="Arial" w:hAnsi="Arial" w:cs="Arial"/>
          <w:b/>
          <w:sz w:val="24"/>
          <w:szCs w:val="24"/>
        </w:rPr>
      </w:pPr>
      <w:r w:rsidRPr="002F27E0">
        <w:rPr>
          <w:rFonts w:ascii="Arial" w:hAnsi="Arial" w:cs="Arial"/>
          <w:b/>
          <w:sz w:val="24"/>
          <w:szCs w:val="24"/>
        </w:rPr>
        <w:t>Corporate releases – Departmental Returns</w:t>
      </w:r>
    </w:p>
    <w:p w:rsidR="002D56B4" w:rsidRPr="002F27E0" w:rsidRDefault="002D56B4" w:rsidP="008A6FD5">
      <w:pPr>
        <w:autoSpaceDE w:val="0"/>
        <w:autoSpaceDN w:val="0"/>
        <w:adjustRightInd w:val="0"/>
        <w:spacing w:after="0" w:line="240" w:lineRule="auto"/>
        <w:rPr>
          <w:rFonts w:ascii="Arial" w:hAnsi="Arial" w:cs="Arial"/>
          <w:i/>
          <w:sz w:val="24"/>
          <w:szCs w:val="24"/>
        </w:rPr>
      </w:pPr>
    </w:p>
    <w:p w:rsidR="002D56B4" w:rsidRPr="002F27E0" w:rsidRDefault="002D56B4" w:rsidP="008A6FD5">
      <w:pPr>
        <w:autoSpaceDE w:val="0"/>
        <w:autoSpaceDN w:val="0"/>
        <w:adjustRightInd w:val="0"/>
        <w:spacing w:after="0" w:line="240" w:lineRule="auto"/>
        <w:rPr>
          <w:rFonts w:ascii="Arial" w:hAnsi="Arial" w:cs="Arial"/>
          <w:i/>
          <w:sz w:val="24"/>
          <w:szCs w:val="24"/>
        </w:rPr>
      </w:pPr>
      <w:r w:rsidRPr="002F27E0">
        <w:rPr>
          <w:rFonts w:ascii="Arial" w:hAnsi="Arial" w:cs="Arial"/>
          <w:i/>
          <w:sz w:val="24"/>
          <w:szCs w:val="24"/>
        </w:rPr>
        <w:t>Corporate releases support progress against Public Data Principles 2, 3, 4, 5, 6, 8, 9 and 11.</w:t>
      </w:r>
    </w:p>
    <w:p w:rsidR="002D56B4" w:rsidRPr="002F27E0" w:rsidRDefault="002D56B4" w:rsidP="008A6FD5">
      <w:pPr>
        <w:autoSpaceDE w:val="0"/>
        <w:autoSpaceDN w:val="0"/>
        <w:adjustRightInd w:val="0"/>
        <w:spacing w:after="0" w:line="240" w:lineRule="auto"/>
        <w:rPr>
          <w:rFonts w:ascii="Arial" w:hAnsi="Arial" w:cs="Arial"/>
          <w:i/>
          <w:sz w:val="24"/>
          <w:szCs w:val="24"/>
        </w:rPr>
      </w:pPr>
    </w:p>
    <w:p w:rsidR="002D56B4" w:rsidRPr="002F27E0" w:rsidRDefault="002D56B4" w:rsidP="00B927BA">
      <w:pPr>
        <w:autoSpaceDE w:val="0"/>
        <w:autoSpaceDN w:val="0"/>
        <w:adjustRightInd w:val="0"/>
        <w:spacing w:after="0" w:line="240" w:lineRule="auto"/>
        <w:rPr>
          <w:rFonts w:ascii="Arial" w:hAnsi="Arial" w:cs="Arial"/>
          <w:i/>
          <w:sz w:val="24"/>
          <w:szCs w:val="24"/>
        </w:rPr>
      </w:pPr>
      <w:r w:rsidRPr="002F27E0">
        <w:rPr>
          <w:rFonts w:ascii="Arial" w:hAnsi="Arial" w:cs="Arial"/>
          <w:i/>
          <w:sz w:val="24"/>
          <w:szCs w:val="24"/>
        </w:rPr>
        <w:t>A list and explanation of the corporate commitments can be found at Annex A:</w:t>
      </w:r>
    </w:p>
    <w:p w:rsidR="002D56B4" w:rsidRPr="002F27E0" w:rsidRDefault="002D56B4" w:rsidP="008A6FD5">
      <w:pPr>
        <w:autoSpaceDE w:val="0"/>
        <w:autoSpaceDN w:val="0"/>
        <w:adjustRightInd w:val="0"/>
        <w:spacing w:after="0" w:line="240" w:lineRule="auto"/>
        <w:rPr>
          <w:rFonts w:ascii="Arial" w:hAnsi="Arial" w:cs="Arial"/>
          <w:sz w:val="24"/>
          <w:szCs w:val="24"/>
        </w:rPr>
      </w:pPr>
    </w:p>
    <w:p w:rsidR="002D56B4" w:rsidRPr="002F27E0" w:rsidRDefault="002D56B4" w:rsidP="005E3400">
      <w:pPr>
        <w:numPr>
          <w:ilvl w:val="0"/>
          <w:numId w:val="3"/>
        </w:numPr>
        <w:pBdr>
          <w:bar w:val="single" w:sz="4" w:color="auto"/>
        </w:pBdr>
        <w:autoSpaceDE w:val="0"/>
        <w:autoSpaceDN w:val="0"/>
        <w:adjustRightInd w:val="0"/>
        <w:spacing w:after="0" w:line="240" w:lineRule="auto"/>
        <w:rPr>
          <w:rFonts w:ascii="Arial" w:hAnsi="Arial" w:cs="Arial"/>
          <w:sz w:val="24"/>
          <w:szCs w:val="24"/>
        </w:rPr>
      </w:pPr>
      <w:r w:rsidRPr="002F27E0">
        <w:rPr>
          <w:rFonts w:ascii="Arial" w:hAnsi="Arial" w:cs="Arial"/>
          <w:sz w:val="24"/>
          <w:szCs w:val="24"/>
        </w:rPr>
        <w:t xml:space="preserve">Overall performance this quarter has improved </w:t>
      </w:r>
      <w:r w:rsidR="00044B1B" w:rsidRPr="002F27E0">
        <w:rPr>
          <w:rFonts w:ascii="Arial" w:hAnsi="Arial" w:cs="Arial"/>
          <w:sz w:val="24"/>
          <w:szCs w:val="24"/>
        </w:rPr>
        <w:t>from</w:t>
      </w:r>
      <w:r w:rsidRPr="002F27E0">
        <w:rPr>
          <w:rFonts w:ascii="Arial" w:hAnsi="Arial" w:cs="Arial"/>
          <w:sz w:val="24"/>
          <w:szCs w:val="24"/>
        </w:rPr>
        <w:t xml:space="preserve"> the previous quarter. </w:t>
      </w:r>
      <w:r w:rsidR="00044B1B" w:rsidRPr="002F27E0">
        <w:rPr>
          <w:rFonts w:ascii="Arial" w:hAnsi="Arial" w:cs="Arial"/>
          <w:sz w:val="24"/>
          <w:szCs w:val="24"/>
        </w:rPr>
        <w:t xml:space="preserve">In the last quarter, </w:t>
      </w:r>
      <w:r w:rsidR="00BF7974" w:rsidRPr="002F27E0">
        <w:rPr>
          <w:rFonts w:ascii="Arial" w:hAnsi="Arial" w:cs="Arial"/>
          <w:sz w:val="24"/>
          <w:szCs w:val="24"/>
        </w:rPr>
        <w:t>ten</w:t>
      </w:r>
      <w:r w:rsidRPr="002F27E0">
        <w:rPr>
          <w:rFonts w:ascii="Arial" w:hAnsi="Arial" w:cs="Arial"/>
          <w:sz w:val="24"/>
          <w:szCs w:val="24"/>
        </w:rPr>
        <w:t xml:space="preserve"> departments </w:t>
      </w:r>
      <w:r w:rsidR="0037615C">
        <w:rPr>
          <w:rFonts w:ascii="Arial" w:hAnsi="Arial" w:cs="Arial"/>
          <w:sz w:val="24"/>
          <w:szCs w:val="24"/>
        </w:rPr>
        <w:t xml:space="preserve">out of a total of 17 </w:t>
      </w:r>
      <w:r w:rsidRPr="002F27E0">
        <w:rPr>
          <w:rFonts w:ascii="Arial" w:hAnsi="Arial" w:cs="Arial"/>
          <w:sz w:val="24"/>
          <w:szCs w:val="24"/>
        </w:rPr>
        <w:t>were fully compliant</w:t>
      </w:r>
      <w:r w:rsidR="00044B1B" w:rsidRPr="002F27E0">
        <w:rPr>
          <w:rFonts w:ascii="Arial" w:hAnsi="Arial" w:cs="Arial"/>
          <w:sz w:val="24"/>
          <w:szCs w:val="24"/>
        </w:rPr>
        <w:t xml:space="preserve"> while in</w:t>
      </w:r>
      <w:r w:rsidRPr="002F27E0">
        <w:rPr>
          <w:rFonts w:ascii="Arial" w:hAnsi="Arial" w:cs="Arial"/>
          <w:sz w:val="24"/>
          <w:szCs w:val="24"/>
        </w:rPr>
        <w:t xml:space="preserve"> this quarter</w:t>
      </w:r>
      <w:r w:rsidR="00044B1B" w:rsidRPr="002F27E0">
        <w:rPr>
          <w:rFonts w:ascii="Arial" w:hAnsi="Arial" w:cs="Arial"/>
          <w:sz w:val="24"/>
          <w:szCs w:val="24"/>
        </w:rPr>
        <w:t xml:space="preserve"> this increased to </w:t>
      </w:r>
      <w:r w:rsidR="002A7730" w:rsidRPr="002F27E0">
        <w:rPr>
          <w:rFonts w:ascii="Arial" w:hAnsi="Arial" w:cs="Arial"/>
          <w:sz w:val="24"/>
          <w:szCs w:val="24"/>
        </w:rPr>
        <w:t>eleven</w:t>
      </w:r>
      <w:r w:rsidR="00811D2E">
        <w:rPr>
          <w:rFonts w:ascii="Arial" w:hAnsi="Arial" w:cs="Arial"/>
          <w:sz w:val="24"/>
          <w:szCs w:val="24"/>
        </w:rPr>
        <w:t xml:space="preserve"> -</w:t>
      </w:r>
      <w:r w:rsidR="00BF7974" w:rsidRPr="002F27E0">
        <w:rPr>
          <w:rFonts w:ascii="Arial" w:hAnsi="Arial" w:cs="Arial"/>
          <w:sz w:val="24"/>
          <w:szCs w:val="24"/>
        </w:rPr>
        <w:t xml:space="preserve"> </w:t>
      </w:r>
      <w:r w:rsidRPr="002F27E0">
        <w:rPr>
          <w:rFonts w:ascii="Arial" w:hAnsi="Arial" w:cs="Arial"/>
          <w:sz w:val="24"/>
          <w:szCs w:val="24"/>
        </w:rPr>
        <w:t>DC</w:t>
      </w:r>
      <w:smartTag w:uri="urn:schemas-microsoft-com:office:smarttags" w:element="stockticker">
        <w:r w:rsidRPr="002F27E0">
          <w:rPr>
            <w:rFonts w:ascii="Arial" w:hAnsi="Arial" w:cs="Arial"/>
            <w:sz w:val="24"/>
            <w:szCs w:val="24"/>
          </w:rPr>
          <w:t>L</w:t>
        </w:r>
      </w:smartTag>
      <w:r w:rsidRPr="002F27E0">
        <w:rPr>
          <w:rFonts w:ascii="Arial" w:hAnsi="Arial" w:cs="Arial"/>
          <w:sz w:val="24"/>
          <w:szCs w:val="24"/>
        </w:rPr>
        <w:t xml:space="preserve">G, </w:t>
      </w:r>
      <w:r w:rsidR="00BF7974" w:rsidRPr="002F27E0">
        <w:rPr>
          <w:rFonts w:ascii="Arial" w:hAnsi="Arial" w:cs="Arial"/>
          <w:sz w:val="24"/>
          <w:szCs w:val="24"/>
        </w:rPr>
        <w:t xml:space="preserve">DECC, </w:t>
      </w:r>
      <w:r w:rsidRPr="002F27E0">
        <w:rPr>
          <w:rFonts w:ascii="Arial" w:hAnsi="Arial" w:cs="Arial"/>
          <w:sz w:val="24"/>
          <w:szCs w:val="24"/>
        </w:rPr>
        <w:t xml:space="preserve">DEFRA, </w:t>
      </w:r>
      <w:r w:rsidR="002A7730" w:rsidRPr="002F27E0">
        <w:rPr>
          <w:rFonts w:ascii="Arial" w:hAnsi="Arial" w:cs="Arial"/>
          <w:sz w:val="24"/>
          <w:szCs w:val="24"/>
        </w:rPr>
        <w:t>DCMS</w:t>
      </w:r>
      <w:r w:rsidR="00BF7974" w:rsidRPr="002F27E0">
        <w:rPr>
          <w:rFonts w:ascii="Arial" w:hAnsi="Arial" w:cs="Arial"/>
          <w:sz w:val="24"/>
          <w:szCs w:val="24"/>
        </w:rPr>
        <w:t xml:space="preserve">, </w:t>
      </w:r>
      <w:proofErr w:type="spellStart"/>
      <w:r w:rsidRPr="002F27E0">
        <w:rPr>
          <w:rFonts w:ascii="Arial" w:hAnsi="Arial" w:cs="Arial"/>
          <w:sz w:val="24"/>
          <w:szCs w:val="24"/>
        </w:rPr>
        <w:t>DfE</w:t>
      </w:r>
      <w:proofErr w:type="spellEnd"/>
      <w:r w:rsidRPr="002F27E0">
        <w:rPr>
          <w:rFonts w:ascii="Arial" w:hAnsi="Arial" w:cs="Arial"/>
          <w:sz w:val="24"/>
          <w:szCs w:val="24"/>
        </w:rPr>
        <w:t xml:space="preserve">, </w:t>
      </w:r>
      <w:proofErr w:type="spellStart"/>
      <w:r w:rsidRPr="002F27E0">
        <w:rPr>
          <w:rFonts w:ascii="Arial" w:hAnsi="Arial" w:cs="Arial"/>
          <w:sz w:val="24"/>
          <w:szCs w:val="24"/>
        </w:rPr>
        <w:t>DfT</w:t>
      </w:r>
      <w:proofErr w:type="spellEnd"/>
      <w:r w:rsidRPr="002F27E0">
        <w:rPr>
          <w:rFonts w:ascii="Arial" w:hAnsi="Arial" w:cs="Arial"/>
          <w:sz w:val="24"/>
          <w:szCs w:val="24"/>
        </w:rPr>
        <w:t>, DH, DWP, FCO, HMRC and HO.</w:t>
      </w:r>
    </w:p>
    <w:p w:rsidR="00FA081E" w:rsidRPr="002F27E0" w:rsidRDefault="00FA081E" w:rsidP="00FA081E">
      <w:pPr>
        <w:pBdr>
          <w:bar w:val="single" w:sz="4" w:color="auto"/>
        </w:pBdr>
        <w:autoSpaceDE w:val="0"/>
        <w:autoSpaceDN w:val="0"/>
        <w:adjustRightInd w:val="0"/>
        <w:spacing w:after="0" w:line="240" w:lineRule="auto"/>
        <w:ind w:left="720"/>
        <w:rPr>
          <w:rFonts w:ascii="Arial" w:hAnsi="Arial" w:cs="Arial"/>
          <w:sz w:val="24"/>
          <w:szCs w:val="24"/>
        </w:rPr>
      </w:pPr>
    </w:p>
    <w:p w:rsidR="00FA081E" w:rsidRPr="002F27E0" w:rsidRDefault="00FA081E" w:rsidP="005E3400">
      <w:pPr>
        <w:numPr>
          <w:ilvl w:val="0"/>
          <w:numId w:val="3"/>
        </w:numPr>
        <w:pBdr>
          <w:bar w:val="single" w:sz="4" w:color="auto"/>
        </w:pBdr>
        <w:autoSpaceDE w:val="0"/>
        <w:autoSpaceDN w:val="0"/>
        <w:adjustRightInd w:val="0"/>
        <w:spacing w:after="0" w:line="240" w:lineRule="auto"/>
        <w:rPr>
          <w:rFonts w:ascii="Arial" w:hAnsi="Arial" w:cs="Arial"/>
          <w:sz w:val="24"/>
          <w:szCs w:val="24"/>
        </w:rPr>
      </w:pPr>
      <w:r w:rsidRPr="002F27E0">
        <w:rPr>
          <w:rFonts w:ascii="Arial" w:hAnsi="Arial" w:cs="Arial"/>
          <w:sz w:val="24"/>
          <w:szCs w:val="24"/>
        </w:rPr>
        <w:t>Quarterly Data Sum</w:t>
      </w:r>
      <w:r w:rsidR="003A7FAE" w:rsidRPr="002F27E0">
        <w:rPr>
          <w:rFonts w:ascii="Arial" w:hAnsi="Arial" w:cs="Arial"/>
          <w:sz w:val="24"/>
          <w:szCs w:val="24"/>
        </w:rPr>
        <w:t>maries are no longer reported in</w:t>
      </w:r>
      <w:r w:rsidRPr="002F27E0">
        <w:rPr>
          <w:rFonts w:ascii="Arial" w:hAnsi="Arial" w:cs="Arial"/>
          <w:sz w:val="24"/>
          <w:szCs w:val="24"/>
        </w:rPr>
        <w:t xml:space="preserve"> this </w:t>
      </w:r>
      <w:r w:rsidR="003A7FAE" w:rsidRPr="002F27E0">
        <w:rPr>
          <w:rFonts w:ascii="Arial" w:hAnsi="Arial" w:cs="Arial"/>
          <w:sz w:val="24"/>
          <w:szCs w:val="24"/>
        </w:rPr>
        <w:t>statement</w:t>
      </w:r>
      <w:r w:rsidRPr="002F27E0">
        <w:rPr>
          <w:rFonts w:ascii="Arial" w:hAnsi="Arial" w:cs="Arial"/>
          <w:sz w:val="24"/>
          <w:szCs w:val="24"/>
        </w:rPr>
        <w:t xml:space="preserve"> as they are now published on behalf of departments by the Cabinet Office. The data can be found here: </w:t>
      </w:r>
      <w:r w:rsidR="0051055E" w:rsidRPr="002F27E0">
        <w:rPr>
          <w:rFonts w:ascii="Arial" w:hAnsi="Arial" w:cs="Arial"/>
          <w:sz w:val="24"/>
          <w:szCs w:val="24"/>
        </w:rPr>
        <w:t>http://www.gist.cabinetoffice.gov.uk/qds/.</w:t>
      </w:r>
    </w:p>
    <w:p w:rsidR="002D56B4" w:rsidRPr="002F27E0" w:rsidRDefault="002D56B4" w:rsidP="00B927BA">
      <w:pPr>
        <w:autoSpaceDE w:val="0"/>
        <w:autoSpaceDN w:val="0"/>
        <w:adjustRightInd w:val="0"/>
        <w:spacing w:after="0" w:line="240" w:lineRule="auto"/>
        <w:ind w:left="720"/>
        <w:rPr>
          <w:rFonts w:ascii="Arial" w:hAnsi="Arial" w:cs="Arial"/>
          <w:sz w:val="24"/>
          <w:szCs w:val="24"/>
        </w:rPr>
      </w:pPr>
    </w:p>
    <w:p w:rsidR="002D56B4" w:rsidRPr="002F27E0" w:rsidRDefault="002D56B4" w:rsidP="000F32FD">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sz w:val="24"/>
          <w:szCs w:val="24"/>
        </w:rPr>
        <w:lastRenderedPageBreak/>
        <w:t>The table below shows progress departments have made on a range of data they committed to publish by the end of the reporting quarter. The measurement of ‘met’ or ‘not met’ denotes whether the expected publications were available at the end of the reporting quarter. A measurement of ‘not met’ merely indicates that the expected data was not publically available</w:t>
      </w:r>
      <w:r w:rsidR="00044B1B" w:rsidRPr="002F27E0">
        <w:rPr>
          <w:rFonts w:ascii="Arial" w:hAnsi="Arial" w:cs="Arial"/>
          <w:sz w:val="24"/>
          <w:szCs w:val="24"/>
        </w:rPr>
        <w:t xml:space="preserve"> </w:t>
      </w:r>
      <w:r w:rsidRPr="002F27E0">
        <w:rPr>
          <w:rFonts w:ascii="Arial" w:hAnsi="Arial" w:cs="Arial"/>
          <w:sz w:val="24"/>
          <w:szCs w:val="24"/>
        </w:rPr>
        <w:t xml:space="preserve">at the end of </w:t>
      </w:r>
      <w:r w:rsidR="00E13B18">
        <w:rPr>
          <w:rFonts w:ascii="Arial" w:hAnsi="Arial" w:cs="Arial"/>
          <w:sz w:val="24"/>
          <w:szCs w:val="24"/>
        </w:rPr>
        <w:t>September</w:t>
      </w:r>
      <w:r w:rsidRPr="002F27E0">
        <w:rPr>
          <w:rFonts w:ascii="Arial" w:hAnsi="Arial" w:cs="Arial"/>
          <w:sz w:val="24"/>
          <w:szCs w:val="24"/>
        </w:rPr>
        <w:t xml:space="preserve"> 2013 – the data may have been published in the interim period between the end of </w:t>
      </w:r>
      <w:r w:rsidR="00E13B18">
        <w:rPr>
          <w:rFonts w:ascii="Arial" w:hAnsi="Arial" w:cs="Arial"/>
          <w:sz w:val="24"/>
          <w:szCs w:val="24"/>
        </w:rPr>
        <w:t>September</w:t>
      </w:r>
      <w:r w:rsidRPr="002F27E0">
        <w:rPr>
          <w:rFonts w:ascii="Arial" w:hAnsi="Arial" w:cs="Arial"/>
          <w:sz w:val="24"/>
          <w:szCs w:val="24"/>
        </w:rPr>
        <w:t xml:space="preserve"> 2013 and the publication date of this report.</w:t>
      </w:r>
      <w:bookmarkStart w:id="0" w:name="OLE_LINK1"/>
      <w:bookmarkStart w:id="1" w:name="OLE_LINK2"/>
      <w:r w:rsidRPr="002F27E0">
        <w:rPr>
          <w:rFonts w:ascii="Arial" w:hAnsi="Arial" w:cs="Arial"/>
          <w:sz w:val="24"/>
          <w:szCs w:val="24"/>
        </w:rPr>
        <w:t xml:space="preserve"> An explanation of each of the reporting categories can be found at Annex B.</w:t>
      </w:r>
    </w:p>
    <w:p w:rsidR="002D56B4" w:rsidRPr="00DE5980" w:rsidRDefault="002D56B4" w:rsidP="003566A4">
      <w:pPr>
        <w:autoSpaceDE w:val="0"/>
        <w:autoSpaceDN w:val="0"/>
        <w:adjustRightInd w:val="0"/>
        <w:spacing w:after="0" w:line="240" w:lineRule="auto"/>
        <w:ind w:left="720"/>
        <w:rPr>
          <w:rFonts w:ascii="Arial" w:hAnsi="Arial" w:cs="Arial"/>
          <w:iCs/>
          <w:color w:val="000000"/>
          <w:sz w:val="24"/>
          <w:szCs w:val="24"/>
        </w:rPr>
      </w:pPr>
    </w:p>
    <w:tbl>
      <w:tblPr>
        <w:tblW w:w="1105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554"/>
        <w:gridCol w:w="554"/>
        <w:gridCol w:w="596"/>
        <w:gridCol w:w="594"/>
        <w:gridCol w:w="699"/>
        <w:gridCol w:w="622"/>
        <w:gridCol w:w="554"/>
        <w:gridCol w:w="479"/>
        <w:gridCol w:w="479"/>
        <w:gridCol w:w="517"/>
        <w:gridCol w:w="561"/>
        <w:gridCol w:w="497"/>
        <w:gridCol w:w="646"/>
        <w:gridCol w:w="554"/>
        <w:gridCol w:w="479"/>
        <w:gridCol w:w="557"/>
        <w:gridCol w:w="554"/>
      </w:tblGrid>
      <w:tr w:rsidR="005E3400" w:rsidRPr="00972824" w:rsidTr="005E3400">
        <w:trPr>
          <w:trHeight w:val="780"/>
        </w:trPr>
        <w:tc>
          <w:tcPr>
            <w:tcW w:w="1560" w:type="dxa"/>
            <w:shd w:val="clear" w:color="auto" w:fill="auto"/>
            <w:noWrap/>
            <w:vAlign w:val="center"/>
            <w:hideMark/>
          </w:tcPr>
          <w:p w:rsidR="00972824" w:rsidRPr="00972824" w:rsidRDefault="00972824" w:rsidP="005E3400">
            <w:pPr>
              <w:tabs>
                <w:tab w:val="left" w:pos="0"/>
              </w:tabs>
              <w:spacing w:after="0" w:line="240" w:lineRule="auto"/>
              <w:ind w:left="-709" w:hanging="284"/>
              <w:jc w:val="center"/>
              <w:rPr>
                <w:rFonts w:ascii="Cambria" w:hAnsi="Cambria"/>
                <w:color w:val="000000"/>
                <w:sz w:val="16"/>
                <w:szCs w:val="16"/>
              </w:rPr>
            </w:pPr>
            <w:bookmarkStart w:id="2" w:name="RANGE!A1:R13"/>
            <w:bookmarkStart w:id="3" w:name="RANGE!A1:R12"/>
            <w:bookmarkEnd w:id="2"/>
            <w:r w:rsidRPr="00972824">
              <w:rPr>
                <w:rFonts w:ascii="Cambria" w:hAnsi="Cambria"/>
                <w:color w:val="000000"/>
                <w:sz w:val="16"/>
                <w:szCs w:val="16"/>
              </w:rPr>
              <w:t> </w:t>
            </w:r>
            <w:bookmarkEnd w:id="3"/>
          </w:p>
        </w:tc>
        <w:tc>
          <w:tcPr>
            <w:tcW w:w="554"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BIS </w:t>
            </w:r>
          </w:p>
        </w:tc>
        <w:tc>
          <w:tcPr>
            <w:tcW w:w="554"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CO </w:t>
            </w:r>
          </w:p>
        </w:tc>
        <w:tc>
          <w:tcPr>
            <w:tcW w:w="596"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DCLG </w:t>
            </w:r>
          </w:p>
        </w:tc>
        <w:tc>
          <w:tcPr>
            <w:tcW w:w="594"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DECC </w:t>
            </w:r>
          </w:p>
        </w:tc>
        <w:tc>
          <w:tcPr>
            <w:tcW w:w="699"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DEFRA </w:t>
            </w:r>
          </w:p>
        </w:tc>
        <w:tc>
          <w:tcPr>
            <w:tcW w:w="622"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DCMS </w:t>
            </w:r>
          </w:p>
        </w:tc>
        <w:tc>
          <w:tcPr>
            <w:tcW w:w="554"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proofErr w:type="spellStart"/>
            <w:r w:rsidRPr="00972824">
              <w:rPr>
                <w:rFonts w:ascii="Cambria" w:hAnsi="Cambria"/>
                <w:color w:val="000000"/>
                <w:sz w:val="16"/>
                <w:szCs w:val="16"/>
              </w:rPr>
              <w:t>DfiD</w:t>
            </w:r>
            <w:proofErr w:type="spellEnd"/>
            <w:r w:rsidRPr="00972824">
              <w:rPr>
                <w:rFonts w:ascii="Cambria" w:hAnsi="Cambria"/>
                <w:color w:val="000000"/>
                <w:sz w:val="16"/>
                <w:szCs w:val="16"/>
              </w:rPr>
              <w:t xml:space="preserve"> </w:t>
            </w:r>
          </w:p>
        </w:tc>
        <w:tc>
          <w:tcPr>
            <w:tcW w:w="479"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proofErr w:type="spellStart"/>
            <w:r w:rsidRPr="00972824">
              <w:rPr>
                <w:rFonts w:ascii="Cambria" w:hAnsi="Cambria"/>
                <w:color w:val="000000"/>
                <w:sz w:val="16"/>
                <w:szCs w:val="16"/>
              </w:rPr>
              <w:t>DfE</w:t>
            </w:r>
            <w:proofErr w:type="spellEnd"/>
            <w:r w:rsidRPr="00972824">
              <w:rPr>
                <w:rFonts w:ascii="Cambria" w:hAnsi="Cambria"/>
                <w:color w:val="000000"/>
                <w:sz w:val="16"/>
                <w:szCs w:val="16"/>
              </w:rPr>
              <w:t xml:space="preserve"> </w:t>
            </w:r>
          </w:p>
        </w:tc>
        <w:tc>
          <w:tcPr>
            <w:tcW w:w="479"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proofErr w:type="spellStart"/>
            <w:r w:rsidRPr="00972824">
              <w:rPr>
                <w:rFonts w:ascii="Cambria" w:hAnsi="Cambria"/>
                <w:color w:val="000000"/>
                <w:sz w:val="16"/>
                <w:szCs w:val="16"/>
              </w:rPr>
              <w:t>DfT</w:t>
            </w:r>
            <w:proofErr w:type="spellEnd"/>
            <w:r w:rsidRPr="00972824">
              <w:rPr>
                <w:rFonts w:ascii="Cambria" w:hAnsi="Cambria"/>
                <w:color w:val="000000"/>
                <w:sz w:val="16"/>
                <w:szCs w:val="16"/>
              </w:rPr>
              <w:t xml:space="preserve"> </w:t>
            </w:r>
          </w:p>
        </w:tc>
        <w:tc>
          <w:tcPr>
            <w:tcW w:w="517"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proofErr w:type="spellStart"/>
            <w:r w:rsidRPr="00972824">
              <w:rPr>
                <w:rFonts w:ascii="Cambria" w:hAnsi="Cambria"/>
                <w:color w:val="000000"/>
                <w:sz w:val="16"/>
                <w:szCs w:val="16"/>
              </w:rPr>
              <w:t>DoH</w:t>
            </w:r>
            <w:proofErr w:type="spellEnd"/>
            <w:r w:rsidRPr="00972824">
              <w:rPr>
                <w:rFonts w:ascii="Cambria" w:hAnsi="Cambria"/>
                <w:color w:val="000000"/>
                <w:sz w:val="16"/>
                <w:szCs w:val="16"/>
              </w:rPr>
              <w:t xml:space="preserve"> </w:t>
            </w:r>
          </w:p>
        </w:tc>
        <w:tc>
          <w:tcPr>
            <w:tcW w:w="561"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DWP </w:t>
            </w:r>
          </w:p>
        </w:tc>
        <w:tc>
          <w:tcPr>
            <w:tcW w:w="497"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FCO </w:t>
            </w:r>
          </w:p>
        </w:tc>
        <w:tc>
          <w:tcPr>
            <w:tcW w:w="646"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HMRC </w:t>
            </w:r>
          </w:p>
        </w:tc>
        <w:tc>
          <w:tcPr>
            <w:tcW w:w="554"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HMT </w:t>
            </w:r>
          </w:p>
        </w:tc>
        <w:tc>
          <w:tcPr>
            <w:tcW w:w="479"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 xml:space="preserve">HO </w:t>
            </w:r>
          </w:p>
        </w:tc>
        <w:tc>
          <w:tcPr>
            <w:tcW w:w="557"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r w:rsidRPr="00972824">
              <w:rPr>
                <w:rFonts w:ascii="Cambria" w:hAnsi="Cambria"/>
                <w:color w:val="000000"/>
                <w:sz w:val="16"/>
                <w:szCs w:val="16"/>
              </w:rPr>
              <w:t>MOD</w:t>
            </w:r>
          </w:p>
        </w:tc>
        <w:tc>
          <w:tcPr>
            <w:tcW w:w="554" w:type="dxa"/>
            <w:shd w:val="clear" w:color="auto" w:fill="auto"/>
            <w:noWrap/>
            <w:vAlign w:val="center"/>
            <w:hideMark/>
          </w:tcPr>
          <w:p w:rsidR="00972824" w:rsidRPr="00972824" w:rsidRDefault="00972824" w:rsidP="00972824">
            <w:pPr>
              <w:spacing w:after="0" w:line="240" w:lineRule="auto"/>
              <w:rPr>
                <w:rFonts w:ascii="Cambria" w:hAnsi="Cambria"/>
                <w:color w:val="000000"/>
                <w:sz w:val="16"/>
                <w:szCs w:val="16"/>
              </w:rPr>
            </w:pPr>
            <w:proofErr w:type="spellStart"/>
            <w:r w:rsidRPr="00972824">
              <w:rPr>
                <w:rFonts w:ascii="Cambria" w:hAnsi="Cambria"/>
                <w:color w:val="000000"/>
                <w:sz w:val="16"/>
                <w:szCs w:val="16"/>
              </w:rPr>
              <w:t>MoJ</w:t>
            </w:r>
            <w:proofErr w:type="spellEnd"/>
          </w:p>
        </w:tc>
      </w:tr>
      <w:tr w:rsidR="00972824" w:rsidRPr="00972824" w:rsidTr="005E3400">
        <w:trPr>
          <w:trHeight w:val="765"/>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Spend data</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r>
      <w:tr w:rsidR="00972824" w:rsidRPr="00972824" w:rsidTr="005E3400">
        <w:trPr>
          <w:trHeight w:val="735"/>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GPC data</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r>
      <w:tr w:rsidR="00972824" w:rsidRPr="00972824" w:rsidTr="005E3400">
        <w:trPr>
          <w:trHeight w:val="540"/>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Organogram</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5E3400">
        <w:trPr>
          <w:trHeight w:val="1590"/>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Exceptions to Moratoria (ICT, Property, Recruitment, Marketing &amp; Consultancy)</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5E3400">
        <w:trPr>
          <w:trHeight w:val="780"/>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Workplace Management Information</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FFFFFF"/>
            <w:vAlign w:val="center"/>
            <w:hideMark/>
          </w:tcPr>
          <w:p w:rsidR="00972824" w:rsidRPr="00972824" w:rsidRDefault="00972824" w:rsidP="00972824">
            <w:pPr>
              <w:spacing w:after="0" w:line="240" w:lineRule="auto"/>
              <w:jc w:val="center"/>
              <w:rPr>
                <w:rFonts w:ascii="Cambria" w:hAnsi="Cambria"/>
                <w:sz w:val="20"/>
                <w:szCs w:val="20"/>
              </w:rPr>
            </w:pPr>
            <w:r w:rsidRPr="00972824">
              <w:rPr>
                <w:rFonts w:ascii="Cambria" w:hAnsi="Cambria"/>
                <w:sz w:val="20"/>
                <w:szCs w:val="20"/>
              </w:rPr>
              <w:t> </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5E3400">
        <w:trPr>
          <w:trHeight w:val="1980"/>
        </w:trPr>
        <w:tc>
          <w:tcPr>
            <w:tcW w:w="1560" w:type="dxa"/>
            <w:shd w:val="clear" w:color="000000" w:fill="FFFFFF"/>
            <w:vAlign w:val="center"/>
            <w:hideMark/>
          </w:tcPr>
          <w:p w:rsidR="00972824" w:rsidRPr="00972824" w:rsidRDefault="00972824" w:rsidP="005E3400">
            <w:pPr>
              <w:spacing w:after="0" w:line="240" w:lineRule="auto"/>
              <w:jc w:val="center"/>
              <w:rPr>
                <w:rFonts w:ascii="Cambria" w:hAnsi="Cambria"/>
                <w:sz w:val="16"/>
                <w:szCs w:val="16"/>
              </w:rPr>
            </w:pPr>
            <w:r w:rsidRPr="00972824">
              <w:rPr>
                <w:rFonts w:ascii="Cambria" w:hAnsi="Cambria"/>
                <w:sz w:val="16"/>
                <w:szCs w:val="16"/>
              </w:rPr>
              <w:t xml:space="preserve">Ministers’, Gifts, </w:t>
            </w:r>
            <w:r w:rsidR="005E3400">
              <w:rPr>
                <w:rFonts w:ascii="Cambria" w:hAnsi="Cambria"/>
                <w:sz w:val="16"/>
                <w:szCs w:val="16"/>
              </w:rPr>
              <w:t>hospitality received, overseas t</w:t>
            </w:r>
            <w:r w:rsidRPr="00972824">
              <w:rPr>
                <w:rFonts w:ascii="Cambria" w:hAnsi="Cambria"/>
                <w:sz w:val="16"/>
                <w:szCs w:val="16"/>
              </w:rPr>
              <w:t>ravel, Meetings with external organisations including media executives</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auto" w:fill="auto"/>
            <w:vAlign w:val="center"/>
            <w:hideMark/>
          </w:tcPr>
          <w:p w:rsidR="00972824" w:rsidRPr="00972824" w:rsidRDefault="00972824" w:rsidP="00972824">
            <w:pPr>
              <w:spacing w:after="0" w:line="240" w:lineRule="auto"/>
              <w:jc w:val="center"/>
              <w:rPr>
                <w:sz w:val="20"/>
                <w:szCs w:val="20"/>
              </w:rPr>
            </w:pPr>
            <w:r w:rsidRPr="00972824">
              <w:rPr>
                <w:sz w:val="20"/>
                <w:szCs w:val="20"/>
              </w:rPr>
              <w:t> </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702379">
        <w:trPr>
          <w:trHeight w:val="997"/>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Special Advisers Gifts and Hospitality and meetings with media executives</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auto" w:fill="auto"/>
            <w:vAlign w:val="center"/>
            <w:hideMark/>
          </w:tcPr>
          <w:p w:rsidR="00972824" w:rsidRPr="00972824" w:rsidRDefault="00972824" w:rsidP="00972824">
            <w:pPr>
              <w:spacing w:after="0" w:line="240" w:lineRule="auto"/>
              <w:jc w:val="center"/>
              <w:rPr>
                <w:sz w:val="20"/>
                <w:szCs w:val="20"/>
              </w:rPr>
            </w:pPr>
            <w:r w:rsidRPr="00972824">
              <w:rPr>
                <w:sz w:val="20"/>
                <w:szCs w:val="20"/>
              </w:rPr>
              <w:t> </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5E3400">
        <w:trPr>
          <w:trHeight w:val="630"/>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Senior Officials Expenses, Travel and Hospitality</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FF0000"/>
            <w:vAlign w:val="center"/>
            <w:hideMark/>
          </w:tcPr>
          <w:p w:rsidR="00972824" w:rsidRPr="00972824" w:rsidRDefault="00972824" w:rsidP="00972824">
            <w:pPr>
              <w:spacing w:after="0" w:line="240" w:lineRule="auto"/>
              <w:jc w:val="center"/>
              <w:rPr>
                <w:sz w:val="20"/>
                <w:szCs w:val="20"/>
              </w:rPr>
            </w:pPr>
            <w:r w:rsidRPr="00972824">
              <w:rPr>
                <w:sz w:val="20"/>
                <w:szCs w:val="20"/>
              </w:rPr>
              <w:t>Not 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5E3400">
        <w:trPr>
          <w:trHeight w:val="1260"/>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Permanent secretaries meetings with external organisations including media executives</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5E3400">
        <w:trPr>
          <w:trHeight w:val="450"/>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Contract Finder</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r w:rsidR="00972824" w:rsidRPr="00972824" w:rsidTr="005E3400">
        <w:trPr>
          <w:trHeight w:val="750"/>
        </w:trPr>
        <w:tc>
          <w:tcPr>
            <w:tcW w:w="1560" w:type="dxa"/>
            <w:shd w:val="clear" w:color="000000" w:fill="FFFFFF"/>
            <w:vAlign w:val="center"/>
            <w:hideMark/>
          </w:tcPr>
          <w:p w:rsidR="00972824" w:rsidRPr="00972824" w:rsidRDefault="00972824" w:rsidP="00972824">
            <w:pPr>
              <w:spacing w:after="0" w:line="240" w:lineRule="auto"/>
              <w:jc w:val="center"/>
              <w:rPr>
                <w:rFonts w:ascii="Cambria" w:hAnsi="Cambria"/>
                <w:sz w:val="16"/>
                <w:szCs w:val="16"/>
              </w:rPr>
            </w:pPr>
            <w:r w:rsidRPr="00972824">
              <w:rPr>
                <w:rFonts w:ascii="Cambria" w:hAnsi="Cambria"/>
                <w:sz w:val="16"/>
                <w:szCs w:val="16"/>
              </w:rPr>
              <w:t>Real Time Energy User</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9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9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22"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1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61"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9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646"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479"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7"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c>
          <w:tcPr>
            <w:tcW w:w="554" w:type="dxa"/>
            <w:shd w:val="clear" w:color="000000" w:fill="92D050"/>
            <w:vAlign w:val="center"/>
            <w:hideMark/>
          </w:tcPr>
          <w:p w:rsidR="00972824" w:rsidRPr="00972824" w:rsidRDefault="00972824" w:rsidP="00972824">
            <w:pPr>
              <w:spacing w:after="0" w:line="240" w:lineRule="auto"/>
              <w:jc w:val="center"/>
              <w:rPr>
                <w:rFonts w:ascii="Cambria" w:hAnsi="Cambria"/>
                <w:color w:val="000000"/>
                <w:sz w:val="16"/>
                <w:szCs w:val="16"/>
              </w:rPr>
            </w:pPr>
            <w:r w:rsidRPr="00972824">
              <w:rPr>
                <w:rFonts w:ascii="Cambria" w:hAnsi="Cambria"/>
                <w:color w:val="000000"/>
                <w:sz w:val="16"/>
                <w:szCs w:val="16"/>
              </w:rPr>
              <w:t>Met</w:t>
            </w:r>
          </w:p>
        </w:tc>
      </w:tr>
    </w:tbl>
    <w:p w:rsidR="002D56B4" w:rsidRPr="000F32FD" w:rsidRDefault="002D56B4" w:rsidP="00DE5980">
      <w:pPr>
        <w:autoSpaceDE w:val="0"/>
        <w:autoSpaceDN w:val="0"/>
        <w:adjustRightInd w:val="0"/>
        <w:spacing w:after="0" w:line="240" w:lineRule="auto"/>
        <w:ind w:left="360"/>
        <w:rPr>
          <w:rFonts w:ascii="Arial" w:hAnsi="Arial" w:cs="Arial"/>
          <w:iCs/>
          <w:color w:val="000000"/>
          <w:sz w:val="24"/>
          <w:szCs w:val="24"/>
        </w:rPr>
      </w:pPr>
    </w:p>
    <w:p w:rsidR="002D56B4" w:rsidRPr="002F27E0" w:rsidRDefault="002D56B4" w:rsidP="00131D17">
      <w:pPr>
        <w:numPr>
          <w:ilvl w:val="0"/>
          <w:numId w:val="3"/>
        </w:numPr>
        <w:autoSpaceDE w:val="0"/>
        <w:autoSpaceDN w:val="0"/>
        <w:adjustRightInd w:val="0"/>
        <w:spacing w:after="0" w:line="240" w:lineRule="auto"/>
        <w:rPr>
          <w:rFonts w:ascii="Arial" w:hAnsi="Arial" w:cs="Arial"/>
          <w:iCs/>
          <w:color w:val="000000"/>
          <w:sz w:val="24"/>
          <w:szCs w:val="24"/>
        </w:rPr>
      </w:pPr>
      <w:smartTag w:uri="urn:schemas-microsoft-com:office:smarttags" w:element="stockticker">
        <w:r w:rsidRPr="002F27E0">
          <w:rPr>
            <w:rFonts w:ascii="Arial" w:hAnsi="Arial" w:cs="Arial"/>
            <w:b/>
            <w:color w:val="000000"/>
            <w:sz w:val="24"/>
            <w:szCs w:val="24"/>
          </w:rPr>
          <w:t>BIS</w:t>
        </w:r>
      </w:smartTag>
      <w:r w:rsidRPr="002F27E0">
        <w:rPr>
          <w:rFonts w:ascii="Arial" w:hAnsi="Arial" w:cs="Arial"/>
          <w:color w:val="000000"/>
          <w:sz w:val="24"/>
          <w:szCs w:val="24"/>
        </w:rPr>
        <w:t xml:space="preserve"> repo</w:t>
      </w:r>
      <w:r w:rsidR="00BF7974" w:rsidRPr="002F27E0">
        <w:rPr>
          <w:rFonts w:ascii="Arial" w:hAnsi="Arial" w:cs="Arial"/>
          <w:color w:val="000000"/>
          <w:sz w:val="24"/>
          <w:szCs w:val="24"/>
        </w:rPr>
        <w:t>rted that</w:t>
      </w:r>
      <w:r w:rsidRPr="002F27E0">
        <w:rPr>
          <w:rFonts w:ascii="Arial" w:hAnsi="Arial" w:cs="Arial"/>
          <w:color w:val="000000"/>
          <w:sz w:val="24"/>
          <w:szCs w:val="24"/>
        </w:rPr>
        <w:t xml:space="preserve"> </w:t>
      </w:r>
      <w:r w:rsidR="002031F9">
        <w:rPr>
          <w:rFonts w:ascii="Arial" w:hAnsi="Arial" w:cs="Arial"/>
          <w:color w:val="000000"/>
          <w:sz w:val="24"/>
          <w:szCs w:val="24"/>
        </w:rPr>
        <w:t>the d</w:t>
      </w:r>
      <w:r w:rsidR="00BF7974" w:rsidRPr="002F27E0">
        <w:rPr>
          <w:rFonts w:ascii="Arial" w:hAnsi="Arial" w:cs="Arial"/>
          <w:color w:val="000000"/>
          <w:sz w:val="24"/>
          <w:szCs w:val="24"/>
        </w:rPr>
        <w:t>epartment is transitioning to a new management information system. Durin</w:t>
      </w:r>
      <w:r w:rsidR="002031F9">
        <w:rPr>
          <w:rFonts w:ascii="Arial" w:hAnsi="Arial" w:cs="Arial"/>
          <w:color w:val="000000"/>
          <w:sz w:val="24"/>
          <w:szCs w:val="24"/>
        </w:rPr>
        <w:t>g the transition period they were</w:t>
      </w:r>
      <w:r w:rsidR="00BF7974" w:rsidRPr="002F27E0">
        <w:rPr>
          <w:rFonts w:ascii="Arial" w:hAnsi="Arial" w:cs="Arial"/>
          <w:color w:val="000000"/>
          <w:sz w:val="24"/>
          <w:szCs w:val="24"/>
        </w:rPr>
        <w:t xml:space="preserve"> unable to provide current or refreshed data. As soon as the data becomes available, the reports detailing staff numbers and </w:t>
      </w:r>
      <w:proofErr w:type="spellStart"/>
      <w:r w:rsidR="00BF7974" w:rsidRPr="002F27E0">
        <w:rPr>
          <w:rFonts w:ascii="Arial" w:hAnsi="Arial" w:cs="Arial"/>
          <w:color w:val="000000"/>
          <w:sz w:val="24"/>
          <w:szCs w:val="24"/>
        </w:rPr>
        <w:t>paybill</w:t>
      </w:r>
      <w:proofErr w:type="spellEnd"/>
      <w:r w:rsidR="00BF7974" w:rsidRPr="002F27E0">
        <w:rPr>
          <w:rFonts w:ascii="Arial" w:hAnsi="Arial" w:cs="Arial"/>
          <w:color w:val="000000"/>
          <w:sz w:val="24"/>
          <w:szCs w:val="24"/>
        </w:rPr>
        <w:t xml:space="preserve"> costs will be published.</w:t>
      </w:r>
    </w:p>
    <w:p w:rsidR="00BF7974" w:rsidRPr="002F27E0" w:rsidRDefault="00BF7974" w:rsidP="00BF7974">
      <w:pPr>
        <w:autoSpaceDE w:val="0"/>
        <w:autoSpaceDN w:val="0"/>
        <w:adjustRightInd w:val="0"/>
        <w:spacing w:after="0" w:line="240" w:lineRule="auto"/>
        <w:ind w:left="720"/>
        <w:rPr>
          <w:rFonts w:ascii="Arial" w:hAnsi="Arial" w:cs="Arial"/>
          <w:iCs/>
          <w:color w:val="000000"/>
          <w:sz w:val="24"/>
          <w:szCs w:val="24"/>
        </w:rPr>
      </w:pPr>
    </w:p>
    <w:p w:rsidR="002A7730" w:rsidRPr="002F27E0" w:rsidRDefault="00BF7974" w:rsidP="002A7730">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b/>
          <w:iCs/>
          <w:color w:val="000000"/>
          <w:sz w:val="24"/>
          <w:szCs w:val="24"/>
        </w:rPr>
        <w:t>CO</w:t>
      </w:r>
      <w:r w:rsidR="002D56B4" w:rsidRPr="002F27E0">
        <w:rPr>
          <w:rFonts w:ascii="Arial" w:hAnsi="Arial" w:cs="Arial"/>
          <w:iCs/>
          <w:color w:val="000000"/>
          <w:sz w:val="24"/>
          <w:szCs w:val="24"/>
        </w:rPr>
        <w:t xml:space="preserve"> reported </w:t>
      </w:r>
      <w:r w:rsidRPr="002F27E0">
        <w:rPr>
          <w:rFonts w:ascii="Arial" w:hAnsi="Arial" w:cs="Arial"/>
          <w:iCs/>
          <w:color w:val="000000"/>
          <w:sz w:val="24"/>
          <w:szCs w:val="24"/>
        </w:rPr>
        <w:t>publication of spend data (£25K+ and GPC expenditure) was delayed. Latest data on spending approvals (exceptions to moratoria) was published on time on http://www.gist.cabinetoffice.gov.u</w:t>
      </w:r>
      <w:r w:rsidR="002031F9">
        <w:rPr>
          <w:rFonts w:ascii="Arial" w:hAnsi="Arial" w:cs="Arial"/>
          <w:iCs/>
          <w:color w:val="000000"/>
          <w:sz w:val="24"/>
          <w:szCs w:val="24"/>
        </w:rPr>
        <w:t xml:space="preserve">k/oscar/ but not made available </w:t>
      </w:r>
      <w:r w:rsidRPr="002F27E0">
        <w:rPr>
          <w:rFonts w:ascii="Arial" w:hAnsi="Arial" w:cs="Arial"/>
          <w:iCs/>
          <w:color w:val="000000"/>
          <w:sz w:val="24"/>
          <w:szCs w:val="24"/>
        </w:rPr>
        <w:t>on data.gov.uk</w:t>
      </w:r>
      <w:r w:rsidR="002D56B4" w:rsidRPr="002F27E0">
        <w:rPr>
          <w:rFonts w:ascii="Arial" w:hAnsi="Arial" w:cs="Arial"/>
          <w:iCs/>
          <w:color w:val="000000"/>
          <w:sz w:val="24"/>
          <w:szCs w:val="24"/>
        </w:rPr>
        <w:t>.</w:t>
      </w:r>
    </w:p>
    <w:p w:rsidR="002A7730" w:rsidRPr="002F27E0" w:rsidRDefault="002A7730" w:rsidP="002A7730">
      <w:pPr>
        <w:autoSpaceDE w:val="0"/>
        <w:autoSpaceDN w:val="0"/>
        <w:adjustRightInd w:val="0"/>
        <w:spacing w:after="0" w:line="240" w:lineRule="auto"/>
        <w:ind w:left="720"/>
        <w:rPr>
          <w:rFonts w:ascii="Arial" w:hAnsi="Arial" w:cs="Arial"/>
          <w:iCs/>
          <w:color w:val="000000"/>
          <w:sz w:val="24"/>
          <w:szCs w:val="24"/>
        </w:rPr>
      </w:pPr>
    </w:p>
    <w:p w:rsidR="002A7730" w:rsidRPr="002F27E0" w:rsidRDefault="002A7730" w:rsidP="002A7730">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b/>
          <w:iCs/>
          <w:color w:val="000000"/>
          <w:sz w:val="24"/>
          <w:szCs w:val="24"/>
        </w:rPr>
        <w:t xml:space="preserve">DFID </w:t>
      </w:r>
      <w:r w:rsidRPr="002F27E0">
        <w:rPr>
          <w:rFonts w:ascii="Arial" w:hAnsi="Arial" w:cs="Arial"/>
          <w:iCs/>
          <w:color w:val="000000"/>
          <w:sz w:val="24"/>
          <w:szCs w:val="24"/>
        </w:rPr>
        <w:t xml:space="preserve">reported that their organogram was published and amended for March </w:t>
      </w:r>
      <w:proofErr w:type="gramStart"/>
      <w:r w:rsidRPr="002F27E0">
        <w:rPr>
          <w:rFonts w:ascii="Arial" w:hAnsi="Arial" w:cs="Arial"/>
          <w:iCs/>
          <w:color w:val="000000"/>
          <w:sz w:val="24"/>
          <w:szCs w:val="24"/>
        </w:rPr>
        <w:t>2013,</w:t>
      </w:r>
      <w:proofErr w:type="gramEnd"/>
      <w:r w:rsidRPr="002F27E0">
        <w:rPr>
          <w:rFonts w:ascii="Arial" w:hAnsi="Arial" w:cs="Arial"/>
          <w:iCs/>
          <w:color w:val="000000"/>
          <w:sz w:val="24"/>
          <w:szCs w:val="24"/>
        </w:rPr>
        <w:t xml:space="preserve"> however the data that came off the system contained a few errors. This was difficult to fix as the data cannot simply be overwritten. This meant that the data was not complete by the end of the period but </w:t>
      </w:r>
      <w:r w:rsidR="002031F9">
        <w:rPr>
          <w:rFonts w:ascii="Arial" w:hAnsi="Arial" w:cs="Arial"/>
          <w:iCs/>
          <w:color w:val="000000"/>
          <w:sz w:val="24"/>
          <w:szCs w:val="24"/>
        </w:rPr>
        <w:t xml:space="preserve">it </w:t>
      </w:r>
      <w:r w:rsidRPr="002F27E0">
        <w:rPr>
          <w:rFonts w:ascii="Arial" w:hAnsi="Arial" w:cs="Arial"/>
          <w:iCs/>
          <w:color w:val="000000"/>
          <w:sz w:val="24"/>
          <w:szCs w:val="24"/>
        </w:rPr>
        <w:t>has subsequently been published on data.gov.uk. Future organograms will use data extracted from DFID's brand new "HR Passport" system. This shoul</w:t>
      </w:r>
      <w:r w:rsidR="002031F9">
        <w:rPr>
          <w:rFonts w:ascii="Arial" w:hAnsi="Arial" w:cs="Arial"/>
          <w:iCs/>
          <w:color w:val="000000"/>
          <w:sz w:val="24"/>
          <w:szCs w:val="24"/>
        </w:rPr>
        <w:t xml:space="preserve">d make the process simpler in </w:t>
      </w:r>
      <w:r w:rsidRPr="002F27E0">
        <w:rPr>
          <w:rFonts w:ascii="Arial" w:hAnsi="Arial" w:cs="Arial"/>
          <w:iCs/>
          <w:color w:val="000000"/>
          <w:sz w:val="24"/>
          <w:szCs w:val="24"/>
        </w:rPr>
        <w:t xml:space="preserve">future and a new organogram will be uploaded by the end of Q3 2013/14.  </w:t>
      </w:r>
    </w:p>
    <w:p w:rsidR="002D56B4" w:rsidRPr="002F27E0" w:rsidRDefault="002D56B4" w:rsidP="00093728">
      <w:pPr>
        <w:autoSpaceDE w:val="0"/>
        <w:autoSpaceDN w:val="0"/>
        <w:adjustRightInd w:val="0"/>
        <w:spacing w:after="0" w:line="240" w:lineRule="auto"/>
        <w:ind w:left="720"/>
        <w:rPr>
          <w:rFonts w:ascii="Arial" w:hAnsi="Arial" w:cs="Arial"/>
          <w:iCs/>
          <w:color w:val="000000"/>
          <w:sz w:val="24"/>
          <w:szCs w:val="24"/>
        </w:rPr>
      </w:pPr>
    </w:p>
    <w:p w:rsidR="002D56B4" w:rsidRPr="002F27E0" w:rsidRDefault="00E00F8E" w:rsidP="004369B6">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b/>
          <w:iCs/>
          <w:color w:val="000000"/>
          <w:sz w:val="24"/>
          <w:szCs w:val="24"/>
        </w:rPr>
        <w:t xml:space="preserve">HMT </w:t>
      </w:r>
      <w:r w:rsidRPr="002F27E0">
        <w:rPr>
          <w:rFonts w:ascii="Arial" w:hAnsi="Arial" w:cs="Arial"/>
          <w:iCs/>
          <w:color w:val="000000"/>
          <w:sz w:val="24"/>
          <w:szCs w:val="24"/>
        </w:rPr>
        <w:t>reported that the publication of spend over £25,000 and GPC data was delayed. The Workforce Management data was published late due to internal prob</w:t>
      </w:r>
      <w:r w:rsidR="002031F9">
        <w:rPr>
          <w:rFonts w:ascii="Arial" w:hAnsi="Arial" w:cs="Arial"/>
          <w:iCs/>
          <w:color w:val="000000"/>
          <w:sz w:val="24"/>
          <w:szCs w:val="24"/>
        </w:rPr>
        <w:t>lems with access to data.gov.uk. T</w:t>
      </w:r>
      <w:r w:rsidRPr="002F27E0">
        <w:rPr>
          <w:rFonts w:ascii="Arial" w:hAnsi="Arial" w:cs="Arial"/>
          <w:iCs/>
          <w:color w:val="000000"/>
          <w:sz w:val="24"/>
          <w:szCs w:val="24"/>
        </w:rPr>
        <w:t xml:space="preserve">his </w:t>
      </w:r>
      <w:r w:rsidR="002031F9">
        <w:rPr>
          <w:rFonts w:ascii="Arial" w:hAnsi="Arial" w:cs="Arial"/>
          <w:iCs/>
          <w:color w:val="000000"/>
          <w:sz w:val="24"/>
          <w:szCs w:val="24"/>
        </w:rPr>
        <w:t>is expected to be resolved as HMT has</w:t>
      </w:r>
      <w:r w:rsidRPr="002F27E0">
        <w:rPr>
          <w:rFonts w:ascii="Arial" w:hAnsi="Arial" w:cs="Arial"/>
          <w:iCs/>
          <w:color w:val="000000"/>
          <w:sz w:val="24"/>
          <w:szCs w:val="24"/>
        </w:rPr>
        <w:t xml:space="preserve"> arranged for more staff to have access to data.gov.uk.</w:t>
      </w:r>
    </w:p>
    <w:p w:rsidR="002D56B4" w:rsidRPr="002F27E0" w:rsidRDefault="002D56B4" w:rsidP="004369B6">
      <w:pPr>
        <w:autoSpaceDE w:val="0"/>
        <w:autoSpaceDN w:val="0"/>
        <w:adjustRightInd w:val="0"/>
        <w:spacing w:after="0" w:line="240" w:lineRule="auto"/>
        <w:ind w:left="720"/>
        <w:rPr>
          <w:rFonts w:ascii="Arial" w:hAnsi="Arial" w:cs="Arial"/>
          <w:iCs/>
          <w:color w:val="000000"/>
          <w:sz w:val="24"/>
          <w:szCs w:val="24"/>
        </w:rPr>
      </w:pPr>
    </w:p>
    <w:p w:rsidR="00E00F8E" w:rsidRPr="002F27E0" w:rsidRDefault="002D56B4" w:rsidP="00614325">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b/>
          <w:iCs/>
          <w:color w:val="000000"/>
          <w:sz w:val="24"/>
          <w:szCs w:val="24"/>
        </w:rPr>
        <w:t>MOD</w:t>
      </w:r>
      <w:r w:rsidRPr="002F27E0">
        <w:rPr>
          <w:rFonts w:ascii="Arial" w:hAnsi="Arial" w:cs="Arial"/>
          <w:iCs/>
          <w:color w:val="000000"/>
          <w:sz w:val="24"/>
          <w:szCs w:val="24"/>
        </w:rPr>
        <w:t xml:space="preserve"> </w:t>
      </w:r>
      <w:r w:rsidR="006F5A49">
        <w:rPr>
          <w:rFonts w:ascii="Arial" w:hAnsi="Arial" w:cs="Arial"/>
          <w:iCs/>
          <w:color w:val="000000"/>
          <w:sz w:val="24"/>
          <w:szCs w:val="24"/>
        </w:rPr>
        <w:t>reported delays in</w:t>
      </w:r>
      <w:r w:rsidR="00B62552" w:rsidRPr="002F27E0">
        <w:rPr>
          <w:rFonts w:ascii="Arial" w:hAnsi="Arial" w:cs="Arial"/>
          <w:iCs/>
          <w:color w:val="000000"/>
          <w:sz w:val="24"/>
          <w:szCs w:val="24"/>
        </w:rPr>
        <w:t xml:space="preserve"> t</w:t>
      </w:r>
      <w:r w:rsidR="00E00F8E" w:rsidRPr="002F27E0">
        <w:rPr>
          <w:rFonts w:ascii="Arial" w:hAnsi="Arial" w:cs="Arial"/>
          <w:iCs/>
          <w:color w:val="000000"/>
          <w:sz w:val="24"/>
          <w:szCs w:val="24"/>
        </w:rPr>
        <w:t>he data</w:t>
      </w:r>
      <w:r w:rsidR="002031F9">
        <w:rPr>
          <w:rFonts w:ascii="Arial" w:hAnsi="Arial" w:cs="Arial"/>
          <w:iCs/>
          <w:color w:val="000000"/>
          <w:sz w:val="24"/>
          <w:szCs w:val="24"/>
        </w:rPr>
        <w:t xml:space="preserve"> collection for senior officials’</w:t>
      </w:r>
      <w:r w:rsidR="00E00F8E" w:rsidRPr="002F27E0">
        <w:rPr>
          <w:rFonts w:ascii="Arial" w:hAnsi="Arial" w:cs="Arial"/>
          <w:iCs/>
          <w:color w:val="000000"/>
          <w:sz w:val="24"/>
          <w:szCs w:val="24"/>
        </w:rPr>
        <w:t xml:space="preserve"> expenses, travel and hospitality data pending verification of some expenditure from appointments and external sources [e.g. HMRC]. MOD hope</w:t>
      </w:r>
      <w:r w:rsidR="006F5A49">
        <w:rPr>
          <w:rFonts w:ascii="Arial" w:hAnsi="Arial" w:cs="Arial"/>
          <w:iCs/>
          <w:color w:val="000000"/>
          <w:sz w:val="24"/>
          <w:szCs w:val="24"/>
        </w:rPr>
        <w:t>s</w:t>
      </w:r>
      <w:r w:rsidR="00E00F8E" w:rsidRPr="002F27E0">
        <w:rPr>
          <w:rFonts w:ascii="Arial" w:hAnsi="Arial" w:cs="Arial"/>
          <w:iCs/>
          <w:color w:val="000000"/>
          <w:sz w:val="24"/>
          <w:szCs w:val="24"/>
        </w:rPr>
        <w:t xml:space="preserve"> to be in a position to publish shortly.</w:t>
      </w:r>
    </w:p>
    <w:p w:rsidR="002D56B4" w:rsidRPr="002F27E0" w:rsidRDefault="00E00F8E" w:rsidP="00E00F8E">
      <w:pPr>
        <w:autoSpaceDE w:val="0"/>
        <w:autoSpaceDN w:val="0"/>
        <w:adjustRightInd w:val="0"/>
        <w:spacing w:after="0" w:line="240" w:lineRule="auto"/>
        <w:ind w:left="720"/>
        <w:rPr>
          <w:rFonts w:ascii="Arial" w:hAnsi="Arial" w:cs="Arial"/>
          <w:iCs/>
          <w:color w:val="000000"/>
          <w:sz w:val="24"/>
          <w:szCs w:val="24"/>
        </w:rPr>
      </w:pPr>
      <w:r w:rsidRPr="002F27E0">
        <w:rPr>
          <w:rFonts w:ascii="Arial" w:hAnsi="Arial" w:cs="Arial"/>
          <w:iCs/>
          <w:color w:val="000000"/>
          <w:sz w:val="24"/>
          <w:szCs w:val="24"/>
        </w:rPr>
        <w:t xml:space="preserve"> </w:t>
      </w:r>
    </w:p>
    <w:p w:rsidR="002D56B4" w:rsidRPr="002F27E0" w:rsidRDefault="002D56B4" w:rsidP="00D75AFC">
      <w:pPr>
        <w:numPr>
          <w:ilvl w:val="0"/>
          <w:numId w:val="3"/>
        </w:numPr>
        <w:autoSpaceDE w:val="0"/>
        <w:autoSpaceDN w:val="0"/>
        <w:adjustRightInd w:val="0"/>
        <w:spacing w:after="0" w:line="240" w:lineRule="auto"/>
        <w:rPr>
          <w:rFonts w:ascii="Arial" w:hAnsi="Arial" w:cs="Arial"/>
          <w:iCs/>
          <w:color w:val="000000"/>
          <w:sz w:val="24"/>
          <w:szCs w:val="24"/>
        </w:rPr>
      </w:pPr>
      <w:proofErr w:type="spellStart"/>
      <w:r w:rsidRPr="002F27E0">
        <w:rPr>
          <w:rFonts w:ascii="Arial" w:hAnsi="Arial" w:cs="Arial"/>
          <w:b/>
          <w:iCs/>
          <w:color w:val="000000"/>
          <w:sz w:val="24"/>
          <w:szCs w:val="24"/>
        </w:rPr>
        <w:t>MoJ</w:t>
      </w:r>
      <w:proofErr w:type="spellEnd"/>
      <w:r w:rsidRPr="002F27E0">
        <w:rPr>
          <w:rFonts w:ascii="Arial" w:hAnsi="Arial" w:cs="Arial"/>
          <w:iCs/>
          <w:color w:val="000000"/>
          <w:sz w:val="24"/>
          <w:szCs w:val="24"/>
        </w:rPr>
        <w:t xml:space="preserve"> has not met the target for publication of spend of over £25,000 and </w:t>
      </w:r>
      <w:smartTag w:uri="urn:schemas-microsoft-com:office:smarttags" w:element="stockticker">
        <w:r w:rsidRPr="002F27E0">
          <w:rPr>
            <w:rFonts w:ascii="Arial" w:hAnsi="Arial" w:cs="Arial"/>
            <w:iCs/>
            <w:color w:val="000000"/>
            <w:sz w:val="24"/>
            <w:szCs w:val="24"/>
          </w:rPr>
          <w:t>GPC</w:t>
        </w:r>
      </w:smartTag>
      <w:r w:rsidRPr="002F27E0">
        <w:rPr>
          <w:rFonts w:ascii="Arial" w:hAnsi="Arial" w:cs="Arial"/>
          <w:iCs/>
          <w:color w:val="000000"/>
          <w:sz w:val="24"/>
          <w:szCs w:val="24"/>
        </w:rPr>
        <w:t xml:space="preserve"> data. They report that work to update their transparency data in these areas is ongoing and that it will be published in due course.</w:t>
      </w:r>
    </w:p>
    <w:p w:rsidR="002D56B4" w:rsidRPr="002F27E0" w:rsidRDefault="002D56B4" w:rsidP="00C903F7">
      <w:pPr>
        <w:autoSpaceDE w:val="0"/>
        <w:autoSpaceDN w:val="0"/>
        <w:adjustRightInd w:val="0"/>
        <w:spacing w:after="0" w:line="240" w:lineRule="auto"/>
        <w:ind w:left="720"/>
        <w:rPr>
          <w:rFonts w:ascii="Arial" w:hAnsi="Arial" w:cs="Arial"/>
          <w:iCs/>
          <w:color w:val="000000"/>
          <w:sz w:val="24"/>
          <w:szCs w:val="24"/>
        </w:rPr>
      </w:pPr>
    </w:p>
    <w:p w:rsidR="002D56B4" w:rsidRPr="002F27E0" w:rsidRDefault="002D56B4" w:rsidP="005E3400">
      <w:pPr>
        <w:autoSpaceDE w:val="0"/>
        <w:autoSpaceDN w:val="0"/>
        <w:adjustRightInd w:val="0"/>
        <w:spacing w:after="0" w:line="240" w:lineRule="auto"/>
        <w:outlineLvl w:val="0"/>
        <w:rPr>
          <w:rFonts w:ascii="Arial" w:hAnsi="Arial" w:cs="Arial"/>
          <w:b/>
          <w:sz w:val="24"/>
          <w:szCs w:val="24"/>
        </w:rPr>
      </w:pPr>
      <w:r w:rsidRPr="002F27E0">
        <w:rPr>
          <w:rFonts w:ascii="Arial" w:hAnsi="Arial" w:cs="Arial"/>
          <w:b/>
          <w:sz w:val="24"/>
          <w:szCs w:val="24"/>
        </w:rPr>
        <w:t>Published Commitments</w:t>
      </w:r>
    </w:p>
    <w:p w:rsidR="002D56B4" w:rsidRPr="002F27E0" w:rsidRDefault="002D56B4" w:rsidP="00D75AFC">
      <w:pPr>
        <w:autoSpaceDE w:val="0"/>
        <w:autoSpaceDN w:val="0"/>
        <w:adjustRightInd w:val="0"/>
        <w:spacing w:after="0" w:line="240" w:lineRule="auto"/>
        <w:rPr>
          <w:rFonts w:ascii="Arial" w:hAnsi="Arial" w:cs="Arial"/>
          <w:b/>
          <w:sz w:val="24"/>
          <w:szCs w:val="24"/>
        </w:rPr>
      </w:pPr>
    </w:p>
    <w:p w:rsidR="002D56B4" w:rsidRPr="002F27E0" w:rsidRDefault="002D56B4" w:rsidP="00D75AFC">
      <w:pPr>
        <w:autoSpaceDE w:val="0"/>
        <w:autoSpaceDN w:val="0"/>
        <w:adjustRightInd w:val="0"/>
        <w:spacing w:after="0" w:line="240" w:lineRule="auto"/>
        <w:rPr>
          <w:rFonts w:ascii="Arial" w:hAnsi="Arial" w:cs="Arial"/>
          <w:i/>
          <w:sz w:val="24"/>
          <w:szCs w:val="24"/>
        </w:rPr>
      </w:pPr>
      <w:r w:rsidRPr="002F27E0">
        <w:rPr>
          <w:rFonts w:ascii="Arial" w:hAnsi="Arial" w:cs="Arial"/>
          <w:i/>
          <w:sz w:val="24"/>
          <w:szCs w:val="24"/>
        </w:rPr>
        <w:t xml:space="preserve">Published Commitments supports progress against Public Data Principles 1, 2, 3, 4, 5, 8, 9, 10, 11, </w:t>
      </w:r>
      <w:proofErr w:type="gramStart"/>
      <w:r w:rsidRPr="002F27E0">
        <w:rPr>
          <w:rFonts w:ascii="Arial" w:hAnsi="Arial" w:cs="Arial"/>
          <w:i/>
          <w:sz w:val="24"/>
          <w:szCs w:val="24"/>
        </w:rPr>
        <w:t>12</w:t>
      </w:r>
      <w:proofErr w:type="gramEnd"/>
      <w:r w:rsidRPr="002F27E0">
        <w:rPr>
          <w:rFonts w:ascii="Arial" w:hAnsi="Arial" w:cs="Arial"/>
          <w:i/>
          <w:sz w:val="24"/>
          <w:szCs w:val="24"/>
        </w:rPr>
        <w:t>.</w:t>
      </w:r>
    </w:p>
    <w:p w:rsidR="002D56B4" w:rsidRPr="002F27E0" w:rsidRDefault="002D56B4" w:rsidP="00D75AFC">
      <w:pPr>
        <w:autoSpaceDE w:val="0"/>
        <w:autoSpaceDN w:val="0"/>
        <w:adjustRightInd w:val="0"/>
        <w:spacing w:after="0" w:line="240" w:lineRule="auto"/>
        <w:rPr>
          <w:rFonts w:ascii="Arial" w:hAnsi="Arial" w:cs="Arial"/>
          <w:iCs/>
          <w:color w:val="000000"/>
          <w:sz w:val="24"/>
          <w:szCs w:val="24"/>
        </w:rPr>
      </w:pPr>
    </w:p>
    <w:p w:rsidR="002D56B4" w:rsidRPr="002F27E0" w:rsidRDefault="002D56B4" w:rsidP="007C38DA">
      <w:pPr>
        <w:numPr>
          <w:ilvl w:val="0"/>
          <w:numId w:val="3"/>
        </w:numPr>
        <w:autoSpaceDE w:val="0"/>
        <w:autoSpaceDN w:val="0"/>
        <w:adjustRightInd w:val="0"/>
        <w:spacing w:after="0" w:line="240" w:lineRule="auto"/>
        <w:rPr>
          <w:rFonts w:ascii="Arial" w:hAnsi="Arial" w:cs="Arial"/>
          <w:iCs/>
          <w:color w:val="000000"/>
          <w:sz w:val="24"/>
          <w:szCs w:val="24"/>
        </w:rPr>
      </w:pPr>
      <w:smartTag w:uri="urn:schemas-microsoft-com:office:smarttags" w:element="stockticker">
        <w:r w:rsidRPr="002F27E0">
          <w:rPr>
            <w:rFonts w:ascii="Arial" w:hAnsi="Arial" w:cs="Arial"/>
            <w:b/>
            <w:iCs/>
            <w:color w:val="000000"/>
            <w:sz w:val="24"/>
            <w:szCs w:val="24"/>
          </w:rPr>
          <w:t>BIS</w:t>
        </w:r>
      </w:smartTag>
      <w:r w:rsidRPr="002F27E0">
        <w:rPr>
          <w:rFonts w:ascii="Arial" w:hAnsi="Arial" w:cs="Arial"/>
          <w:iCs/>
          <w:color w:val="000000"/>
          <w:sz w:val="24"/>
          <w:szCs w:val="24"/>
        </w:rPr>
        <w:t xml:space="preserve"> </w:t>
      </w:r>
      <w:r w:rsidR="007C38DA" w:rsidRPr="002F27E0">
        <w:rPr>
          <w:rFonts w:ascii="Arial" w:hAnsi="Arial" w:cs="Arial"/>
          <w:iCs/>
          <w:color w:val="000000"/>
          <w:sz w:val="24"/>
          <w:szCs w:val="24"/>
        </w:rPr>
        <w:t>reported that</w:t>
      </w:r>
      <w:r w:rsidR="00AE7628" w:rsidRPr="002F27E0">
        <w:rPr>
          <w:rFonts w:ascii="Arial" w:hAnsi="Arial" w:cs="Arial"/>
          <w:iCs/>
          <w:color w:val="000000"/>
          <w:sz w:val="24"/>
          <w:szCs w:val="24"/>
        </w:rPr>
        <w:t>,</w:t>
      </w:r>
      <w:r w:rsidR="007C38DA" w:rsidRPr="002F27E0">
        <w:rPr>
          <w:rFonts w:ascii="Arial" w:hAnsi="Arial" w:cs="Arial"/>
          <w:iCs/>
          <w:color w:val="000000"/>
          <w:sz w:val="24"/>
          <w:szCs w:val="24"/>
        </w:rPr>
        <w:t xml:space="preserve"> on 19 September</w:t>
      </w:r>
      <w:r w:rsidR="00AE7628" w:rsidRPr="002F27E0">
        <w:rPr>
          <w:rFonts w:ascii="Arial" w:hAnsi="Arial" w:cs="Arial"/>
          <w:iCs/>
          <w:color w:val="000000"/>
          <w:sz w:val="24"/>
          <w:szCs w:val="24"/>
        </w:rPr>
        <w:t>,</w:t>
      </w:r>
      <w:r w:rsidR="007C38DA" w:rsidRPr="002F27E0">
        <w:rPr>
          <w:rFonts w:ascii="Arial" w:hAnsi="Arial" w:cs="Arial"/>
          <w:iCs/>
          <w:color w:val="000000"/>
          <w:sz w:val="24"/>
          <w:szCs w:val="24"/>
        </w:rPr>
        <w:t xml:space="preserve"> the </w:t>
      </w:r>
      <w:proofErr w:type="spellStart"/>
      <w:r w:rsidR="007C38DA" w:rsidRPr="002F27E0">
        <w:rPr>
          <w:rFonts w:ascii="Arial" w:hAnsi="Arial" w:cs="Arial"/>
          <w:iCs/>
          <w:color w:val="000000"/>
          <w:sz w:val="24"/>
          <w:szCs w:val="24"/>
        </w:rPr>
        <w:t>Unistats</w:t>
      </w:r>
      <w:proofErr w:type="spellEnd"/>
      <w:r w:rsidR="007C38DA" w:rsidRPr="002F27E0">
        <w:rPr>
          <w:rFonts w:ascii="Arial" w:hAnsi="Arial" w:cs="Arial"/>
          <w:iCs/>
          <w:color w:val="000000"/>
          <w:sz w:val="24"/>
          <w:szCs w:val="24"/>
        </w:rPr>
        <w:t xml:space="preserve"> website (which allows prospective higher education students to compare the Key Information Set) was re-launched with updated data. A number of changes were introduced to improve the usability and accessibility of the website including a new mobile-compatible version of the site. The latest data was also published including 2013 student satisfaction rates, results from the 2011/12 Destinations of Leavers from Higher Education survey and course fees and accommodation costs for entry in the 2014/15 academic year. </w:t>
      </w:r>
    </w:p>
    <w:p w:rsidR="007C38DA" w:rsidRPr="002F27E0" w:rsidRDefault="007C38DA" w:rsidP="007C38DA">
      <w:pPr>
        <w:autoSpaceDE w:val="0"/>
        <w:autoSpaceDN w:val="0"/>
        <w:adjustRightInd w:val="0"/>
        <w:spacing w:after="0" w:line="240" w:lineRule="auto"/>
        <w:ind w:left="720"/>
        <w:rPr>
          <w:rFonts w:ascii="Arial" w:hAnsi="Arial" w:cs="Arial"/>
          <w:iCs/>
          <w:color w:val="000000"/>
          <w:sz w:val="24"/>
          <w:szCs w:val="24"/>
        </w:rPr>
      </w:pPr>
    </w:p>
    <w:p w:rsidR="002D56B4" w:rsidRPr="002F27E0" w:rsidRDefault="002D56B4" w:rsidP="00F12AD3">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b/>
          <w:iCs/>
          <w:color w:val="000000"/>
          <w:sz w:val="24"/>
          <w:szCs w:val="24"/>
        </w:rPr>
        <w:t>CO</w:t>
      </w:r>
      <w:r w:rsidRPr="002F27E0">
        <w:rPr>
          <w:rFonts w:ascii="Arial" w:hAnsi="Arial" w:cs="Arial"/>
          <w:iCs/>
          <w:color w:val="000000"/>
          <w:sz w:val="24"/>
          <w:szCs w:val="24"/>
        </w:rPr>
        <w:t xml:space="preserve"> </w:t>
      </w:r>
      <w:r w:rsidR="007C38DA" w:rsidRPr="002F27E0">
        <w:rPr>
          <w:rFonts w:ascii="Arial" w:hAnsi="Arial" w:cs="Arial"/>
          <w:iCs/>
          <w:color w:val="000000"/>
          <w:sz w:val="24"/>
          <w:szCs w:val="24"/>
        </w:rPr>
        <w:t xml:space="preserve">reported that in August they published the latest data on the government construction pipeline which includes 1,047 projects and programmes, and </w:t>
      </w:r>
      <w:r w:rsidR="007C38DA" w:rsidRPr="002F27E0">
        <w:rPr>
          <w:rFonts w:ascii="Arial" w:hAnsi="Arial" w:cs="Arial"/>
          <w:iCs/>
          <w:color w:val="000000"/>
          <w:sz w:val="24"/>
          <w:szCs w:val="24"/>
        </w:rPr>
        <w:lastRenderedPageBreak/>
        <w:t>over £109 billion of investment to 2020 and beyond. In September they published data derived directly from the Cabinet Office Annual Report and Accounts 2012-13 (fo</w:t>
      </w:r>
      <w:r w:rsidR="006F5A49">
        <w:rPr>
          <w:rFonts w:ascii="Arial" w:hAnsi="Arial" w:cs="Arial"/>
          <w:iCs/>
          <w:color w:val="000000"/>
          <w:sz w:val="24"/>
          <w:szCs w:val="24"/>
        </w:rPr>
        <w:t>r the year ended 31 March 2013); this was</w:t>
      </w:r>
      <w:r w:rsidR="007C38DA" w:rsidRPr="002F27E0">
        <w:rPr>
          <w:rFonts w:ascii="Arial" w:hAnsi="Arial" w:cs="Arial"/>
          <w:iCs/>
          <w:color w:val="000000"/>
          <w:sz w:val="24"/>
          <w:szCs w:val="24"/>
        </w:rPr>
        <w:t xml:space="preserve"> first published on the Cabinet Office website in July 2013. This is the second successive year they have published this data on www.data.gov.uk and they remain one of the few departments to publish all underlying Annual Accounts data in full and in an open format.</w:t>
      </w:r>
    </w:p>
    <w:p w:rsidR="00726CBF" w:rsidRPr="002F27E0" w:rsidRDefault="00726CBF" w:rsidP="00726CBF">
      <w:pPr>
        <w:autoSpaceDE w:val="0"/>
        <w:autoSpaceDN w:val="0"/>
        <w:adjustRightInd w:val="0"/>
        <w:spacing w:after="0" w:line="240" w:lineRule="auto"/>
        <w:ind w:left="720"/>
        <w:rPr>
          <w:rFonts w:ascii="Arial" w:hAnsi="Arial" w:cs="Arial"/>
          <w:iCs/>
          <w:color w:val="000000"/>
          <w:sz w:val="24"/>
          <w:szCs w:val="24"/>
        </w:rPr>
      </w:pPr>
    </w:p>
    <w:p w:rsidR="002D56B4" w:rsidRPr="002F27E0" w:rsidRDefault="002D56B4" w:rsidP="008E78F9">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b/>
          <w:iCs/>
          <w:color w:val="000000"/>
          <w:sz w:val="24"/>
          <w:szCs w:val="24"/>
        </w:rPr>
        <w:t xml:space="preserve">DCMS </w:t>
      </w:r>
      <w:r w:rsidR="00E21B93" w:rsidRPr="002F27E0">
        <w:rPr>
          <w:rFonts w:ascii="Arial" w:hAnsi="Arial" w:cs="Arial"/>
          <w:iCs/>
          <w:color w:val="000000"/>
          <w:sz w:val="24"/>
          <w:szCs w:val="24"/>
        </w:rPr>
        <w:t xml:space="preserve">published statistics from the Taking Part survey. Data from </w:t>
      </w:r>
      <w:r w:rsidR="006F5A49">
        <w:rPr>
          <w:rFonts w:ascii="Arial" w:hAnsi="Arial" w:cs="Arial"/>
          <w:iCs/>
          <w:color w:val="000000"/>
          <w:sz w:val="24"/>
          <w:szCs w:val="24"/>
        </w:rPr>
        <w:t xml:space="preserve">Q1 </w:t>
      </w:r>
      <w:r w:rsidR="00E21B93" w:rsidRPr="002F27E0">
        <w:rPr>
          <w:rFonts w:ascii="Arial" w:hAnsi="Arial" w:cs="Arial"/>
          <w:iCs/>
          <w:color w:val="000000"/>
          <w:sz w:val="24"/>
          <w:szCs w:val="24"/>
        </w:rPr>
        <w:t>2013/14 was published</w:t>
      </w:r>
      <w:r w:rsidR="006F5A49">
        <w:rPr>
          <w:rFonts w:ascii="Arial" w:hAnsi="Arial" w:cs="Arial"/>
          <w:iCs/>
          <w:color w:val="000000"/>
          <w:sz w:val="24"/>
          <w:szCs w:val="24"/>
        </w:rPr>
        <w:t xml:space="preserve"> on</w:t>
      </w:r>
      <w:r w:rsidR="00E21B93" w:rsidRPr="002F27E0">
        <w:rPr>
          <w:rFonts w:ascii="Arial" w:hAnsi="Arial" w:cs="Arial"/>
          <w:iCs/>
          <w:color w:val="000000"/>
          <w:sz w:val="24"/>
          <w:szCs w:val="24"/>
        </w:rPr>
        <w:t xml:space="preserve"> 26 September 2013: https://www.gov.uk/government/publications/taking-part-201314-quarter-1-statistical-release</w:t>
      </w:r>
    </w:p>
    <w:p w:rsidR="002D56B4" w:rsidRPr="002F27E0" w:rsidRDefault="002D56B4" w:rsidP="00176484">
      <w:pPr>
        <w:autoSpaceDE w:val="0"/>
        <w:autoSpaceDN w:val="0"/>
        <w:adjustRightInd w:val="0"/>
        <w:spacing w:after="0" w:line="240" w:lineRule="auto"/>
        <w:ind w:left="720"/>
        <w:rPr>
          <w:rFonts w:ascii="Arial" w:hAnsi="Arial" w:cs="Arial"/>
          <w:iCs/>
          <w:color w:val="000000"/>
          <w:sz w:val="24"/>
          <w:szCs w:val="24"/>
        </w:rPr>
      </w:pPr>
    </w:p>
    <w:p w:rsidR="00785D9D" w:rsidRPr="002F27E0" w:rsidRDefault="002D56B4" w:rsidP="00785D9D">
      <w:pPr>
        <w:numPr>
          <w:ilvl w:val="0"/>
          <w:numId w:val="3"/>
        </w:numPr>
        <w:autoSpaceDE w:val="0"/>
        <w:autoSpaceDN w:val="0"/>
        <w:adjustRightInd w:val="0"/>
        <w:spacing w:after="0" w:line="240" w:lineRule="auto"/>
        <w:rPr>
          <w:rFonts w:ascii="Arial" w:hAnsi="Arial" w:cs="Arial"/>
          <w:iCs/>
          <w:color w:val="000000"/>
          <w:sz w:val="24"/>
          <w:szCs w:val="24"/>
        </w:rPr>
      </w:pPr>
      <w:r w:rsidRPr="002F27E0">
        <w:rPr>
          <w:rFonts w:ascii="Arial" w:hAnsi="Arial" w:cs="Arial"/>
          <w:b/>
          <w:iCs/>
          <w:color w:val="000000"/>
          <w:sz w:val="24"/>
          <w:szCs w:val="24"/>
        </w:rPr>
        <w:t>DECC</w:t>
      </w:r>
      <w:r w:rsidRPr="002F27E0">
        <w:rPr>
          <w:rFonts w:ascii="Arial" w:hAnsi="Arial" w:cs="Arial"/>
          <w:iCs/>
          <w:color w:val="000000"/>
          <w:sz w:val="24"/>
          <w:szCs w:val="24"/>
        </w:rPr>
        <w:t xml:space="preserve"> </w:t>
      </w:r>
      <w:r w:rsidR="008F42A7" w:rsidRPr="002F27E0">
        <w:rPr>
          <w:rFonts w:ascii="Arial" w:hAnsi="Arial" w:cs="Arial"/>
          <w:iCs/>
          <w:color w:val="000000"/>
          <w:sz w:val="24"/>
          <w:szCs w:val="24"/>
        </w:rPr>
        <w:t xml:space="preserve">has met all of its Open Data Strategy commitments. Additional data on accreditations and Renewable Heat Premium Payment redeemed vouchers by local authority was included in </w:t>
      </w:r>
      <w:r w:rsidR="00BF6A6A" w:rsidRPr="002F27E0">
        <w:rPr>
          <w:rFonts w:ascii="Arial" w:hAnsi="Arial" w:cs="Arial"/>
          <w:iCs/>
          <w:color w:val="000000"/>
          <w:sz w:val="24"/>
          <w:szCs w:val="24"/>
        </w:rPr>
        <w:t xml:space="preserve">the </w:t>
      </w:r>
      <w:r w:rsidR="008F42A7" w:rsidRPr="002F27E0">
        <w:rPr>
          <w:rFonts w:ascii="Arial" w:hAnsi="Arial" w:cs="Arial"/>
          <w:iCs/>
          <w:color w:val="000000"/>
          <w:sz w:val="24"/>
          <w:szCs w:val="24"/>
        </w:rPr>
        <w:t>R</w:t>
      </w:r>
      <w:r w:rsidR="006639A5" w:rsidRPr="002F27E0">
        <w:rPr>
          <w:rFonts w:ascii="Arial" w:hAnsi="Arial" w:cs="Arial"/>
          <w:iCs/>
          <w:color w:val="000000"/>
          <w:sz w:val="24"/>
          <w:szCs w:val="24"/>
        </w:rPr>
        <w:t>enewable Heat Incentive</w:t>
      </w:r>
      <w:r w:rsidR="008F42A7" w:rsidRPr="002F27E0">
        <w:rPr>
          <w:rFonts w:ascii="Arial" w:hAnsi="Arial" w:cs="Arial"/>
          <w:iCs/>
          <w:color w:val="000000"/>
          <w:sz w:val="24"/>
          <w:szCs w:val="24"/>
        </w:rPr>
        <w:t xml:space="preserve"> </w:t>
      </w:r>
      <w:r w:rsidR="00BF6A6A" w:rsidRPr="002F27E0">
        <w:rPr>
          <w:rFonts w:ascii="Arial" w:hAnsi="Arial" w:cs="Arial"/>
          <w:iCs/>
          <w:color w:val="000000"/>
          <w:sz w:val="24"/>
          <w:szCs w:val="24"/>
        </w:rPr>
        <w:t xml:space="preserve">dataset </w:t>
      </w:r>
      <w:r w:rsidR="008F42A7" w:rsidRPr="002F27E0">
        <w:rPr>
          <w:rFonts w:ascii="Arial" w:hAnsi="Arial" w:cs="Arial"/>
          <w:iCs/>
          <w:color w:val="000000"/>
          <w:sz w:val="24"/>
          <w:szCs w:val="24"/>
        </w:rPr>
        <w:t>from July</w:t>
      </w:r>
      <w:r w:rsidR="00785D9D" w:rsidRPr="002F27E0">
        <w:rPr>
          <w:rFonts w:ascii="Arial" w:hAnsi="Arial" w:cs="Arial"/>
          <w:iCs/>
          <w:color w:val="000000"/>
          <w:sz w:val="24"/>
          <w:szCs w:val="24"/>
        </w:rPr>
        <w:t>.</w:t>
      </w:r>
    </w:p>
    <w:p w:rsidR="00785D9D" w:rsidRPr="002F27E0" w:rsidRDefault="00785D9D" w:rsidP="00785D9D">
      <w:pPr>
        <w:autoSpaceDE w:val="0"/>
        <w:autoSpaceDN w:val="0"/>
        <w:adjustRightInd w:val="0"/>
        <w:spacing w:after="0" w:line="240" w:lineRule="auto"/>
        <w:ind w:left="720"/>
        <w:rPr>
          <w:rFonts w:ascii="Arial" w:hAnsi="Arial" w:cs="Arial"/>
          <w:iCs/>
          <w:color w:val="000000"/>
          <w:sz w:val="24"/>
          <w:szCs w:val="24"/>
        </w:rPr>
      </w:pPr>
    </w:p>
    <w:p w:rsidR="001262A4" w:rsidRPr="002F27E0" w:rsidRDefault="00785D9D" w:rsidP="001262A4">
      <w:pPr>
        <w:numPr>
          <w:ilvl w:val="0"/>
          <w:numId w:val="3"/>
        </w:numPr>
        <w:autoSpaceDE w:val="0"/>
        <w:autoSpaceDN w:val="0"/>
        <w:adjustRightInd w:val="0"/>
        <w:spacing w:after="0" w:line="240" w:lineRule="auto"/>
        <w:rPr>
          <w:rFonts w:ascii="Arial" w:hAnsi="Arial" w:cs="Arial"/>
          <w:sz w:val="24"/>
          <w:szCs w:val="24"/>
        </w:rPr>
      </w:pPr>
      <w:proofErr w:type="spellStart"/>
      <w:r w:rsidRPr="002F27E0">
        <w:rPr>
          <w:rFonts w:ascii="Arial" w:hAnsi="Arial" w:cs="Arial"/>
          <w:b/>
          <w:iCs/>
          <w:color w:val="000000"/>
          <w:sz w:val="24"/>
          <w:szCs w:val="24"/>
        </w:rPr>
        <w:t>DfE</w:t>
      </w:r>
      <w:proofErr w:type="spellEnd"/>
      <w:r w:rsidRPr="002F27E0">
        <w:rPr>
          <w:rFonts w:ascii="Arial" w:hAnsi="Arial" w:cs="Arial"/>
          <w:b/>
          <w:iCs/>
          <w:color w:val="000000"/>
          <w:sz w:val="24"/>
          <w:szCs w:val="24"/>
        </w:rPr>
        <w:t xml:space="preserve"> </w:t>
      </w:r>
      <w:r w:rsidRPr="002F27E0">
        <w:rPr>
          <w:rFonts w:ascii="Arial" w:hAnsi="Arial" w:cs="Arial"/>
          <w:iCs/>
          <w:color w:val="000000"/>
          <w:sz w:val="24"/>
          <w:szCs w:val="24"/>
        </w:rPr>
        <w:t>reported</w:t>
      </w:r>
      <w:r w:rsidR="001262A4" w:rsidRPr="002F27E0">
        <w:rPr>
          <w:rFonts w:ascii="Arial" w:hAnsi="Arial" w:cs="Arial"/>
          <w:iCs/>
          <w:color w:val="000000"/>
          <w:sz w:val="24"/>
          <w:szCs w:val="24"/>
        </w:rPr>
        <w:t xml:space="preserve"> numerous data releases during the quarter</w:t>
      </w:r>
      <w:r w:rsidR="006F5A49">
        <w:rPr>
          <w:rFonts w:ascii="Arial" w:hAnsi="Arial" w:cs="Arial"/>
          <w:iCs/>
          <w:color w:val="000000"/>
          <w:sz w:val="24"/>
          <w:szCs w:val="24"/>
        </w:rPr>
        <w:t>. O</w:t>
      </w:r>
      <w:r w:rsidR="006F5A49" w:rsidRPr="002F27E0">
        <w:rPr>
          <w:rFonts w:ascii="Arial" w:hAnsi="Arial" w:cs="Arial"/>
          <w:iCs/>
          <w:color w:val="000000"/>
          <w:sz w:val="24"/>
          <w:szCs w:val="24"/>
        </w:rPr>
        <w:t>n 16 July 2013,</w:t>
      </w:r>
      <w:r w:rsidRPr="002F27E0">
        <w:rPr>
          <w:rFonts w:ascii="Arial" w:hAnsi="Arial" w:cs="Arial"/>
          <w:iCs/>
          <w:color w:val="000000"/>
          <w:sz w:val="24"/>
          <w:szCs w:val="24"/>
        </w:rPr>
        <w:t xml:space="preserve"> </w:t>
      </w:r>
      <w:r w:rsidR="006F5A49">
        <w:rPr>
          <w:rFonts w:ascii="Arial" w:hAnsi="Arial" w:cs="Arial"/>
          <w:iCs/>
          <w:color w:val="000000"/>
          <w:sz w:val="24"/>
          <w:szCs w:val="24"/>
        </w:rPr>
        <w:t xml:space="preserve">it published academy </w:t>
      </w:r>
      <w:r w:rsidRPr="002F27E0">
        <w:rPr>
          <w:rFonts w:ascii="Arial" w:hAnsi="Arial" w:cs="Arial"/>
          <w:iCs/>
          <w:color w:val="000000"/>
          <w:sz w:val="24"/>
          <w:szCs w:val="24"/>
        </w:rPr>
        <w:t xml:space="preserve">spend tables containing information on academies’ income and expenditure for the academic year 2011/2012. </w:t>
      </w:r>
      <w:proofErr w:type="spellStart"/>
      <w:r w:rsidRPr="002F27E0">
        <w:rPr>
          <w:rFonts w:ascii="Arial" w:hAnsi="Arial" w:cs="Arial"/>
          <w:iCs/>
          <w:color w:val="000000"/>
          <w:sz w:val="24"/>
          <w:szCs w:val="24"/>
        </w:rPr>
        <w:t>DfE</w:t>
      </w:r>
      <w:proofErr w:type="spellEnd"/>
      <w:r w:rsidRPr="002F27E0">
        <w:rPr>
          <w:rFonts w:ascii="Arial" w:hAnsi="Arial" w:cs="Arial"/>
          <w:iCs/>
          <w:color w:val="000000"/>
          <w:sz w:val="24"/>
          <w:szCs w:val="24"/>
        </w:rPr>
        <w:t xml:space="preserve"> want to encourage academies to use the data </w:t>
      </w:r>
      <w:r w:rsidR="006F5A49">
        <w:rPr>
          <w:rFonts w:ascii="Arial" w:hAnsi="Arial" w:cs="Arial"/>
          <w:iCs/>
          <w:color w:val="000000"/>
          <w:sz w:val="24"/>
          <w:szCs w:val="24"/>
        </w:rPr>
        <w:t xml:space="preserve">to benchmark themselves against </w:t>
      </w:r>
      <w:r w:rsidRPr="002F27E0">
        <w:rPr>
          <w:rFonts w:ascii="Arial" w:hAnsi="Arial" w:cs="Arial"/>
          <w:iCs/>
          <w:color w:val="000000"/>
          <w:sz w:val="24"/>
          <w:szCs w:val="24"/>
        </w:rPr>
        <w:t>each other</w:t>
      </w:r>
      <w:r w:rsidR="001262A4" w:rsidRPr="002F27E0">
        <w:rPr>
          <w:rFonts w:ascii="Arial" w:hAnsi="Arial" w:cs="Arial"/>
          <w:iCs/>
          <w:color w:val="000000"/>
          <w:sz w:val="24"/>
          <w:szCs w:val="24"/>
        </w:rPr>
        <w:t>. The data release also enables</w:t>
      </w:r>
      <w:r w:rsidRPr="002F27E0">
        <w:rPr>
          <w:rFonts w:ascii="Arial" w:hAnsi="Arial" w:cs="Arial"/>
          <w:iCs/>
          <w:color w:val="000000"/>
          <w:sz w:val="24"/>
          <w:szCs w:val="24"/>
        </w:rPr>
        <w:t xml:space="preserve"> parents and the wider</w:t>
      </w:r>
      <w:r w:rsidR="001262A4" w:rsidRPr="002F27E0">
        <w:rPr>
          <w:rFonts w:ascii="Arial" w:hAnsi="Arial" w:cs="Arial"/>
          <w:iCs/>
          <w:color w:val="000000"/>
          <w:sz w:val="24"/>
          <w:szCs w:val="24"/>
        </w:rPr>
        <w:t xml:space="preserve"> public to </w:t>
      </w:r>
      <w:r w:rsidRPr="002F27E0">
        <w:rPr>
          <w:rFonts w:ascii="Arial" w:hAnsi="Arial" w:cs="Arial"/>
          <w:iCs/>
          <w:color w:val="000000"/>
          <w:sz w:val="24"/>
          <w:szCs w:val="24"/>
        </w:rPr>
        <w:t xml:space="preserve">compare the spending and performance of academies in their local area. </w:t>
      </w:r>
      <w:bookmarkEnd w:id="0"/>
      <w:bookmarkEnd w:id="1"/>
      <w:proofErr w:type="spellStart"/>
      <w:r w:rsidR="001262A4" w:rsidRPr="002F27E0">
        <w:rPr>
          <w:rFonts w:ascii="Arial" w:hAnsi="Arial" w:cs="Arial"/>
          <w:iCs/>
          <w:color w:val="000000"/>
          <w:sz w:val="24"/>
          <w:szCs w:val="24"/>
        </w:rPr>
        <w:t>DfE</w:t>
      </w:r>
      <w:proofErr w:type="spellEnd"/>
      <w:r w:rsidR="001262A4" w:rsidRPr="002F27E0">
        <w:rPr>
          <w:rFonts w:ascii="Arial" w:hAnsi="Arial" w:cs="Arial"/>
          <w:iCs/>
          <w:color w:val="000000"/>
          <w:sz w:val="24"/>
          <w:szCs w:val="24"/>
        </w:rPr>
        <w:t xml:space="preserve"> also released the underlying data for their April publication of the ‘School Workforce in England, November 2012’ Statistical First Release. The underlying data includes over 40 school level school workforce indicators that provide data users with information on school size (staff numbers by type), characteristics, qualifications and pay of school teachers, as well as details on teacher sickness absence and teaching vacancies</w:t>
      </w:r>
      <w:r w:rsidR="006F5A49">
        <w:rPr>
          <w:rFonts w:ascii="Arial" w:hAnsi="Arial" w:cs="Arial"/>
          <w:iCs/>
          <w:color w:val="000000"/>
          <w:sz w:val="24"/>
          <w:szCs w:val="24"/>
        </w:rPr>
        <w:t>.</w:t>
      </w:r>
    </w:p>
    <w:p w:rsidR="001262A4" w:rsidRPr="002F27E0" w:rsidRDefault="001262A4" w:rsidP="001262A4">
      <w:pPr>
        <w:autoSpaceDE w:val="0"/>
        <w:autoSpaceDN w:val="0"/>
        <w:adjustRightInd w:val="0"/>
        <w:spacing w:after="0" w:line="240" w:lineRule="auto"/>
        <w:ind w:left="720"/>
        <w:rPr>
          <w:rFonts w:ascii="Arial" w:hAnsi="Arial" w:cs="Arial"/>
          <w:sz w:val="24"/>
          <w:szCs w:val="24"/>
        </w:rPr>
      </w:pPr>
    </w:p>
    <w:p w:rsidR="00EB6641" w:rsidRPr="002F27E0" w:rsidRDefault="001262A4" w:rsidP="00EB6641">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 xml:space="preserve">DH </w:t>
      </w:r>
      <w:r w:rsidRPr="002F27E0">
        <w:rPr>
          <w:rFonts w:ascii="Arial" w:hAnsi="Arial" w:cs="Arial"/>
          <w:sz w:val="24"/>
          <w:szCs w:val="24"/>
        </w:rPr>
        <w:t xml:space="preserve">reported </w:t>
      </w:r>
      <w:r w:rsidR="00EB6641" w:rsidRPr="002F27E0">
        <w:rPr>
          <w:rFonts w:ascii="Arial" w:hAnsi="Arial" w:cs="Arial"/>
          <w:sz w:val="24"/>
          <w:szCs w:val="24"/>
        </w:rPr>
        <w:t>that they had released dia</w:t>
      </w:r>
      <w:r w:rsidR="006F5A49">
        <w:rPr>
          <w:rFonts w:ascii="Arial" w:hAnsi="Arial" w:cs="Arial"/>
          <w:sz w:val="24"/>
          <w:szCs w:val="24"/>
        </w:rPr>
        <w:t>gnostic imaging data linked to h</w:t>
      </w:r>
      <w:r w:rsidR="00EB6641" w:rsidRPr="002F27E0">
        <w:rPr>
          <w:rFonts w:ascii="Arial" w:hAnsi="Arial" w:cs="Arial"/>
          <w:sz w:val="24"/>
          <w:szCs w:val="24"/>
        </w:rPr>
        <w:t>ospital episodes statistics</w:t>
      </w:r>
      <w:r w:rsidR="006F5A49">
        <w:rPr>
          <w:rFonts w:ascii="Arial" w:hAnsi="Arial" w:cs="Arial"/>
          <w:sz w:val="24"/>
          <w:szCs w:val="24"/>
        </w:rPr>
        <w:t>. This was</w:t>
      </w:r>
      <w:r w:rsidR="00EB6641" w:rsidRPr="002F27E0">
        <w:rPr>
          <w:rFonts w:ascii="Arial" w:hAnsi="Arial" w:cs="Arial"/>
          <w:sz w:val="24"/>
          <w:szCs w:val="24"/>
        </w:rPr>
        <w:t xml:space="preserve"> available as a standard data linkage for the first time in September 2013. In July, DH released Friends and Family Test data (Apr-Jun)</w:t>
      </w:r>
      <w:r w:rsidR="00453D5A" w:rsidRPr="002F27E0">
        <w:rPr>
          <w:rFonts w:ascii="Arial" w:hAnsi="Arial" w:cs="Arial"/>
          <w:sz w:val="24"/>
          <w:szCs w:val="24"/>
        </w:rPr>
        <w:t>;</w:t>
      </w:r>
      <w:r w:rsidR="00EB6641" w:rsidRPr="002F27E0">
        <w:rPr>
          <w:rFonts w:ascii="Arial" w:hAnsi="Arial" w:cs="Arial"/>
          <w:sz w:val="24"/>
          <w:szCs w:val="24"/>
        </w:rPr>
        <w:t xml:space="preserve"> this will continue to be reported quarterly. They also published Health Care Associated Infections (by type of infection) data which will be updated monthly on an ongoing basis.</w:t>
      </w:r>
    </w:p>
    <w:p w:rsidR="00EB6641" w:rsidRPr="002F27E0" w:rsidRDefault="00EB6641" w:rsidP="00EB6641">
      <w:pPr>
        <w:autoSpaceDE w:val="0"/>
        <w:autoSpaceDN w:val="0"/>
        <w:adjustRightInd w:val="0"/>
        <w:spacing w:after="0" w:line="240" w:lineRule="auto"/>
        <w:rPr>
          <w:rFonts w:ascii="Arial" w:hAnsi="Arial" w:cs="Arial"/>
          <w:sz w:val="24"/>
          <w:szCs w:val="24"/>
        </w:rPr>
      </w:pPr>
    </w:p>
    <w:p w:rsidR="00450C0F" w:rsidRPr="002F27E0" w:rsidRDefault="00672AE4" w:rsidP="00450C0F">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 xml:space="preserve">DWP </w:t>
      </w:r>
      <w:r w:rsidRPr="002F27E0">
        <w:rPr>
          <w:rFonts w:ascii="Arial" w:hAnsi="Arial" w:cs="Arial"/>
          <w:sz w:val="24"/>
          <w:szCs w:val="24"/>
        </w:rPr>
        <w:t xml:space="preserve">reported that they had </w:t>
      </w:r>
      <w:r w:rsidR="00450C0F" w:rsidRPr="002F27E0">
        <w:rPr>
          <w:rFonts w:ascii="Arial" w:hAnsi="Arial" w:cs="Arial"/>
          <w:sz w:val="24"/>
          <w:szCs w:val="24"/>
        </w:rPr>
        <w:t>published National Insurance Number registrations to adult overseas nationals entering the UK via Stat</w:t>
      </w:r>
      <w:r w:rsidR="006F5A49">
        <w:rPr>
          <w:rFonts w:ascii="Arial" w:hAnsi="Arial" w:cs="Arial"/>
          <w:sz w:val="24"/>
          <w:szCs w:val="24"/>
        </w:rPr>
        <w:t>-</w:t>
      </w:r>
      <w:proofErr w:type="spellStart"/>
      <w:r w:rsidR="006F5A49">
        <w:rPr>
          <w:rFonts w:ascii="Arial" w:hAnsi="Arial" w:cs="Arial"/>
          <w:sz w:val="24"/>
          <w:szCs w:val="24"/>
        </w:rPr>
        <w:t>Xplore</w:t>
      </w:r>
      <w:proofErr w:type="spellEnd"/>
      <w:r w:rsidR="006F5A49">
        <w:rPr>
          <w:rFonts w:ascii="Arial" w:hAnsi="Arial" w:cs="Arial"/>
          <w:sz w:val="24"/>
          <w:szCs w:val="24"/>
        </w:rPr>
        <w:t xml:space="preserve"> in September 2013. The d</w:t>
      </w:r>
      <w:r w:rsidR="00450C0F" w:rsidRPr="002F27E0">
        <w:rPr>
          <w:rFonts w:ascii="Arial" w:hAnsi="Arial" w:cs="Arial"/>
          <w:sz w:val="24"/>
          <w:szCs w:val="24"/>
        </w:rPr>
        <w:t xml:space="preserve">ata is made available under Open Government Licence. New </w:t>
      </w:r>
      <w:r w:rsidR="001A30C0" w:rsidRPr="002F27E0">
        <w:rPr>
          <w:rFonts w:ascii="Arial" w:hAnsi="Arial" w:cs="Arial"/>
          <w:sz w:val="24"/>
          <w:szCs w:val="24"/>
        </w:rPr>
        <w:t>W</w:t>
      </w:r>
      <w:r w:rsidR="00450C0F" w:rsidRPr="002F27E0">
        <w:rPr>
          <w:rFonts w:ascii="Arial" w:hAnsi="Arial" w:cs="Arial"/>
          <w:sz w:val="24"/>
          <w:szCs w:val="24"/>
        </w:rPr>
        <w:t xml:space="preserve">ork </w:t>
      </w:r>
      <w:r w:rsidR="001A30C0" w:rsidRPr="002F27E0">
        <w:rPr>
          <w:rFonts w:ascii="Arial" w:hAnsi="Arial" w:cs="Arial"/>
          <w:sz w:val="24"/>
          <w:szCs w:val="24"/>
        </w:rPr>
        <w:t>P</w:t>
      </w:r>
      <w:r w:rsidR="00450C0F" w:rsidRPr="002F27E0">
        <w:rPr>
          <w:rFonts w:ascii="Arial" w:hAnsi="Arial" w:cs="Arial"/>
          <w:sz w:val="24"/>
          <w:szCs w:val="24"/>
        </w:rPr>
        <w:t>rogramme data was also released in September, showing the proportion of customers for whom providers have received a Job Outcome payment at 24 months.</w:t>
      </w:r>
    </w:p>
    <w:p w:rsidR="00450C0F" w:rsidRPr="002F27E0" w:rsidRDefault="00450C0F" w:rsidP="00450C0F">
      <w:pPr>
        <w:autoSpaceDE w:val="0"/>
        <w:autoSpaceDN w:val="0"/>
        <w:adjustRightInd w:val="0"/>
        <w:spacing w:after="0" w:line="240" w:lineRule="auto"/>
        <w:ind w:left="720"/>
        <w:rPr>
          <w:rFonts w:ascii="Arial" w:hAnsi="Arial" w:cs="Arial"/>
          <w:sz w:val="24"/>
          <w:szCs w:val="24"/>
        </w:rPr>
      </w:pPr>
    </w:p>
    <w:p w:rsidR="00450C0F" w:rsidRPr="002F27E0" w:rsidRDefault="00450C0F" w:rsidP="001262A4">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 xml:space="preserve">FCO </w:t>
      </w:r>
      <w:r w:rsidR="006F5A49">
        <w:rPr>
          <w:rFonts w:ascii="Arial" w:hAnsi="Arial" w:cs="Arial"/>
          <w:sz w:val="24"/>
          <w:szCs w:val="24"/>
        </w:rPr>
        <w:t>reported that they continue</w:t>
      </w:r>
      <w:r w:rsidRPr="002F27E0">
        <w:rPr>
          <w:rFonts w:ascii="Arial" w:hAnsi="Arial" w:cs="Arial"/>
          <w:sz w:val="24"/>
          <w:szCs w:val="24"/>
        </w:rPr>
        <w:t xml:space="preserve"> to make progress on publication of the ODA spend in line with IATI standards,</w:t>
      </w:r>
      <w:r w:rsidR="006F5A49">
        <w:rPr>
          <w:rFonts w:ascii="Arial" w:hAnsi="Arial" w:cs="Arial"/>
          <w:sz w:val="24"/>
          <w:szCs w:val="24"/>
        </w:rPr>
        <w:t xml:space="preserve"> including</w:t>
      </w:r>
      <w:r w:rsidRPr="002F27E0">
        <w:rPr>
          <w:rFonts w:ascii="Arial" w:hAnsi="Arial" w:cs="Arial"/>
          <w:sz w:val="24"/>
          <w:szCs w:val="24"/>
        </w:rPr>
        <w:t xml:space="preserve"> publishing a number of project evaluation documents.</w:t>
      </w:r>
    </w:p>
    <w:p w:rsidR="00450C0F" w:rsidRPr="002F27E0" w:rsidRDefault="00450C0F" w:rsidP="00450C0F">
      <w:pPr>
        <w:autoSpaceDE w:val="0"/>
        <w:autoSpaceDN w:val="0"/>
        <w:adjustRightInd w:val="0"/>
        <w:spacing w:after="0" w:line="240" w:lineRule="auto"/>
        <w:ind w:left="720"/>
        <w:rPr>
          <w:rFonts w:ascii="Arial" w:hAnsi="Arial" w:cs="Arial"/>
          <w:sz w:val="24"/>
          <w:szCs w:val="24"/>
        </w:rPr>
      </w:pPr>
    </w:p>
    <w:p w:rsidR="009627CF" w:rsidRPr="002F27E0" w:rsidRDefault="00450C0F" w:rsidP="009627CF">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lastRenderedPageBreak/>
        <w:t xml:space="preserve">HMRC </w:t>
      </w:r>
      <w:r w:rsidRPr="002F27E0">
        <w:rPr>
          <w:rFonts w:ascii="Arial" w:hAnsi="Arial" w:cs="Arial"/>
          <w:sz w:val="24"/>
          <w:szCs w:val="24"/>
        </w:rPr>
        <w:t>has continued to release transparency datasets on time including air travel data, HMRC officials</w:t>
      </w:r>
      <w:r w:rsidR="006F5A49">
        <w:rPr>
          <w:rFonts w:ascii="Arial" w:hAnsi="Arial" w:cs="Arial"/>
          <w:sz w:val="24"/>
          <w:szCs w:val="24"/>
        </w:rPr>
        <w:t>’</w:t>
      </w:r>
      <w:r w:rsidRPr="002F27E0">
        <w:rPr>
          <w:rFonts w:ascii="Arial" w:hAnsi="Arial" w:cs="Arial"/>
          <w:sz w:val="24"/>
          <w:szCs w:val="24"/>
        </w:rPr>
        <w:t xml:space="preserve"> meetings with the tobacco industry and performance reports.</w:t>
      </w:r>
    </w:p>
    <w:p w:rsidR="009627CF" w:rsidRPr="002F27E0" w:rsidRDefault="009627CF" w:rsidP="009627CF">
      <w:pPr>
        <w:autoSpaceDE w:val="0"/>
        <w:autoSpaceDN w:val="0"/>
        <w:adjustRightInd w:val="0"/>
        <w:spacing w:after="0" w:line="240" w:lineRule="auto"/>
        <w:ind w:left="720"/>
        <w:rPr>
          <w:rFonts w:ascii="Arial" w:hAnsi="Arial" w:cs="Arial"/>
          <w:sz w:val="24"/>
          <w:szCs w:val="24"/>
        </w:rPr>
      </w:pPr>
    </w:p>
    <w:p w:rsidR="009627CF" w:rsidRPr="002F27E0" w:rsidRDefault="00BA6DAE" w:rsidP="00450C0F">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 xml:space="preserve">MOJ </w:t>
      </w:r>
      <w:r w:rsidRPr="002F27E0">
        <w:rPr>
          <w:rFonts w:ascii="Arial" w:hAnsi="Arial" w:cs="Arial"/>
          <w:sz w:val="24"/>
          <w:szCs w:val="24"/>
        </w:rPr>
        <w:t>reported that National Archive contracts above £10,000 are now available to view on the 'contracts finder' website. Court timeliness data has also been added to police.uk, allowing users to compare performance in their area with the national average.</w:t>
      </w:r>
    </w:p>
    <w:p w:rsidR="001262A4" w:rsidRPr="002F27E0" w:rsidRDefault="001262A4" w:rsidP="001262A4">
      <w:pPr>
        <w:autoSpaceDE w:val="0"/>
        <w:autoSpaceDN w:val="0"/>
        <w:adjustRightInd w:val="0"/>
        <w:spacing w:after="0" w:line="240" w:lineRule="auto"/>
        <w:ind w:left="720"/>
        <w:rPr>
          <w:rFonts w:ascii="Arial" w:hAnsi="Arial" w:cs="Arial"/>
          <w:sz w:val="24"/>
          <w:szCs w:val="24"/>
        </w:rPr>
      </w:pPr>
    </w:p>
    <w:p w:rsidR="002D56B4" w:rsidRPr="002F27E0" w:rsidRDefault="002D56B4" w:rsidP="005E3400">
      <w:pPr>
        <w:autoSpaceDE w:val="0"/>
        <w:autoSpaceDN w:val="0"/>
        <w:adjustRightInd w:val="0"/>
        <w:spacing w:after="300" w:line="240" w:lineRule="auto"/>
        <w:outlineLvl w:val="0"/>
        <w:rPr>
          <w:rFonts w:ascii="Arial" w:hAnsi="Arial" w:cs="Arial"/>
          <w:b/>
          <w:sz w:val="24"/>
          <w:szCs w:val="24"/>
        </w:rPr>
      </w:pPr>
      <w:r w:rsidRPr="002F27E0">
        <w:rPr>
          <w:rFonts w:ascii="Arial" w:hAnsi="Arial" w:cs="Arial"/>
          <w:b/>
          <w:sz w:val="24"/>
          <w:szCs w:val="24"/>
        </w:rPr>
        <w:t>Arm</w:t>
      </w:r>
      <w:r w:rsidR="00705608" w:rsidRPr="002F27E0">
        <w:rPr>
          <w:rFonts w:ascii="Arial" w:hAnsi="Arial" w:cs="Arial"/>
          <w:b/>
          <w:sz w:val="24"/>
          <w:szCs w:val="24"/>
        </w:rPr>
        <w:t>’</w:t>
      </w:r>
      <w:r w:rsidRPr="002F27E0">
        <w:rPr>
          <w:rFonts w:ascii="Arial" w:hAnsi="Arial" w:cs="Arial"/>
          <w:b/>
          <w:sz w:val="24"/>
          <w:szCs w:val="24"/>
        </w:rPr>
        <w:t>s Length Bodies Progress</w:t>
      </w:r>
    </w:p>
    <w:p w:rsidR="002D56B4" w:rsidRPr="002F27E0" w:rsidRDefault="002D56B4" w:rsidP="009E08E2">
      <w:pPr>
        <w:autoSpaceDE w:val="0"/>
        <w:autoSpaceDN w:val="0"/>
        <w:adjustRightInd w:val="0"/>
        <w:spacing w:after="300" w:line="240" w:lineRule="auto"/>
        <w:rPr>
          <w:rFonts w:ascii="Arial" w:hAnsi="Arial" w:cs="Arial"/>
          <w:i/>
          <w:sz w:val="24"/>
          <w:szCs w:val="24"/>
        </w:rPr>
      </w:pPr>
      <w:r w:rsidRPr="002F27E0">
        <w:rPr>
          <w:rFonts w:ascii="Arial" w:hAnsi="Arial" w:cs="Arial"/>
          <w:i/>
          <w:sz w:val="24"/>
          <w:szCs w:val="24"/>
        </w:rPr>
        <w:t>ALB reporting supports progress against Public Data Principles 1, 2, 3, 4, 5, 8, 9, 10, 11, 12</w:t>
      </w:r>
    </w:p>
    <w:p w:rsidR="0043186A" w:rsidRDefault="002D56B4" w:rsidP="002F27E0">
      <w:pPr>
        <w:numPr>
          <w:ilvl w:val="0"/>
          <w:numId w:val="3"/>
        </w:numPr>
        <w:spacing w:after="240" w:line="240" w:lineRule="auto"/>
        <w:rPr>
          <w:rFonts w:ascii="Arial" w:hAnsi="Arial" w:cs="Arial"/>
          <w:sz w:val="24"/>
          <w:szCs w:val="24"/>
        </w:rPr>
      </w:pPr>
      <w:r w:rsidRPr="002F27E0">
        <w:rPr>
          <w:rFonts w:ascii="Arial" w:hAnsi="Arial" w:cs="Arial"/>
          <w:b/>
          <w:sz w:val="24"/>
          <w:szCs w:val="24"/>
        </w:rPr>
        <w:t>BIS</w:t>
      </w:r>
      <w:r w:rsidRPr="002F27E0">
        <w:rPr>
          <w:rFonts w:ascii="Arial" w:hAnsi="Arial" w:cs="Arial"/>
          <w:sz w:val="24"/>
          <w:szCs w:val="24"/>
        </w:rPr>
        <w:t xml:space="preserve"> reported that, </w:t>
      </w:r>
      <w:r w:rsidR="0043186A" w:rsidRPr="002F27E0">
        <w:rPr>
          <w:rFonts w:ascii="Arial" w:hAnsi="Arial" w:cs="Arial"/>
          <w:sz w:val="24"/>
          <w:szCs w:val="24"/>
        </w:rPr>
        <w:t xml:space="preserve">in order to build on the </w:t>
      </w:r>
      <w:r w:rsidR="006F5A49">
        <w:rPr>
          <w:rFonts w:ascii="Arial" w:hAnsi="Arial" w:cs="Arial"/>
          <w:sz w:val="24"/>
          <w:szCs w:val="24"/>
        </w:rPr>
        <w:t>successful dataset delivery by p</w:t>
      </w:r>
      <w:r w:rsidR="0043186A" w:rsidRPr="002F27E0">
        <w:rPr>
          <w:rFonts w:ascii="Arial" w:hAnsi="Arial" w:cs="Arial"/>
          <w:sz w:val="24"/>
          <w:szCs w:val="24"/>
        </w:rPr>
        <w:t>artners</w:t>
      </w:r>
      <w:r w:rsidR="006F5A49">
        <w:rPr>
          <w:rFonts w:ascii="Arial" w:hAnsi="Arial" w:cs="Arial"/>
          <w:sz w:val="24"/>
          <w:szCs w:val="24"/>
        </w:rPr>
        <w:t>, the Department has created a community of p</w:t>
      </w:r>
      <w:r w:rsidR="0043186A" w:rsidRPr="002F27E0">
        <w:rPr>
          <w:rFonts w:ascii="Arial" w:hAnsi="Arial" w:cs="Arial"/>
          <w:sz w:val="24"/>
          <w:szCs w:val="24"/>
        </w:rPr>
        <w:t>ractice through an approve</w:t>
      </w:r>
      <w:r w:rsidR="006F5A49">
        <w:rPr>
          <w:rFonts w:ascii="Arial" w:hAnsi="Arial" w:cs="Arial"/>
          <w:sz w:val="24"/>
          <w:szCs w:val="24"/>
        </w:rPr>
        <w:t xml:space="preserve">d </w:t>
      </w:r>
      <w:proofErr w:type="gramStart"/>
      <w:r w:rsidR="006F5A49">
        <w:rPr>
          <w:rFonts w:ascii="Arial" w:hAnsi="Arial" w:cs="Arial"/>
          <w:sz w:val="24"/>
          <w:szCs w:val="24"/>
        </w:rPr>
        <w:t>Extranet</w:t>
      </w:r>
      <w:proofErr w:type="gramEnd"/>
      <w:r w:rsidR="006F5A49">
        <w:rPr>
          <w:rFonts w:ascii="Arial" w:hAnsi="Arial" w:cs="Arial"/>
          <w:sz w:val="24"/>
          <w:szCs w:val="24"/>
        </w:rPr>
        <w:t xml:space="preserve"> application. This c</w:t>
      </w:r>
      <w:r w:rsidR="0043186A" w:rsidRPr="002F27E0">
        <w:rPr>
          <w:rFonts w:ascii="Arial" w:hAnsi="Arial" w:cs="Arial"/>
          <w:sz w:val="24"/>
          <w:szCs w:val="24"/>
        </w:rPr>
        <w:t>ommunity will share best pract</w:t>
      </w:r>
      <w:r w:rsidR="006F5A49">
        <w:rPr>
          <w:rFonts w:ascii="Arial" w:hAnsi="Arial" w:cs="Arial"/>
          <w:sz w:val="24"/>
          <w:szCs w:val="24"/>
        </w:rPr>
        <w:t>ice across the BIS family which</w:t>
      </w:r>
      <w:r w:rsidR="0043186A" w:rsidRPr="002F27E0">
        <w:rPr>
          <w:rFonts w:ascii="Arial" w:hAnsi="Arial" w:cs="Arial"/>
          <w:sz w:val="24"/>
          <w:szCs w:val="24"/>
        </w:rPr>
        <w:t xml:space="preserve"> will enable BIS to encoura</w:t>
      </w:r>
      <w:r w:rsidR="006F5A49">
        <w:rPr>
          <w:rFonts w:ascii="Arial" w:hAnsi="Arial" w:cs="Arial"/>
          <w:sz w:val="24"/>
          <w:szCs w:val="24"/>
        </w:rPr>
        <w:t>ge greater compliance with the transparency agenda. BIS</w:t>
      </w:r>
      <w:r w:rsidR="0043186A" w:rsidRPr="002F27E0">
        <w:rPr>
          <w:rFonts w:ascii="Arial" w:hAnsi="Arial" w:cs="Arial"/>
          <w:sz w:val="24"/>
          <w:szCs w:val="24"/>
        </w:rPr>
        <w:t xml:space="preserve"> reported </w:t>
      </w:r>
      <w:r w:rsidR="00AF4D26" w:rsidRPr="002F27E0">
        <w:rPr>
          <w:rFonts w:ascii="Arial" w:hAnsi="Arial" w:cs="Arial"/>
          <w:sz w:val="24"/>
          <w:szCs w:val="24"/>
        </w:rPr>
        <w:t>that the Land Registry published the INSPIRE Index Polygons Service</w:t>
      </w:r>
      <w:r w:rsidR="006F5A49">
        <w:rPr>
          <w:rFonts w:ascii="Arial" w:hAnsi="Arial" w:cs="Arial"/>
          <w:sz w:val="24"/>
          <w:szCs w:val="24"/>
        </w:rPr>
        <w:t>; this</w:t>
      </w:r>
      <w:r w:rsidR="00AF4D26" w:rsidRPr="002F27E0">
        <w:rPr>
          <w:rFonts w:ascii="Arial" w:hAnsi="Arial" w:cs="Arial"/>
          <w:sz w:val="24"/>
          <w:szCs w:val="24"/>
        </w:rPr>
        <w:t xml:space="preserve"> is a Web Mapping Service providing map images to over 21 mi</w:t>
      </w:r>
      <w:r w:rsidR="006F5A49">
        <w:rPr>
          <w:rFonts w:ascii="Arial" w:hAnsi="Arial" w:cs="Arial"/>
          <w:sz w:val="24"/>
          <w:szCs w:val="24"/>
        </w:rPr>
        <w:t>llion land and property extents</w:t>
      </w:r>
      <w:r w:rsidR="00C70B47" w:rsidRPr="002F27E0">
        <w:rPr>
          <w:rFonts w:ascii="Arial" w:hAnsi="Arial" w:cs="Arial"/>
          <w:sz w:val="24"/>
          <w:szCs w:val="24"/>
        </w:rPr>
        <w:t xml:space="preserve">. </w:t>
      </w:r>
      <w:r w:rsidR="00C70B47">
        <w:rPr>
          <w:rFonts w:ascii="Arial" w:hAnsi="Arial" w:cs="Arial"/>
          <w:sz w:val="24"/>
          <w:szCs w:val="24"/>
        </w:rPr>
        <w:t>As part of the Technology Strategy Board’s ‘Solving Business Problems with Environmental Data’ competition</w:t>
      </w:r>
      <w:r w:rsidR="006F5A49">
        <w:rPr>
          <w:rFonts w:ascii="Arial" w:hAnsi="Arial" w:cs="Arial"/>
          <w:sz w:val="24"/>
          <w:szCs w:val="24"/>
        </w:rPr>
        <w:t>,</w:t>
      </w:r>
      <w:r w:rsidR="00C70B47">
        <w:rPr>
          <w:rFonts w:ascii="Arial" w:hAnsi="Arial" w:cs="Arial"/>
          <w:sz w:val="24"/>
          <w:szCs w:val="24"/>
        </w:rPr>
        <w:t xml:space="preserve"> t</w:t>
      </w:r>
      <w:r w:rsidR="00C70B47" w:rsidRPr="002F27E0">
        <w:rPr>
          <w:rFonts w:ascii="Arial" w:hAnsi="Arial" w:cs="Arial"/>
          <w:sz w:val="24"/>
          <w:szCs w:val="24"/>
        </w:rPr>
        <w:t xml:space="preserve">he </w:t>
      </w:r>
      <w:r w:rsidR="00AF4D26" w:rsidRPr="002F27E0">
        <w:rPr>
          <w:rFonts w:ascii="Arial" w:hAnsi="Arial" w:cs="Arial"/>
          <w:sz w:val="24"/>
          <w:szCs w:val="24"/>
        </w:rPr>
        <w:t>Met Office attended eight workshops</w:t>
      </w:r>
      <w:r w:rsidR="00D54516">
        <w:rPr>
          <w:rFonts w:ascii="Arial" w:hAnsi="Arial" w:cs="Arial"/>
          <w:sz w:val="24"/>
          <w:szCs w:val="24"/>
        </w:rPr>
        <w:t xml:space="preserve"> and </w:t>
      </w:r>
      <w:r w:rsidR="00D54516" w:rsidRPr="00D54516">
        <w:rPr>
          <w:rFonts w:ascii="Arial" w:hAnsi="Arial" w:cs="Arial"/>
          <w:sz w:val="24"/>
          <w:szCs w:val="24"/>
        </w:rPr>
        <w:t xml:space="preserve">led a number of </w:t>
      </w:r>
      <w:proofErr w:type="spellStart"/>
      <w:r w:rsidR="00D54516" w:rsidRPr="00D54516">
        <w:rPr>
          <w:rFonts w:ascii="Arial" w:hAnsi="Arial" w:cs="Arial"/>
          <w:sz w:val="24"/>
          <w:szCs w:val="24"/>
        </w:rPr>
        <w:t>hackathons</w:t>
      </w:r>
      <w:proofErr w:type="spellEnd"/>
      <w:r w:rsidR="00D54516" w:rsidRPr="00D54516">
        <w:rPr>
          <w:rFonts w:ascii="Arial" w:hAnsi="Arial" w:cs="Arial"/>
          <w:sz w:val="24"/>
          <w:szCs w:val="24"/>
        </w:rPr>
        <w:t xml:space="preserve"> and data-user competitions including FOSS4G and the Global </w:t>
      </w:r>
      <w:proofErr w:type="spellStart"/>
      <w:r w:rsidR="00D54516" w:rsidRPr="00D54516">
        <w:rPr>
          <w:rFonts w:ascii="Arial" w:hAnsi="Arial" w:cs="Arial"/>
          <w:sz w:val="24"/>
          <w:szCs w:val="24"/>
        </w:rPr>
        <w:t>Geohack</w:t>
      </w:r>
      <w:proofErr w:type="spellEnd"/>
      <w:r w:rsidR="00AF4D26" w:rsidRPr="002F27E0">
        <w:rPr>
          <w:rFonts w:ascii="Arial" w:hAnsi="Arial" w:cs="Arial"/>
          <w:sz w:val="24"/>
          <w:szCs w:val="24"/>
        </w:rPr>
        <w:t>, in cities across the country. The</w:t>
      </w:r>
      <w:r w:rsidR="00E3556F">
        <w:rPr>
          <w:rFonts w:ascii="Arial" w:hAnsi="Arial" w:cs="Arial"/>
          <w:sz w:val="24"/>
          <w:szCs w:val="24"/>
        </w:rPr>
        <w:t>se</w:t>
      </w:r>
      <w:r w:rsidR="00AF4D26" w:rsidRPr="002F27E0">
        <w:rPr>
          <w:rFonts w:ascii="Arial" w:hAnsi="Arial" w:cs="Arial"/>
          <w:sz w:val="24"/>
          <w:szCs w:val="24"/>
        </w:rPr>
        <w:t xml:space="preserve"> competition</w:t>
      </w:r>
      <w:r w:rsidR="00E3556F">
        <w:rPr>
          <w:rFonts w:ascii="Arial" w:hAnsi="Arial" w:cs="Arial"/>
          <w:sz w:val="24"/>
          <w:szCs w:val="24"/>
        </w:rPr>
        <w:t>s</w:t>
      </w:r>
      <w:r w:rsidR="00AF4D26" w:rsidRPr="002F27E0">
        <w:rPr>
          <w:rFonts w:ascii="Arial" w:hAnsi="Arial" w:cs="Arial"/>
          <w:sz w:val="24"/>
          <w:szCs w:val="24"/>
        </w:rPr>
        <w:t xml:space="preserve"> </w:t>
      </w:r>
      <w:r w:rsidR="006F5A49">
        <w:rPr>
          <w:rFonts w:ascii="Arial" w:hAnsi="Arial" w:cs="Arial"/>
          <w:sz w:val="24"/>
          <w:szCs w:val="24"/>
        </w:rPr>
        <w:t>focuse</w:t>
      </w:r>
      <w:r w:rsidR="00E3556F">
        <w:rPr>
          <w:rFonts w:ascii="Arial" w:hAnsi="Arial" w:cs="Arial"/>
          <w:sz w:val="24"/>
          <w:szCs w:val="24"/>
        </w:rPr>
        <w:t>d</w:t>
      </w:r>
      <w:r w:rsidR="006F5A49">
        <w:rPr>
          <w:rFonts w:ascii="Arial" w:hAnsi="Arial" w:cs="Arial"/>
          <w:sz w:val="24"/>
          <w:szCs w:val="24"/>
        </w:rPr>
        <w:t xml:space="preserve"> </w:t>
      </w:r>
      <w:r w:rsidR="00AF4D26" w:rsidRPr="002F27E0">
        <w:rPr>
          <w:rFonts w:ascii="Arial" w:hAnsi="Arial" w:cs="Arial"/>
          <w:sz w:val="24"/>
          <w:szCs w:val="24"/>
        </w:rPr>
        <w:t xml:space="preserve">on themes of Energy, Transport, Built Environment, Agriculture and Food and Financial Services. Met Office representatives have attended and spoken at these events to raise awareness of </w:t>
      </w:r>
      <w:proofErr w:type="spellStart"/>
      <w:r w:rsidR="00AF4D26" w:rsidRPr="002F27E0">
        <w:rPr>
          <w:rFonts w:ascii="Arial" w:hAnsi="Arial" w:cs="Arial"/>
          <w:sz w:val="24"/>
          <w:szCs w:val="24"/>
        </w:rPr>
        <w:t>DataPoint</w:t>
      </w:r>
      <w:proofErr w:type="spellEnd"/>
      <w:r w:rsidR="00AF4D26" w:rsidRPr="002F27E0">
        <w:rPr>
          <w:rFonts w:ascii="Arial" w:hAnsi="Arial" w:cs="Arial"/>
          <w:sz w:val="24"/>
          <w:szCs w:val="24"/>
        </w:rPr>
        <w:t xml:space="preserve"> and other Environmental Science t</w:t>
      </w:r>
      <w:r w:rsidR="006F5A49">
        <w:rPr>
          <w:rFonts w:ascii="Arial" w:hAnsi="Arial" w:cs="Arial"/>
          <w:sz w:val="24"/>
          <w:szCs w:val="24"/>
        </w:rPr>
        <w:t xml:space="preserve">o Service Partnership available </w:t>
      </w:r>
      <w:r w:rsidR="00AF4D26" w:rsidRPr="002F27E0">
        <w:rPr>
          <w:rFonts w:ascii="Arial" w:hAnsi="Arial" w:cs="Arial"/>
          <w:sz w:val="24"/>
          <w:szCs w:val="24"/>
        </w:rPr>
        <w:t>datasets.</w:t>
      </w:r>
    </w:p>
    <w:p w:rsidR="00215BC8" w:rsidRPr="00D54516" w:rsidRDefault="00215BC8" w:rsidP="00215BC8">
      <w:pPr>
        <w:ind w:left="720"/>
        <w:rPr>
          <w:rFonts w:ascii="Arial" w:hAnsi="Arial" w:cs="Arial"/>
          <w:color w:val="000000"/>
          <w:sz w:val="24"/>
          <w:szCs w:val="24"/>
        </w:rPr>
      </w:pPr>
      <w:r w:rsidRPr="00D54516">
        <w:rPr>
          <w:rFonts w:ascii="Arial" w:hAnsi="Arial" w:cs="Arial"/>
          <w:color w:val="000000"/>
          <w:sz w:val="24"/>
          <w:szCs w:val="24"/>
          <w:lang w:val="en-US"/>
        </w:rPr>
        <w:t>The Land Registry </w:t>
      </w:r>
      <w:hyperlink r:id="rId9" w:tooltip="http://www.landregistry.gov.uk/campaigns/open-data-challenge" w:history="1">
        <w:r w:rsidRPr="00D54516">
          <w:rPr>
            <w:rStyle w:val="Hyperlink"/>
            <w:rFonts w:ascii="Arial" w:hAnsi="Arial" w:cs="Arial"/>
            <w:sz w:val="24"/>
            <w:szCs w:val="24"/>
            <w:lang w:val="en-US"/>
          </w:rPr>
          <w:t>Open Data Challenge</w:t>
        </w:r>
      </w:hyperlink>
      <w:r w:rsidRPr="00D54516">
        <w:rPr>
          <w:rFonts w:ascii="Arial" w:hAnsi="Arial" w:cs="Arial"/>
          <w:color w:val="000000"/>
          <w:sz w:val="24"/>
          <w:szCs w:val="24"/>
          <w:lang w:val="en-US"/>
        </w:rPr>
        <w:t> was launched, offering individuals, entrepreneurs and small businesses the opportunity to compete for a monetary award to fund innovative uses of Land Registry data.</w:t>
      </w:r>
      <w:r w:rsidRPr="00D54516">
        <w:rPr>
          <w:rFonts w:ascii="Arial" w:hAnsi="Arial" w:cs="Arial"/>
          <w:b/>
          <w:bCs/>
          <w:color w:val="000000"/>
          <w:sz w:val="24"/>
          <w:szCs w:val="24"/>
          <w:lang w:val="en-US"/>
        </w:rPr>
        <w:t xml:space="preserve"> </w:t>
      </w:r>
      <w:r w:rsidRPr="00D54516">
        <w:rPr>
          <w:rFonts w:ascii="Arial" w:hAnsi="Arial" w:cs="Arial"/>
          <w:color w:val="000000"/>
          <w:sz w:val="24"/>
          <w:szCs w:val="24"/>
        </w:rPr>
        <w:t>The challenge will r</w:t>
      </w:r>
      <w:r w:rsidR="006F5A49">
        <w:rPr>
          <w:rFonts w:ascii="Arial" w:hAnsi="Arial" w:cs="Arial"/>
          <w:color w:val="000000"/>
          <w:sz w:val="24"/>
          <w:szCs w:val="24"/>
        </w:rPr>
        <w:t>un until October and culminate in an a</w:t>
      </w:r>
      <w:r w:rsidRPr="00D54516">
        <w:rPr>
          <w:rFonts w:ascii="Arial" w:hAnsi="Arial" w:cs="Arial"/>
          <w:color w:val="000000"/>
          <w:sz w:val="24"/>
          <w:szCs w:val="24"/>
        </w:rPr>
        <w:t>ward ceremony in November. It is hoped that the challenge will impr</w:t>
      </w:r>
      <w:r w:rsidR="006F5A49">
        <w:rPr>
          <w:rFonts w:ascii="Arial" w:hAnsi="Arial" w:cs="Arial"/>
          <w:color w:val="000000"/>
          <w:sz w:val="24"/>
          <w:szCs w:val="24"/>
        </w:rPr>
        <w:t>ove the understanding of how Land Registry</w:t>
      </w:r>
      <w:r w:rsidRPr="00D54516">
        <w:rPr>
          <w:rFonts w:ascii="Arial" w:hAnsi="Arial" w:cs="Arial"/>
          <w:color w:val="000000"/>
          <w:sz w:val="24"/>
          <w:szCs w:val="24"/>
        </w:rPr>
        <w:t xml:space="preserve"> data can contribute to social and business innovation. The use of financial measures as part of the judging criteria also aims to increase awareness of the potential economic value of Land Registry data. Following further enhancements, </w:t>
      </w:r>
      <w:r w:rsidRPr="00001819">
        <w:rPr>
          <w:rFonts w:ascii="Arial" w:hAnsi="Arial" w:cs="Arial"/>
          <w:sz w:val="24"/>
          <w:szCs w:val="24"/>
        </w:rPr>
        <w:t>Historical Price Paid Data was also re-released in (W3) Linked Data format</w:t>
      </w:r>
      <w:r w:rsidRPr="00D54516">
        <w:rPr>
          <w:rFonts w:ascii="Arial" w:hAnsi="Arial" w:cs="Arial"/>
          <w:color w:val="000000"/>
          <w:sz w:val="24"/>
          <w:szCs w:val="24"/>
        </w:rPr>
        <w:t>. </w:t>
      </w:r>
    </w:p>
    <w:p w:rsidR="00D54516" w:rsidRPr="00D54516" w:rsidRDefault="00D54516" w:rsidP="00D54516">
      <w:pPr>
        <w:ind w:left="720"/>
        <w:rPr>
          <w:rFonts w:ascii="Arial" w:hAnsi="Arial" w:cs="Arial"/>
          <w:color w:val="000000"/>
          <w:sz w:val="24"/>
          <w:szCs w:val="24"/>
        </w:rPr>
      </w:pPr>
      <w:r w:rsidRPr="00D54516">
        <w:rPr>
          <w:rFonts w:ascii="Arial" w:hAnsi="Arial" w:cs="Arial"/>
          <w:color w:val="000000"/>
          <w:sz w:val="24"/>
          <w:szCs w:val="24"/>
        </w:rPr>
        <w:t xml:space="preserve">Through </w:t>
      </w:r>
      <w:r w:rsidR="00FA1109">
        <w:rPr>
          <w:rFonts w:ascii="Arial" w:hAnsi="Arial" w:cs="Arial"/>
          <w:color w:val="000000"/>
          <w:sz w:val="24"/>
          <w:szCs w:val="24"/>
        </w:rPr>
        <w:t xml:space="preserve">the </w:t>
      </w:r>
      <w:r w:rsidR="006F5A49">
        <w:rPr>
          <w:rFonts w:ascii="Arial" w:hAnsi="Arial" w:cs="Arial"/>
          <w:color w:val="000000"/>
          <w:sz w:val="24"/>
          <w:szCs w:val="24"/>
        </w:rPr>
        <w:t xml:space="preserve">Technology Strategy Board, </w:t>
      </w:r>
      <w:r w:rsidRPr="00D54516">
        <w:rPr>
          <w:rFonts w:ascii="Arial" w:hAnsi="Arial" w:cs="Arial"/>
          <w:color w:val="000000"/>
          <w:sz w:val="24"/>
          <w:szCs w:val="24"/>
        </w:rPr>
        <w:t xml:space="preserve">BIS is providing </w:t>
      </w:r>
      <w:r w:rsidR="00FA1109">
        <w:rPr>
          <w:rFonts w:ascii="Arial" w:hAnsi="Arial" w:cs="Arial"/>
          <w:color w:val="000000"/>
          <w:sz w:val="24"/>
          <w:szCs w:val="24"/>
        </w:rPr>
        <w:t>vouchers of up to £5000</w:t>
      </w:r>
      <w:r w:rsidRPr="00D54516">
        <w:rPr>
          <w:rFonts w:ascii="Arial" w:hAnsi="Arial" w:cs="Arial"/>
          <w:color w:val="000000"/>
          <w:sz w:val="24"/>
          <w:szCs w:val="24"/>
        </w:rPr>
        <w:t xml:space="preserve"> to companies to develop new business ideas using open data.  In Round 4, which closed in July, over 30 vouchers were granted.  To date this financial year, over 100 vouchers have been granted.</w:t>
      </w:r>
    </w:p>
    <w:p w:rsidR="00D54516" w:rsidRPr="00D54516" w:rsidRDefault="00D54516" w:rsidP="00D54516">
      <w:pPr>
        <w:ind w:left="720"/>
        <w:rPr>
          <w:rFonts w:ascii="Arial" w:hAnsi="Arial" w:cs="Arial"/>
          <w:color w:val="000000"/>
          <w:sz w:val="24"/>
          <w:szCs w:val="24"/>
        </w:rPr>
      </w:pPr>
      <w:r w:rsidRPr="00D54516">
        <w:rPr>
          <w:rFonts w:ascii="Arial" w:hAnsi="Arial" w:cs="Arial"/>
          <w:color w:val="000000"/>
          <w:sz w:val="24"/>
          <w:szCs w:val="24"/>
        </w:rPr>
        <w:t xml:space="preserve">In July, the </w:t>
      </w:r>
      <w:proofErr w:type="spellStart"/>
      <w:r w:rsidRPr="00D54516">
        <w:rPr>
          <w:rFonts w:ascii="Arial" w:hAnsi="Arial" w:cs="Arial"/>
          <w:color w:val="000000"/>
          <w:sz w:val="24"/>
          <w:szCs w:val="24"/>
        </w:rPr>
        <w:t>midata</w:t>
      </w:r>
      <w:proofErr w:type="spellEnd"/>
      <w:r w:rsidRPr="00D54516">
        <w:rPr>
          <w:rFonts w:ascii="Arial" w:hAnsi="Arial" w:cs="Arial"/>
          <w:color w:val="000000"/>
          <w:sz w:val="24"/>
          <w:szCs w:val="24"/>
        </w:rPr>
        <w:t xml:space="preserve"> Innovation Lab (http://www.midatalab.org.uk/) was launched to engage 1</w:t>
      </w:r>
      <w:r w:rsidR="00FA1109">
        <w:rPr>
          <w:rFonts w:ascii="Arial" w:hAnsi="Arial" w:cs="Arial"/>
          <w:color w:val="000000"/>
          <w:sz w:val="24"/>
          <w:szCs w:val="24"/>
        </w:rPr>
        <w:t>,</w:t>
      </w:r>
      <w:r w:rsidRPr="00D54516">
        <w:rPr>
          <w:rFonts w:ascii="Arial" w:hAnsi="Arial" w:cs="Arial"/>
          <w:color w:val="000000"/>
          <w:sz w:val="24"/>
          <w:szCs w:val="24"/>
        </w:rPr>
        <w:t xml:space="preserve">000 volunteers on their attitudes to data and how it is </w:t>
      </w:r>
      <w:r w:rsidRPr="00D54516">
        <w:rPr>
          <w:rFonts w:ascii="Arial" w:hAnsi="Arial" w:cs="Arial"/>
          <w:color w:val="000000"/>
          <w:sz w:val="24"/>
          <w:szCs w:val="24"/>
        </w:rPr>
        <w:lastRenderedPageBreak/>
        <w:t xml:space="preserve">used, collaborating with a number of businesses and the Open Data Institute. </w:t>
      </w:r>
      <w:r w:rsidR="006F5A49">
        <w:rPr>
          <w:rFonts w:ascii="Arial" w:hAnsi="Arial" w:cs="Arial"/>
          <w:color w:val="000000"/>
          <w:sz w:val="24"/>
          <w:szCs w:val="24"/>
        </w:rPr>
        <w:t xml:space="preserve">The Innovation Lab is </w:t>
      </w:r>
      <w:r w:rsidRPr="00D54516">
        <w:rPr>
          <w:rFonts w:ascii="Arial" w:hAnsi="Arial" w:cs="Arial"/>
          <w:color w:val="000000"/>
          <w:sz w:val="24"/>
          <w:szCs w:val="24"/>
        </w:rPr>
        <w:t xml:space="preserve">currently working to drive up numbers of data donors and developers. The </w:t>
      </w:r>
      <w:proofErr w:type="spellStart"/>
      <w:r w:rsidRPr="00D54516">
        <w:rPr>
          <w:rFonts w:ascii="Arial" w:hAnsi="Arial" w:cs="Arial"/>
          <w:color w:val="000000"/>
          <w:sz w:val="24"/>
          <w:szCs w:val="24"/>
        </w:rPr>
        <w:t>midata</w:t>
      </w:r>
      <w:proofErr w:type="spellEnd"/>
      <w:r w:rsidRPr="00D54516">
        <w:rPr>
          <w:rFonts w:ascii="Arial" w:hAnsi="Arial" w:cs="Arial"/>
          <w:color w:val="000000"/>
          <w:sz w:val="24"/>
          <w:szCs w:val="24"/>
        </w:rPr>
        <w:t xml:space="preserve"> team are </w:t>
      </w:r>
      <w:r w:rsidR="00693190">
        <w:rPr>
          <w:rFonts w:ascii="Arial" w:hAnsi="Arial" w:cs="Arial"/>
          <w:color w:val="000000"/>
          <w:sz w:val="24"/>
          <w:szCs w:val="24"/>
        </w:rPr>
        <w:t xml:space="preserve">also </w:t>
      </w:r>
      <w:r w:rsidRPr="00D54516">
        <w:rPr>
          <w:rFonts w:ascii="Arial" w:hAnsi="Arial" w:cs="Arial"/>
          <w:color w:val="000000"/>
          <w:sz w:val="24"/>
          <w:szCs w:val="24"/>
        </w:rPr>
        <w:t xml:space="preserve">talking to </w:t>
      </w:r>
      <w:r w:rsidR="00FA1109">
        <w:rPr>
          <w:rFonts w:ascii="Arial" w:hAnsi="Arial" w:cs="Arial"/>
          <w:color w:val="000000"/>
          <w:sz w:val="24"/>
          <w:szCs w:val="24"/>
        </w:rPr>
        <w:t xml:space="preserve">the </w:t>
      </w:r>
      <w:r w:rsidRPr="00D54516">
        <w:rPr>
          <w:rFonts w:ascii="Arial" w:hAnsi="Arial" w:cs="Arial"/>
          <w:color w:val="000000"/>
          <w:sz w:val="24"/>
          <w:szCs w:val="24"/>
        </w:rPr>
        <w:t xml:space="preserve">ODI, HMRC and others </w:t>
      </w:r>
      <w:r w:rsidR="003A424E">
        <w:rPr>
          <w:rFonts w:ascii="Arial" w:hAnsi="Arial" w:cs="Arial"/>
          <w:color w:val="000000"/>
          <w:sz w:val="24"/>
          <w:szCs w:val="24"/>
        </w:rPr>
        <w:t>about</w:t>
      </w:r>
      <w:r w:rsidRPr="00D54516">
        <w:rPr>
          <w:rFonts w:ascii="Arial" w:hAnsi="Arial" w:cs="Arial"/>
          <w:color w:val="000000"/>
          <w:sz w:val="24"/>
          <w:szCs w:val="24"/>
        </w:rPr>
        <w:t xml:space="preserve"> the future funding, role and use of this data.</w:t>
      </w:r>
    </w:p>
    <w:p w:rsidR="002D56B4" w:rsidRPr="002F27E0" w:rsidRDefault="002D56B4" w:rsidP="00AF4D26">
      <w:pPr>
        <w:numPr>
          <w:ilvl w:val="0"/>
          <w:numId w:val="3"/>
        </w:numPr>
        <w:spacing w:after="300" w:line="240" w:lineRule="auto"/>
        <w:rPr>
          <w:rFonts w:ascii="Arial" w:hAnsi="Arial" w:cs="Arial"/>
          <w:sz w:val="24"/>
          <w:szCs w:val="24"/>
        </w:rPr>
      </w:pPr>
      <w:r w:rsidRPr="002F27E0">
        <w:rPr>
          <w:rFonts w:ascii="Arial" w:hAnsi="Arial" w:cs="Arial"/>
          <w:b/>
          <w:sz w:val="24"/>
          <w:szCs w:val="24"/>
        </w:rPr>
        <w:t>DCLG</w:t>
      </w:r>
      <w:r w:rsidR="00AF4D26" w:rsidRPr="002F27E0">
        <w:rPr>
          <w:rFonts w:ascii="Arial" w:hAnsi="Arial" w:cs="Arial"/>
          <w:sz w:val="24"/>
          <w:szCs w:val="24"/>
        </w:rPr>
        <w:t xml:space="preserve"> reported that their ALBs published organograms on data.gov.uk and their own websites. DCLG sponsored ALBs now go beyond Cabinet Of</w:t>
      </w:r>
      <w:r w:rsidR="00693190">
        <w:rPr>
          <w:rFonts w:ascii="Arial" w:hAnsi="Arial" w:cs="Arial"/>
          <w:sz w:val="24"/>
          <w:szCs w:val="24"/>
        </w:rPr>
        <w:t>fice requirements by publishing</w:t>
      </w:r>
      <w:r w:rsidR="00AF4D26" w:rsidRPr="002F27E0">
        <w:rPr>
          <w:rFonts w:ascii="Arial" w:hAnsi="Arial" w:cs="Arial"/>
          <w:sz w:val="24"/>
          <w:szCs w:val="24"/>
        </w:rPr>
        <w:t xml:space="preserve"> all items of spend over £250, including GPC spend from September 2012. Three quarters of DCLG ALBs will be covered by 'Public Bodies 2013', which publishes information including Terms of Reference, government funding, expenditure and names and remuneration of Chief Executives and Chairs.</w:t>
      </w:r>
    </w:p>
    <w:p w:rsidR="002D56B4" w:rsidRPr="002F27E0" w:rsidRDefault="002D56B4" w:rsidP="008E78F9">
      <w:pPr>
        <w:numPr>
          <w:ilvl w:val="0"/>
          <w:numId w:val="3"/>
        </w:numPr>
        <w:spacing w:after="300" w:line="240" w:lineRule="auto"/>
        <w:rPr>
          <w:rFonts w:ascii="Arial" w:hAnsi="Arial" w:cs="Arial"/>
          <w:sz w:val="24"/>
          <w:szCs w:val="24"/>
        </w:rPr>
      </w:pPr>
      <w:r w:rsidRPr="002F27E0">
        <w:rPr>
          <w:rFonts w:ascii="Arial" w:hAnsi="Arial" w:cs="Arial"/>
          <w:b/>
          <w:sz w:val="24"/>
          <w:szCs w:val="24"/>
        </w:rPr>
        <w:t>DCMS</w:t>
      </w:r>
      <w:r w:rsidR="004748CE" w:rsidRPr="002F27E0">
        <w:rPr>
          <w:rFonts w:ascii="Arial" w:hAnsi="Arial" w:cs="Arial"/>
          <w:sz w:val="24"/>
          <w:szCs w:val="24"/>
        </w:rPr>
        <w:t xml:space="preserve"> reported that compliance with open data corporate commitments remains generally good throughout their ALBs. DCMS has started an exercise to improve </w:t>
      </w:r>
      <w:r w:rsidR="00693190">
        <w:rPr>
          <w:rFonts w:ascii="Arial" w:hAnsi="Arial" w:cs="Arial"/>
          <w:sz w:val="24"/>
          <w:szCs w:val="24"/>
        </w:rPr>
        <w:t>t</w:t>
      </w:r>
      <w:r w:rsidR="004748CE" w:rsidRPr="002F27E0">
        <w:rPr>
          <w:rFonts w:ascii="Arial" w:hAnsi="Arial" w:cs="Arial"/>
          <w:sz w:val="24"/>
          <w:szCs w:val="24"/>
        </w:rPr>
        <w:t>ransparency compliance with results likely to be visible from March 2014 onwards.</w:t>
      </w:r>
      <w:r w:rsidRPr="002F27E0">
        <w:rPr>
          <w:rFonts w:ascii="Arial" w:hAnsi="Arial" w:cs="Arial"/>
          <w:sz w:val="24"/>
          <w:szCs w:val="24"/>
        </w:rPr>
        <w:t xml:space="preserve"> </w:t>
      </w:r>
    </w:p>
    <w:p w:rsidR="00026DB1" w:rsidRPr="002F27E0" w:rsidRDefault="002D56B4" w:rsidP="008E78F9">
      <w:pPr>
        <w:numPr>
          <w:ilvl w:val="0"/>
          <w:numId w:val="3"/>
        </w:numPr>
        <w:spacing w:after="300" w:line="240" w:lineRule="auto"/>
        <w:rPr>
          <w:rFonts w:ascii="Arial" w:hAnsi="Arial" w:cs="Arial"/>
          <w:sz w:val="24"/>
          <w:szCs w:val="24"/>
        </w:rPr>
      </w:pPr>
      <w:r w:rsidRPr="002F27E0">
        <w:rPr>
          <w:rFonts w:ascii="Arial" w:hAnsi="Arial" w:cs="Arial"/>
          <w:b/>
          <w:sz w:val="24"/>
          <w:szCs w:val="24"/>
        </w:rPr>
        <w:t>DECC</w:t>
      </w:r>
      <w:r w:rsidR="00026DB1" w:rsidRPr="002F27E0">
        <w:rPr>
          <w:rFonts w:ascii="Arial" w:hAnsi="Arial" w:cs="Arial"/>
          <w:sz w:val="24"/>
          <w:szCs w:val="24"/>
        </w:rPr>
        <w:t xml:space="preserve"> has provided details on which data should be made available on data.gov.uk to its ALBs and will continue to work with them and monitor progress through quarterly SIRO meetings. </w:t>
      </w:r>
      <w:r w:rsidR="00157681" w:rsidRPr="002F27E0">
        <w:rPr>
          <w:rFonts w:ascii="Arial" w:hAnsi="Arial" w:cs="Arial"/>
          <w:sz w:val="24"/>
          <w:szCs w:val="24"/>
        </w:rPr>
        <w:t>They</w:t>
      </w:r>
      <w:r w:rsidR="00026DB1" w:rsidRPr="002F27E0">
        <w:rPr>
          <w:rFonts w:ascii="Arial" w:hAnsi="Arial" w:cs="Arial"/>
          <w:sz w:val="24"/>
          <w:szCs w:val="24"/>
        </w:rPr>
        <w:t xml:space="preserve"> are also working with Cabinet Office to ensure that ALBs have appropriate permissions to make data available on data.gov.uk </w:t>
      </w:r>
      <w:r w:rsidR="00157681" w:rsidRPr="002F27E0">
        <w:rPr>
          <w:rFonts w:ascii="Arial" w:hAnsi="Arial" w:cs="Arial"/>
          <w:sz w:val="24"/>
          <w:szCs w:val="24"/>
        </w:rPr>
        <w:t>and</w:t>
      </w:r>
      <w:r w:rsidR="00026DB1" w:rsidRPr="002F27E0">
        <w:rPr>
          <w:rFonts w:ascii="Arial" w:hAnsi="Arial" w:cs="Arial"/>
          <w:sz w:val="24"/>
          <w:szCs w:val="24"/>
        </w:rPr>
        <w:t xml:space="preserve"> Cabinet Office has agreed to run a briefing session for ALBs. DECC is working with the Coal Authority to make </w:t>
      </w:r>
      <w:r w:rsidR="00157681" w:rsidRPr="002F27E0">
        <w:rPr>
          <w:rFonts w:ascii="Arial" w:hAnsi="Arial" w:cs="Arial"/>
          <w:sz w:val="24"/>
          <w:szCs w:val="24"/>
        </w:rPr>
        <w:t>more of their data</w:t>
      </w:r>
      <w:r w:rsidR="00026DB1" w:rsidRPr="002F27E0">
        <w:rPr>
          <w:rFonts w:ascii="Arial" w:hAnsi="Arial" w:cs="Arial"/>
          <w:sz w:val="24"/>
          <w:szCs w:val="24"/>
        </w:rPr>
        <w:t xml:space="preserve"> available through data.gov.uk. </w:t>
      </w:r>
      <w:r w:rsidR="00157681" w:rsidRPr="002F27E0">
        <w:rPr>
          <w:rFonts w:ascii="Arial" w:hAnsi="Arial" w:cs="Arial"/>
          <w:sz w:val="24"/>
          <w:szCs w:val="24"/>
        </w:rPr>
        <w:t>The Committee on Climate Change</w:t>
      </w:r>
      <w:r w:rsidR="00693190">
        <w:rPr>
          <w:rFonts w:ascii="Arial" w:hAnsi="Arial" w:cs="Arial"/>
          <w:sz w:val="24"/>
          <w:szCs w:val="24"/>
        </w:rPr>
        <w:t xml:space="preserve"> (CCC)</w:t>
      </w:r>
      <w:r w:rsidR="00157681" w:rsidRPr="002F27E0">
        <w:rPr>
          <w:rFonts w:ascii="Arial" w:hAnsi="Arial" w:cs="Arial"/>
          <w:sz w:val="24"/>
          <w:szCs w:val="24"/>
        </w:rPr>
        <w:t xml:space="preserve"> launched a new website in April and is using this to publish transpare</w:t>
      </w:r>
      <w:r w:rsidR="0075356B">
        <w:rPr>
          <w:rFonts w:ascii="Arial" w:hAnsi="Arial" w:cs="Arial"/>
          <w:sz w:val="24"/>
          <w:szCs w:val="24"/>
        </w:rPr>
        <w:t xml:space="preserve">ncy data. </w:t>
      </w:r>
      <w:r w:rsidR="00157681" w:rsidRPr="002F27E0">
        <w:rPr>
          <w:rFonts w:ascii="Arial" w:hAnsi="Arial" w:cs="Arial"/>
          <w:sz w:val="24"/>
          <w:szCs w:val="24"/>
        </w:rPr>
        <w:t xml:space="preserve">DECC is working with </w:t>
      </w:r>
      <w:r w:rsidR="00693190">
        <w:rPr>
          <w:rFonts w:ascii="Arial" w:hAnsi="Arial" w:cs="Arial"/>
          <w:sz w:val="24"/>
          <w:szCs w:val="24"/>
        </w:rPr>
        <w:t xml:space="preserve">CCC’s </w:t>
      </w:r>
      <w:r w:rsidR="00157681" w:rsidRPr="002F27E0">
        <w:rPr>
          <w:rFonts w:ascii="Arial" w:hAnsi="Arial" w:cs="Arial"/>
          <w:sz w:val="24"/>
          <w:szCs w:val="24"/>
        </w:rPr>
        <w:t xml:space="preserve">Secretariat to make this </w:t>
      </w:r>
      <w:r w:rsidR="0075356B">
        <w:rPr>
          <w:rFonts w:ascii="Arial" w:hAnsi="Arial" w:cs="Arial"/>
          <w:sz w:val="24"/>
          <w:szCs w:val="24"/>
        </w:rPr>
        <w:t xml:space="preserve">data </w:t>
      </w:r>
      <w:r w:rsidR="00157681" w:rsidRPr="002F27E0">
        <w:rPr>
          <w:rFonts w:ascii="Arial" w:hAnsi="Arial" w:cs="Arial"/>
          <w:sz w:val="24"/>
          <w:szCs w:val="24"/>
        </w:rPr>
        <w:t>available through data.gov.uk.</w:t>
      </w:r>
    </w:p>
    <w:p w:rsidR="00157681" w:rsidRPr="002F27E0" w:rsidRDefault="002D56B4" w:rsidP="008E78F9">
      <w:pPr>
        <w:numPr>
          <w:ilvl w:val="0"/>
          <w:numId w:val="3"/>
        </w:numPr>
        <w:spacing w:after="300" w:line="240" w:lineRule="auto"/>
        <w:rPr>
          <w:rFonts w:ascii="Arial" w:hAnsi="Arial" w:cs="Arial"/>
          <w:sz w:val="24"/>
          <w:szCs w:val="24"/>
        </w:rPr>
      </w:pPr>
      <w:r w:rsidRPr="002F27E0">
        <w:rPr>
          <w:rFonts w:ascii="Arial" w:hAnsi="Arial" w:cs="Arial"/>
          <w:b/>
          <w:sz w:val="24"/>
          <w:szCs w:val="24"/>
        </w:rPr>
        <w:t>DEFRA</w:t>
      </w:r>
      <w:r w:rsidRPr="002F27E0">
        <w:rPr>
          <w:rFonts w:ascii="Arial" w:hAnsi="Arial" w:cs="Arial"/>
          <w:sz w:val="24"/>
          <w:szCs w:val="24"/>
        </w:rPr>
        <w:t xml:space="preserve"> </w:t>
      </w:r>
      <w:r w:rsidR="00157681" w:rsidRPr="002F27E0">
        <w:rPr>
          <w:rFonts w:ascii="Arial" w:hAnsi="Arial" w:cs="Arial"/>
          <w:sz w:val="24"/>
          <w:szCs w:val="24"/>
        </w:rPr>
        <w:t>reported that, as part of the revised collection and approvals process, corporate spend data supplied by their ALBs is now being received and processed in a timely manner.</w:t>
      </w:r>
      <w:r w:rsidR="00157681" w:rsidRPr="002F27E0">
        <w:rPr>
          <w:rFonts w:ascii="Arial" w:hAnsi="Arial" w:cs="Arial"/>
          <w:b/>
          <w:sz w:val="24"/>
          <w:szCs w:val="24"/>
        </w:rPr>
        <w:t xml:space="preserve"> </w:t>
      </w:r>
    </w:p>
    <w:p w:rsidR="009C68F9" w:rsidRPr="002F27E0" w:rsidRDefault="002D56B4" w:rsidP="008E78F9">
      <w:pPr>
        <w:numPr>
          <w:ilvl w:val="0"/>
          <w:numId w:val="3"/>
        </w:numPr>
        <w:spacing w:after="300" w:line="240" w:lineRule="auto"/>
        <w:rPr>
          <w:rFonts w:ascii="Arial" w:hAnsi="Arial" w:cs="Arial"/>
          <w:sz w:val="24"/>
          <w:szCs w:val="24"/>
        </w:rPr>
      </w:pPr>
      <w:r w:rsidRPr="002F27E0">
        <w:rPr>
          <w:rFonts w:ascii="Arial" w:hAnsi="Arial" w:cs="Arial"/>
          <w:b/>
          <w:sz w:val="24"/>
          <w:szCs w:val="24"/>
        </w:rPr>
        <w:t>DFID</w:t>
      </w:r>
      <w:r w:rsidR="00693190">
        <w:rPr>
          <w:rFonts w:ascii="Arial" w:hAnsi="Arial" w:cs="Arial"/>
          <w:sz w:val="24"/>
          <w:szCs w:val="24"/>
        </w:rPr>
        <w:t xml:space="preserve"> has three ALBs, two</w:t>
      </w:r>
      <w:r w:rsidR="009C68F9" w:rsidRPr="002F27E0">
        <w:rPr>
          <w:rFonts w:ascii="Arial" w:hAnsi="Arial" w:cs="Arial"/>
          <w:sz w:val="24"/>
          <w:szCs w:val="24"/>
        </w:rPr>
        <w:t xml:space="preserve"> of which they judge to be in scope.  Both of these </w:t>
      </w:r>
      <w:r w:rsidR="00FA081E" w:rsidRPr="002F27E0">
        <w:rPr>
          <w:rFonts w:ascii="Arial" w:hAnsi="Arial" w:cs="Arial"/>
          <w:sz w:val="24"/>
          <w:szCs w:val="24"/>
        </w:rPr>
        <w:t>organisations</w:t>
      </w:r>
      <w:r w:rsidR="009C68F9" w:rsidRPr="002F27E0">
        <w:rPr>
          <w:rFonts w:ascii="Arial" w:hAnsi="Arial" w:cs="Arial"/>
          <w:sz w:val="24"/>
          <w:szCs w:val="24"/>
        </w:rPr>
        <w:t xml:space="preserve"> have published datasets </w:t>
      </w:r>
      <w:r w:rsidR="00693190">
        <w:rPr>
          <w:rFonts w:ascii="Arial" w:hAnsi="Arial" w:cs="Arial"/>
          <w:sz w:val="24"/>
          <w:szCs w:val="24"/>
        </w:rPr>
        <w:t xml:space="preserve">on </w:t>
      </w:r>
      <w:r w:rsidR="009C68F9" w:rsidRPr="002F27E0">
        <w:rPr>
          <w:rFonts w:ascii="Arial" w:hAnsi="Arial" w:cs="Arial"/>
          <w:sz w:val="24"/>
          <w:szCs w:val="24"/>
        </w:rPr>
        <w:t>data.gov</w:t>
      </w:r>
      <w:r w:rsidR="00693190">
        <w:rPr>
          <w:rFonts w:ascii="Arial" w:hAnsi="Arial" w:cs="Arial"/>
          <w:sz w:val="24"/>
          <w:szCs w:val="24"/>
        </w:rPr>
        <w:t>.uk</w:t>
      </w:r>
      <w:r w:rsidR="009C68F9" w:rsidRPr="002F27E0">
        <w:rPr>
          <w:rFonts w:ascii="Arial" w:hAnsi="Arial" w:cs="Arial"/>
          <w:sz w:val="24"/>
          <w:szCs w:val="24"/>
        </w:rPr>
        <w:t xml:space="preserve"> in the last quarter for the first time.  CDC also publishes open data in line with the International Aid Transparency Initiative's open data standard. The </w:t>
      </w:r>
      <w:r w:rsidR="00FA081E" w:rsidRPr="002F27E0">
        <w:rPr>
          <w:rFonts w:ascii="Arial" w:hAnsi="Arial" w:cs="Arial"/>
          <w:sz w:val="24"/>
          <w:szCs w:val="24"/>
        </w:rPr>
        <w:t>Independent</w:t>
      </w:r>
      <w:r w:rsidR="009C68F9" w:rsidRPr="002F27E0">
        <w:rPr>
          <w:rFonts w:ascii="Arial" w:hAnsi="Arial" w:cs="Arial"/>
          <w:sz w:val="24"/>
          <w:szCs w:val="24"/>
        </w:rPr>
        <w:t xml:space="preserve"> Commission on Aid Impact is an independent body and publishes all of its reports and accounts online including an annual report, but </w:t>
      </w:r>
      <w:r w:rsidR="00693190">
        <w:rPr>
          <w:rFonts w:ascii="Arial" w:hAnsi="Arial" w:cs="Arial"/>
          <w:sz w:val="24"/>
          <w:szCs w:val="24"/>
        </w:rPr>
        <w:t xml:space="preserve">it does not publish its data on </w:t>
      </w:r>
      <w:r w:rsidR="009C68F9" w:rsidRPr="002F27E0">
        <w:rPr>
          <w:rFonts w:ascii="Arial" w:hAnsi="Arial" w:cs="Arial"/>
          <w:sz w:val="24"/>
          <w:szCs w:val="24"/>
        </w:rPr>
        <w:t xml:space="preserve">data.gov.uk. </w:t>
      </w:r>
    </w:p>
    <w:p w:rsidR="002D56B4" w:rsidRPr="002F27E0" w:rsidRDefault="002D56B4" w:rsidP="008E78F9">
      <w:pPr>
        <w:numPr>
          <w:ilvl w:val="0"/>
          <w:numId w:val="3"/>
        </w:numPr>
        <w:spacing w:after="300" w:line="240" w:lineRule="auto"/>
        <w:rPr>
          <w:rFonts w:ascii="Arial" w:hAnsi="Arial" w:cs="Arial"/>
          <w:sz w:val="24"/>
          <w:szCs w:val="24"/>
        </w:rPr>
      </w:pPr>
      <w:proofErr w:type="spellStart"/>
      <w:r w:rsidRPr="002F27E0">
        <w:rPr>
          <w:rFonts w:ascii="Arial" w:hAnsi="Arial" w:cs="Arial"/>
          <w:b/>
          <w:sz w:val="24"/>
          <w:szCs w:val="24"/>
        </w:rPr>
        <w:t>DfT</w:t>
      </w:r>
      <w:r w:rsidR="009C68F9" w:rsidRPr="002F27E0">
        <w:rPr>
          <w:rFonts w:ascii="Arial" w:hAnsi="Arial" w:cs="Arial"/>
          <w:b/>
          <w:sz w:val="24"/>
          <w:szCs w:val="24"/>
        </w:rPr>
        <w:t>’s</w:t>
      </w:r>
      <w:proofErr w:type="spellEnd"/>
      <w:r w:rsidR="009C68F9" w:rsidRPr="002F27E0">
        <w:rPr>
          <w:rFonts w:ascii="Arial" w:hAnsi="Arial" w:cs="Arial"/>
          <w:b/>
          <w:sz w:val="24"/>
          <w:szCs w:val="24"/>
        </w:rPr>
        <w:t xml:space="preserve"> </w:t>
      </w:r>
      <w:r w:rsidR="00693190">
        <w:rPr>
          <w:rFonts w:ascii="Arial" w:hAnsi="Arial" w:cs="Arial"/>
          <w:sz w:val="24"/>
          <w:szCs w:val="24"/>
        </w:rPr>
        <w:t>ALB</w:t>
      </w:r>
      <w:r w:rsidR="009C68F9" w:rsidRPr="002F27E0">
        <w:rPr>
          <w:rFonts w:ascii="Arial" w:hAnsi="Arial" w:cs="Arial"/>
          <w:sz w:val="24"/>
          <w:szCs w:val="24"/>
        </w:rPr>
        <w:t xml:space="preserve"> compliance has been aided by increased liaison between </w:t>
      </w:r>
      <w:proofErr w:type="spellStart"/>
      <w:r w:rsidR="009C68F9" w:rsidRPr="002F27E0">
        <w:rPr>
          <w:rFonts w:ascii="Arial" w:hAnsi="Arial" w:cs="Arial"/>
          <w:sz w:val="24"/>
          <w:szCs w:val="24"/>
        </w:rPr>
        <w:t>DfT</w:t>
      </w:r>
      <w:proofErr w:type="spellEnd"/>
      <w:r w:rsidR="009C68F9" w:rsidRPr="002F27E0">
        <w:rPr>
          <w:rFonts w:ascii="Arial" w:hAnsi="Arial" w:cs="Arial"/>
          <w:sz w:val="24"/>
          <w:szCs w:val="24"/>
        </w:rPr>
        <w:t xml:space="preserve"> and the ALBs</w:t>
      </w:r>
      <w:r w:rsidR="0075356B">
        <w:rPr>
          <w:rFonts w:ascii="Arial" w:hAnsi="Arial" w:cs="Arial"/>
          <w:sz w:val="24"/>
          <w:szCs w:val="24"/>
        </w:rPr>
        <w:t>.</w:t>
      </w:r>
      <w:r w:rsidR="009C68F9" w:rsidRPr="002F27E0">
        <w:rPr>
          <w:rFonts w:ascii="Arial" w:hAnsi="Arial" w:cs="Arial"/>
          <w:sz w:val="24"/>
          <w:szCs w:val="24"/>
        </w:rPr>
        <w:t xml:space="preserve"> The Executive Agencies (such as Highways Agency and DVLA) have always been fully within scope but the ALBs are now </w:t>
      </w:r>
      <w:r w:rsidR="00FB4716" w:rsidRPr="002F27E0">
        <w:rPr>
          <w:rFonts w:ascii="Arial" w:hAnsi="Arial" w:cs="Arial"/>
          <w:sz w:val="24"/>
          <w:szCs w:val="24"/>
        </w:rPr>
        <w:t>also</w:t>
      </w:r>
      <w:r w:rsidR="009C68F9" w:rsidRPr="002F27E0">
        <w:rPr>
          <w:rFonts w:ascii="Arial" w:hAnsi="Arial" w:cs="Arial"/>
          <w:sz w:val="24"/>
          <w:szCs w:val="24"/>
        </w:rPr>
        <w:t xml:space="preserve"> largely publish</w:t>
      </w:r>
      <w:r w:rsidR="00FB4716" w:rsidRPr="002F27E0">
        <w:rPr>
          <w:rFonts w:ascii="Arial" w:hAnsi="Arial" w:cs="Arial"/>
          <w:sz w:val="24"/>
          <w:szCs w:val="24"/>
        </w:rPr>
        <w:t>ing their data</w:t>
      </w:r>
      <w:r w:rsidR="009C68F9" w:rsidRPr="002F27E0">
        <w:rPr>
          <w:rFonts w:ascii="Arial" w:hAnsi="Arial" w:cs="Arial"/>
          <w:sz w:val="24"/>
          <w:szCs w:val="24"/>
        </w:rPr>
        <w:t xml:space="preserve"> on data.gov.uk.</w:t>
      </w:r>
    </w:p>
    <w:p w:rsidR="002D56B4" w:rsidRPr="002F27E0" w:rsidRDefault="002D56B4" w:rsidP="00AF1630">
      <w:pPr>
        <w:numPr>
          <w:ilvl w:val="0"/>
          <w:numId w:val="3"/>
        </w:numPr>
        <w:spacing w:after="300" w:line="240" w:lineRule="auto"/>
        <w:rPr>
          <w:rFonts w:ascii="Arial" w:hAnsi="Arial" w:cs="Arial"/>
          <w:sz w:val="24"/>
          <w:szCs w:val="24"/>
        </w:rPr>
      </w:pPr>
      <w:r w:rsidRPr="002F27E0">
        <w:rPr>
          <w:rFonts w:ascii="Arial" w:hAnsi="Arial" w:cs="Arial"/>
          <w:b/>
          <w:sz w:val="24"/>
          <w:szCs w:val="24"/>
        </w:rPr>
        <w:t>DH</w:t>
      </w:r>
      <w:r w:rsidR="00AF1630" w:rsidRPr="002F27E0">
        <w:rPr>
          <w:rFonts w:ascii="Arial" w:hAnsi="Arial" w:cs="Arial"/>
          <w:sz w:val="24"/>
          <w:szCs w:val="24"/>
        </w:rPr>
        <w:t xml:space="preserve"> are continuing to liaise with the ALBs that became fully functional on 1 April 2013 in order to ensure that they are aware of the requirements of the transparency agenda and to support them in delivering open data. The vast </w:t>
      </w:r>
      <w:r w:rsidR="00AF1630" w:rsidRPr="002F27E0">
        <w:rPr>
          <w:rFonts w:ascii="Arial" w:hAnsi="Arial" w:cs="Arial"/>
          <w:sz w:val="24"/>
          <w:szCs w:val="24"/>
        </w:rPr>
        <w:lastRenderedPageBreak/>
        <w:t xml:space="preserve">majority of DH’s non-corporate open data and transparency commitments are delivered by their ALBs, in particular the Health and Social Care Information Centre, NHS England and Public Health England. </w:t>
      </w:r>
      <w:r w:rsidR="0075356B">
        <w:rPr>
          <w:rFonts w:ascii="Arial" w:hAnsi="Arial" w:cs="Arial"/>
          <w:sz w:val="24"/>
          <w:szCs w:val="24"/>
        </w:rPr>
        <w:t>The next</w:t>
      </w:r>
      <w:r w:rsidR="00AF1630" w:rsidRPr="002F27E0">
        <w:rPr>
          <w:rFonts w:ascii="Arial" w:hAnsi="Arial" w:cs="Arial"/>
          <w:sz w:val="24"/>
          <w:szCs w:val="24"/>
        </w:rPr>
        <w:t xml:space="preserve"> meeting</w:t>
      </w:r>
      <w:r w:rsidR="0075356B">
        <w:rPr>
          <w:rFonts w:ascii="Arial" w:hAnsi="Arial" w:cs="Arial"/>
          <w:sz w:val="24"/>
          <w:szCs w:val="24"/>
        </w:rPr>
        <w:t xml:space="preserve"> with ALBs is </w:t>
      </w:r>
      <w:r w:rsidR="00AF1630" w:rsidRPr="002F27E0">
        <w:rPr>
          <w:rFonts w:ascii="Arial" w:hAnsi="Arial" w:cs="Arial"/>
          <w:sz w:val="24"/>
          <w:szCs w:val="24"/>
        </w:rPr>
        <w:t>planned for January to explain and work through how they are expected to contribute to open data and transparency.</w:t>
      </w:r>
    </w:p>
    <w:p w:rsidR="00AC0420" w:rsidRPr="002F27E0" w:rsidRDefault="00AC0420" w:rsidP="00AF1630">
      <w:pPr>
        <w:numPr>
          <w:ilvl w:val="0"/>
          <w:numId w:val="3"/>
        </w:numPr>
        <w:spacing w:after="300" w:line="240" w:lineRule="auto"/>
        <w:rPr>
          <w:rFonts w:ascii="Arial" w:hAnsi="Arial" w:cs="Arial"/>
          <w:sz w:val="24"/>
          <w:szCs w:val="24"/>
        </w:rPr>
      </w:pPr>
      <w:r w:rsidRPr="002F27E0">
        <w:rPr>
          <w:rFonts w:ascii="Arial" w:hAnsi="Arial" w:cs="Arial"/>
          <w:b/>
          <w:sz w:val="24"/>
          <w:szCs w:val="24"/>
        </w:rPr>
        <w:t xml:space="preserve">DWP </w:t>
      </w:r>
      <w:r w:rsidRPr="002F27E0">
        <w:rPr>
          <w:rFonts w:ascii="Arial" w:hAnsi="Arial" w:cs="Arial"/>
          <w:sz w:val="24"/>
          <w:szCs w:val="24"/>
        </w:rPr>
        <w:t>report that the follow</w:t>
      </w:r>
      <w:r w:rsidR="00693190">
        <w:rPr>
          <w:rFonts w:ascii="Arial" w:hAnsi="Arial" w:cs="Arial"/>
          <w:sz w:val="24"/>
          <w:szCs w:val="24"/>
        </w:rPr>
        <w:t>ing ALBs publish all mandatory c</w:t>
      </w:r>
      <w:r w:rsidRPr="002F27E0">
        <w:rPr>
          <w:rFonts w:ascii="Arial" w:hAnsi="Arial" w:cs="Arial"/>
          <w:sz w:val="24"/>
          <w:szCs w:val="24"/>
        </w:rPr>
        <w:t>or</w:t>
      </w:r>
      <w:r w:rsidR="00693190">
        <w:rPr>
          <w:rFonts w:ascii="Arial" w:hAnsi="Arial" w:cs="Arial"/>
          <w:sz w:val="24"/>
          <w:szCs w:val="24"/>
        </w:rPr>
        <w:t>porate publications, including o</w:t>
      </w:r>
      <w:r w:rsidRPr="002F27E0">
        <w:rPr>
          <w:rFonts w:ascii="Arial" w:hAnsi="Arial" w:cs="Arial"/>
          <w:sz w:val="24"/>
          <w:szCs w:val="24"/>
        </w:rPr>
        <w:t>rganogram and GPC spend data: Health and Safety Executive, Industrial Injuries Advisory Council, Independent Living Funds, The Pensions Regulator, Pensions Ombudsman, The Pensions Advisory Service and the Social Security Advisory Committee. Their ALBs also continue to publish data more widely and have contributed to the inventory of unpublished datasets.</w:t>
      </w:r>
    </w:p>
    <w:p w:rsidR="00AC0420" w:rsidRPr="002F27E0" w:rsidRDefault="00AC0420" w:rsidP="00AF1630">
      <w:pPr>
        <w:numPr>
          <w:ilvl w:val="0"/>
          <w:numId w:val="3"/>
        </w:numPr>
        <w:spacing w:after="300" w:line="240" w:lineRule="auto"/>
        <w:rPr>
          <w:rFonts w:ascii="Arial" w:hAnsi="Arial" w:cs="Arial"/>
          <w:sz w:val="24"/>
          <w:szCs w:val="24"/>
        </w:rPr>
      </w:pPr>
      <w:r w:rsidRPr="002F27E0">
        <w:rPr>
          <w:rFonts w:ascii="Arial" w:hAnsi="Arial" w:cs="Arial"/>
          <w:b/>
          <w:sz w:val="24"/>
          <w:szCs w:val="24"/>
        </w:rPr>
        <w:t>FCO</w:t>
      </w:r>
      <w:r w:rsidR="00C23B8B">
        <w:rPr>
          <w:rFonts w:ascii="Arial" w:hAnsi="Arial" w:cs="Arial"/>
          <w:sz w:val="24"/>
          <w:szCs w:val="24"/>
        </w:rPr>
        <w:t xml:space="preserve"> report that their ALBs are fu</w:t>
      </w:r>
      <w:r w:rsidRPr="002F27E0">
        <w:rPr>
          <w:rFonts w:ascii="Arial" w:hAnsi="Arial" w:cs="Arial"/>
          <w:sz w:val="24"/>
          <w:szCs w:val="24"/>
        </w:rPr>
        <w:t>lfilling their obligations where it is appropriate and possible given national security constraints. They also made significant contributions to the inventory of unpublished datasets.</w:t>
      </w:r>
    </w:p>
    <w:p w:rsidR="00752648" w:rsidRDefault="00AC0420" w:rsidP="00A51B48">
      <w:pPr>
        <w:numPr>
          <w:ilvl w:val="0"/>
          <w:numId w:val="3"/>
        </w:numPr>
        <w:rPr>
          <w:rFonts w:ascii="Tahoma" w:hAnsi="Tahoma" w:cs="Tahoma"/>
          <w:sz w:val="20"/>
          <w:szCs w:val="20"/>
        </w:rPr>
      </w:pPr>
      <w:r w:rsidRPr="00752648">
        <w:rPr>
          <w:rFonts w:ascii="Arial" w:hAnsi="Arial" w:cs="Arial"/>
          <w:b/>
          <w:sz w:val="24"/>
          <w:szCs w:val="24"/>
        </w:rPr>
        <w:t>HMRC's</w:t>
      </w:r>
      <w:r w:rsidR="00752648">
        <w:rPr>
          <w:rFonts w:ascii="Arial" w:hAnsi="Arial" w:cs="Arial"/>
          <w:sz w:val="24"/>
          <w:szCs w:val="24"/>
        </w:rPr>
        <w:t xml:space="preserve"> executive agency, the Valuation Office Agency (VOA) has continued to publish data relating to Council Tax and N</w:t>
      </w:r>
      <w:r w:rsidR="00A51B48">
        <w:rPr>
          <w:rFonts w:ascii="Arial" w:hAnsi="Arial" w:cs="Arial"/>
          <w:sz w:val="24"/>
          <w:szCs w:val="24"/>
        </w:rPr>
        <w:t xml:space="preserve">on-Domestic Rating Lists online. They also </w:t>
      </w:r>
      <w:r w:rsidR="00752648">
        <w:rPr>
          <w:rFonts w:ascii="Arial" w:hAnsi="Arial" w:cs="Arial"/>
          <w:sz w:val="24"/>
          <w:szCs w:val="24"/>
        </w:rPr>
        <w:t>make the Non-Domestic Rating Lists available as datasets and have released further statistics</w:t>
      </w:r>
      <w:r w:rsidR="00E3556F">
        <w:rPr>
          <w:rFonts w:ascii="Arial" w:hAnsi="Arial" w:cs="Arial"/>
          <w:sz w:val="24"/>
          <w:szCs w:val="24"/>
        </w:rPr>
        <w:t>.</w:t>
      </w:r>
    </w:p>
    <w:p w:rsidR="00E446A3" w:rsidRPr="00752648" w:rsidRDefault="00E446A3" w:rsidP="00AF1630">
      <w:pPr>
        <w:numPr>
          <w:ilvl w:val="0"/>
          <w:numId w:val="3"/>
        </w:numPr>
        <w:spacing w:after="300" w:line="240" w:lineRule="auto"/>
        <w:rPr>
          <w:rFonts w:ascii="Arial" w:hAnsi="Arial" w:cs="Arial"/>
          <w:sz w:val="24"/>
          <w:szCs w:val="24"/>
        </w:rPr>
      </w:pPr>
      <w:r w:rsidRPr="00752648">
        <w:rPr>
          <w:rFonts w:ascii="Arial" w:hAnsi="Arial" w:cs="Arial"/>
          <w:b/>
          <w:sz w:val="24"/>
          <w:szCs w:val="24"/>
        </w:rPr>
        <w:t>HO</w:t>
      </w:r>
      <w:r w:rsidRPr="00752648">
        <w:rPr>
          <w:rFonts w:ascii="Arial" w:hAnsi="Arial" w:cs="Arial"/>
          <w:sz w:val="24"/>
          <w:szCs w:val="24"/>
        </w:rPr>
        <w:t xml:space="preserve"> report that the Disclosure and Barring Service have released a significant amount of data relating to their business processes, functions and performance during the past quarter. This includes the Barring List Data and DBS Certificates with PNC information, Adult and Child List Information</w:t>
      </w:r>
      <w:r w:rsidR="00693190">
        <w:rPr>
          <w:rFonts w:ascii="Arial" w:hAnsi="Arial" w:cs="Arial"/>
          <w:sz w:val="24"/>
          <w:szCs w:val="24"/>
        </w:rPr>
        <w:t>; this is f</w:t>
      </w:r>
      <w:r w:rsidRPr="00752648">
        <w:rPr>
          <w:rFonts w:ascii="Arial" w:hAnsi="Arial" w:cs="Arial"/>
          <w:sz w:val="24"/>
          <w:szCs w:val="24"/>
        </w:rPr>
        <w:t xml:space="preserve">rom 2002 to </w:t>
      </w:r>
      <w:r w:rsidR="00693190">
        <w:rPr>
          <w:rFonts w:ascii="Arial" w:hAnsi="Arial" w:cs="Arial"/>
          <w:sz w:val="24"/>
          <w:szCs w:val="24"/>
        </w:rPr>
        <w:t>the present day</w:t>
      </w:r>
      <w:r w:rsidRPr="00752648">
        <w:rPr>
          <w:rFonts w:ascii="Arial" w:hAnsi="Arial" w:cs="Arial"/>
          <w:sz w:val="24"/>
          <w:szCs w:val="24"/>
        </w:rPr>
        <w:t xml:space="preserve">. </w:t>
      </w:r>
    </w:p>
    <w:p w:rsidR="00E446A3" w:rsidRPr="002F27E0" w:rsidRDefault="00E446A3" w:rsidP="00E446A3">
      <w:pPr>
        <w:numPr>
          <w:ilvl w:val="0"/>
          <w:numId w:val="3"/>
        </w:numPr>
        <w:spacing w:after="300" w:line="240" w:lineRule="auto"/>
        <w:rPr>
          <w:rFonts w:ascii="Arial" w:hAnsi="Arial" w:cs="Arial"/>
          <w:sz w:val="24"/>
          <w:szCs w:val="24"/>
        </w:rPr>
      </w:pPr>
      <w:r w:rsidRPr="002F27E0">
        <w:rPr>
          <w:rFonts w:ascii="Arial" w:hAnsi="Arial" w:cs="Arial"/>
          <w:b/>
          <w:sz w:val="24"/>
          <w:szCs w:val="24"/>
        </w:rPr>
        <w:t xml:space="preserve">MOD </w:t>
      </w:r>
      <w:r w:rsidRPr="002F27E0">
        <w:rPr>
          <w:rFonts w:ascii="Arial" w:hAnsi="Arial" w:cs="Arial"/>
          <w:sz w:val="24"/>
          <w:szCs w:val="24"/>
        </w:rPr>
        <w:t>report that further communication with ALBs has taken place to enhance previous relationships and to assist with future publication of transparency datasets.</w:t>
      </w:r>
    </w:p>
    <w:p w:rsidR="00E5516E" w:rsidRPr="002F27E0" w:rsidRDefault="00E5516E" w:rsidP="00E5516E">
      <w:pPr>
        <w:autoSpaceDE w:val="0"/>
        <w:autoSpaceDN w:val="0"/>
        <w:adjustRightInd w:val="0"/>
        <w:spacing w:after="0" w:line="240" w:lineRule="auto"/>
        <w:rPr>
          <w:rFonts w:ascii="Arial" w:hAnsi="Arial" w:cs="Arial"/>
          <w:b/>
          <w:sz w:val="24"/>
          <w:szCs w:val="24"/>
        </w:rPr>
      </w:pPr>
    </w:p>
    <w:p w:rsidR="002D56B4" w:rsidRPr="002F27E0" w:rsidRDefault="00E5516E" w:rsidP="005E3400">
      <w:pPr>
        <w:autoSpaceDE w:val="0"/>
        <w:autoSpaceDN w:val="0"/>
        <w:adjustRightInd w:val="0"/>
        <w:spacing w:after="0" w:line="240" w:lineRule="auto"/>
        <w:outlineLvl w:val="0"/>
        <w:rPr>
          <w:rFonts w:ascii="Arial" w:hAnsi="Arial" w:cs="Arial"/>
          <w:b/>
          <w:sz w:val="24"/>
          <w:szCs w:val="24"/>
        </w:rPr>
      </w:pPr>
      <w:r w:rsidRPr="002F27E0">
        <w:rPr>
          <w:rFonts w:ascii="Arial" w:hAnsi="Arial" w:cs="Arial"/>
          <w:b/>
          <w:sz w:val="24"/>
          <w:szCs w:val="24"/>
        </w:rPr>
        <w:t xml:space="preserve"> </w:t>
      </w:r>
      <w:r w:rsidR="002D56B4" w:rsidRPr="002F27E0">
        <w:rPr>
          <w:rFonts w:ascii="Arial" w:hAnsi="Arial" w:cs="Arial"/>
          <w:b/>
          <w:sz w:val="24"/>
          <w:szCs w:val="24"/>
        </w:rPr>
        <w:t>Building Capacity</w:t>
      </w:r>
    </w:p>
    <w:p w:rsidR="002D56B4" w:rsidRPr="002F27E0" w:rsidRDefault="002D56B4" w:rsidP="005C7326">
      <w:pPr>
        <w:autoSpaceDE w:val="0"/>
        <w:autoSpaceDN w:val="0"/>
        <w:adjustRightInd w:val="0"/>
        <w:spacing w:after="0" w:line="240" w:lineRule="auto"/>
        <w:rPr>
          <w:rFonts w:ascii="Arial" w:hAnsi="Arial" w:cs="Arial"/>
          <w:b/>
          <w:sz w:val="24"/>
          <w:szCs w:val="24"/>
        </w:rPr>
      </w:pPr>
    </w:p>
    <w:p w:rsidR="002D56B4" w:rsidRPr="002F27E0" w:rsidRDefault="002D56B4" w:rsidP="005E3400">
      <w:pPr>
        <w:autoSpaceDE w:val="0"/>
        <w:autoSpaceDN w:val="0"/>
        <w:adjustRightInd w:val="0"/>
        <w:spacing w:after="0" w:line="240" w:lineRule="auto"/>
        <w:outlineLvl w:val="0"/>
        <w:rPr>
          <w:rFonts w:ascii="Arial" w:hAnsi="Arial" w:cs="Arial"/>
          <w:i/>
          <w:sz w:val="24"/>
          <w:szCs w:val="24"/>
        </w:rPr>
      </w:pPr>
      <w:r w:rsidRPr="002F27E0">
        <w:rPr>
          <w:rFonts w:ascii="Arial" w:hAnsi="Arial" w:cs="Arial"/>
          <w:i/>
          <w:sz w:val="24"/>
          <w:szCs w:val="24"/>
        </w:rPr>
        <w:t>Building Capacity supports all Open Data standards.</w:t>
      </w:r>
    </w:p>
    <w:p w:rsidR="00E446A3" w:rsidRPr="002F27E0" w:rsidRDefault="00E446A3" w:rsidP="005C7326">
      <w:pPr>
        <w:autoSpaceDE w:val="0"/>
        <w:autoSpaceDN w:val="0"/>
        <w:adjustRightInd w:val="0"/>
        <w:spacing w:after="0" w:line="240" w:lineRule="auto"/>
        <w:rPr>
          <w:rFonts w:ascii="Arial" w:hAnsi="Arial" w:cs="Arial"/>
          <w:sz w:val="24"/>
          <w:szCs w:val="24"/>
        </w:rPr>
      </w:pPr>
    </w:p>
    <w:p w:rsidR="00E446A3" w:rsidRPr="002F27E0" w:rsidRDefault="002D56B4" w:rsidP="00E446A3">
      <w:pPr>
        <w:numPr>
          <w:ilvl w:val="0"/>
          <w:numId w:val="3"/>
        </w:numPr>
        <w:rPr>
          <w:rFonts w:ascii="Arial" w:hAnsi="Arial" w:cs="Arial"/>
          <w:sz w:val="24"/>
          <w:szCs w:val="24"/>
        </w:rPr>
      </w:pPr>
      <w:r w:rsidRPr="002F27E0">
        <w:rPr>
          <w:rFonts w:ascii="Arial" w:hAnsi="Arial" w:cs="Arial"/>
          <w:b/>
          <w:sz w:val="24"/>
          <w:szCs w:val="24"/>
        </w:rPr>
        <w:t>BIS</w:t>
      </w:r>
      <w:r w:rsidR="00E446A3" w:rsidRPr="002F27E0">
        <w:rPr>
          <w:rFonts w:ascii="Arial" w:hAnsi="Arial" w:cs="Arial"/>
          <w:b/>
          <w:sz w:val="24"/>
          <w:szCs w:val="24"/>
        </w:rPr>
        <w:t xml:space="preserve"> </w:t>
      </w:r>
      <w:r w:rsidR="00E446A3" w:rsidRPr="002F27E0">
        <w:rPr>
          <w:rFonts w:ascii="Arial" w:hAnsi="Arial" w:cs="Arial"/>
          <w:sz w:val="24"/>
          <w:szCs w:val="24"/>
        </w:rPr>
        <w:t xml:space="preserve">reported that EITI Champion and Business Minister Jo </w:t>
      </w:r>
      <w:proofErr w:type="spellStart"/>
      <w:r w:rsidR="00E446A3" w:rsidRPr="002F27E0">
        <w:rPr>
          <w:rFonts w:ascii="Arial" w:hAnsi="Arial" w:cs="Arial"/>
          <w:sz w:val="24"/>
          <w:szCs w:val="24"/>
        </w:rPr>
        <w:t>Swinson</w:t>
      </w:r>
      <w:proofErr w:type="spellEnd"/>
      <w:r w:rsidR="00E446A3" w:rsidRPr="002F27E0">
        <w:rPr>
          <w:rFonts w:ascii="Arial" w:hAnsi="Arial" w:cs="Arial"/>
          <w:sz w:val="24"/>
          <w:szCs w:val="24"/>
        </w:rPr>
        <w:t xml:space="preserve"> launched the UK Extractive Industries Transparency Initiative (EITI) on the 9th July at the BIS Conference Centre. Over 130 representatives from industry, civil society and government departments attended the event which included speeches from Jo </w:t>
      </w:r>
      <w:proofErr w:type="spellStart"/>
      <w:r w:rsidR="00E446A3" w:rsidRPr="002F27E0">
        <w:rPr>
          <w:rFonts w:ascii="Arial" w:hAnsi="Arial" w:cs="Arial"/>
          <w:sz w:val="24"/>
          <w:szCs w:val="24"/>
        </w:rPr>
        <w:t>Swinson</w:t>
      </w:r>
      <w:proofErr w:type="spellEnd"/>
      <w:r w:rsidR="00E446A3" w:rsidRPr="002F27E0">
        <w:rPr>
          <w:rFonts w:ascii="Arial" w:hAnsi="Arial" w:cs="Arial"/>
          <w:sz w:val="24"/>
          <w:szCs w:val="24"/>
        </w:rPr>
        <w:t xml:space="preserve"> and the Rt. Hon. Clare Short, Chair of the International EITI Board. </w:t>
      </w:r>
      <w:r w:rsidR="003E0B64" w:rsidRPr="002F27E0">
        <w:rPr>
          <w:rFonts w:ascii="Arial" w:hAnsi="Arial" w:cs="Arial"/>
          <w:sz w:val="24"/>
          <w:szCs w:val="24"/>
        </w:rPr>
        <w:t>In September</w:t>
      </w:r>
      <w:r w:rsidR="001A30C0" w:rsidRPr="002F27E0">
        <w:rPr>
          <w:rFonts w:ascii="Arial" w:hAnsi="Arial" w:cs="Arial"/>
          <w:sz w:val="24"/>
          <w:szCs w:val="24"/>
        </w:rPr>
        <w:t>, Minister of State for Universities and Science, Rt. Hon</w:t>
      </w:r>
      <w:r w:rsidR="003E0B64" w:rsidRPr="002F27E0">
        <w:rPr>
          <w:rFonts w:ascii="Arial" w:hAnsi="Arial" w:cs="Arial"/>
          <w:sz w:val="24"/>
          <w:szCs w:val="24"/>
        </w:rPr>
        <w:t xml:space="preserve"> David </w:t>
      </w:r>
      <w:proofErr w:type="spellStart"/>
      <w:r w:rsidR="003E0B64" w:rsidRPr="002F27E0">
        <w:rPr>
          <w:rFonts w:ascii="Arial" w:hAnsi="Arial" w:cs="Arial"/>
          <w:sz w:val="24"/>
          <w:szCs w:val="24"/>
        </w:rPr>
        <w:t>Willetts</w:t>
      </w:r>
      <w:proofErr w:type="spellEnd"/>
      <w:r w:rsidR="003E0B64" w:rsidRPr="002F27E0">
        <w:rPr>
          <w:rFonts w:ascii="Arial" w:hAnsi="Arial" w:cs="Arial"/>
          <w:sz w:val="24"/>
          <w:szCs w:val="24"/>
        </w:rPr>
        <w:t xml:space="preserve"> chaired a meeting of the Research Sector Transparency Board, at which the board discussed the risks around a lack of coordination and standardisation across institutional repositories, and the challenge of looking for data across disciplinary boundaries. To seek practical </w:t>
      </w:r>
      <w:r w:rsidR="00693190">
        <w:rPr>
          <w:rFonts w:ascii="Arial" w:hAnsi="Arial" w:cs="Arial"/>
          <w:sz w:val="24"/>
          <w:szCs w:val="24"/>
        </w:rPr>
        <w:lastRenderedPageBreak/>
        <w:t xml:space="preserve">ways forward, </w:t>
      </w:r>
      <w:r w:rsidR="003E0B64" w:rsidRPr="002F27E0">
        <w:rPr>
          <w:rFonts w:ascii="Arial" w:hAnsi="Arial" w:cs="Arial"/>
          <w:sz w:val="24"/>
          <w:szCs w:val="24"/>
        </w:rPr>
        <w:t>the Royal Society agreed to convene an “Open Science Data Forum”, to be held in early 2014. The aim of the Forum will be to engage the parties who</w:t>
      </w:r>
      <w:r w:rsidR="00693190">
        <w:rPr>
          <w:rFonts w:ascii="Arial" w:hAnsi="Arial" w:cs="Arial"/>
          <w:sz w:val="24"/>
          <w:szCs w:val="24"/>
        </w:rPr>
        <w:t xml:space="preserve"> would be </w:t>
      </w:r>
      <w:proofErr w:type="gramStart"/>
      <w:r w:rsidR="003E0B64" w:rsidRPr="002F27E0">
        <w:rPr>
          <w:rFonts w:ascii="Arial" w:hAnsi="Arial" w:cs="Arial"/>
          <w:sz w:val="24"/>
          <w:szCs w:val="24"/>
        </w:rPr>
        <w:t>key</w:t>
      </w:r>
      <w:proofErr w:type="gramEnd"/>
      <w:r w:rsidR="003E0B64" w:rsidRPr="002F27E0">
        <w:rPr>
          <w:rFonts w:ascii="Arial" w:hAnsi="Arial" w:cs="Arial"/>
          <w:sz w:val="24"/>
          <w:szCs w:val="24"/>
        </w:rPr>
        <w:t xml:space="preserve"> to the implementation of an open data regime in research, including representatives of universities, the Research Councils, and other experts.</w:t>
      </w:r>
    </w:p>
    <w:p w:rsidR="002D56B4" w:rsidRPr="002F27E0" w:rsidRDefault="002D56B4" w:rsidP="00653D45">
      <w:pPr>
        <w:numPr>
          <w:ilvl w:val="0"/>
          <w:numId w:val="3"/>
        </w:numPr>
        <w:rPr>
          <w:rFonts w:ascii="Arial" w:hAnsi="Arial" w:cs="Arial"/>
          <w:b/>
          <w:sz w:val="24"/>
          <w:szCs w:val="24"/>
        </w:rPr>
      </w:pPr>
      <w:r w:rsidRPr="002F27E0">
        <w:rPr>
          <w:rFonts w:ascii="Arial" w:hAnsi="Arial" w:cs="Arial"/>
          <w:b/>
          <w:sz w:val="24"/>
          <w:szCs w:val="24"/>
        </w:rPr>
        <w:t xml:space="preserve">DCLG </w:t>
      </w:r>
      <w:r w:rsidR="00653D45" w:rsidRPr="002F27E0">
        <w:rPr>
          <w:rFonts w:ascii="Arial" w:hAnsi="Arial" w:cs="Arial"/>
          <w:sz w:val="24"/>
          <w:szCs w:val="24"/>
        </w:rPr>
        <w:t>have continued to extend the range and volume of data published via thei</w:t>
      </w:r>
      <w:r w:rsidR="00693190">
        <w:rPr>
          <w:rFonts w:ascii="Arial" w:hAnsi="Arial" w:cs="Arial"/>
          <w:sz w:val="24"/>
          <w:szCs w:val="24"/>
        </w:rPr>
        <w:t xml:space="preserve">r Open Data Communities </w:t>
      </w:r>
      <w:r w:rsidR="00653D45" w:rsidRPr="002F27E0">
        <w:rPr>
          <w:rFonts w:ascii="Arial" w:hAnsi="Arial" w:cs="Arial"/>
          <w:sz w:val="24"/>
          <w:szCs w:val="24"/>
        </w:rPr>
        <w:t>service in fully accessible, 5-star formats.  In this quarter they published significant additional content for house building completions (see http://opendatacommunities.org/data/house-building/completions/tenure). The LGA’s LG Inform is now integrated with Open Data Communities and is retrieving data directly over the web, removing the need for processing separate spreadsheets. DCLG has also been working with local authorities such as Hampshire County Council and its ‘Hampshire Hub’ project which exploits opportunities for linking DCLG data with local data. The first outputs of this are available at protohub.net</w:t>
      </w:r>
      <w:r w:rsidRPr="002F27E0">
        <w:rPr>
          <w:rFonts w:ascii="Arial" w:hAnsi="Arial" w:cs="Arial"/>
          <w:sz w:val="24"/>
          <w:szCs w:val="24"/>
        </w:rPr>
        <w:t>.</w:t>
      </w:r>
      <w:r w:rsidRPr="002F27E0">
        <w:rPr>
          <w:rFonts w:ascii="Arial" w:hAnsi="Arial" w:cs="Arial"/>
          <w:b/>
          <w:sz w:val="24"/>
          <w:szCs w:val="24"/>
        </w:rPr>
        <w:t xml:space="preserve"> </w:t>
      </w:r>
    </w:p>
    <w:p w:rsidR="00290F3C" w:rsidRPr="002F27E0" w:rsidRDefault="002D56B4" w:rsidP="008E78F9">
      <w:pPr>
        <w:numPr>
          <w:ilvl w:val="0"/>
          <w:numId w:val="3"/>
        </w:numPr>
        <w:rPr>
          <w:rFonts w:ascii="Arial" w:hAnsi="Arial" w:cs="Arial"/>
          <w:sz w:val="24"/>
          <w:szCs w:val="24"/>
        </w:rPr>
      </w:pPr>
      <w:proofErr w:type="spellStart"/>
      <w:r w:rsidRPr="002F27E0">
        <w:rPr>
          <w:rFonts w:ascii="Arial" w:hAnsi="Arial" w:cs="Arial"/>
          <w:b/>
          <w:sz w:val="24"/>
          <w:szCs w:val="24"/>
        </w:rPr>
        <w:t>DfT</w:t>
      </w:r>
      <w:proofErr w:type="spellEnd"/>
      <w:r w:rsidR="005F484A" w:rsidRPr="002F27E0">
        <w:rPr>
          <w:rFonts w:ascii="Arial" w:hAnsi="Arial" w:cs="Arial"/>
          <w:b/>
          <w:sz w:val="24"/>
          <w:szCs w:val="24"/>
        </w:rPr>
        <w:t xml:space="preserve"> </w:t>
      </w:r>
      <w:r w:rsidR="005F484A" w:rsidRPr="002F27E0">
        <w:rPr>
          <w:rFonts w:ascii="Arial" w:hAnsi="Arial" w:cs="Arial"/>
          <w:sz w:val="24"/>
          <w:szCs w:val="24"/>
        </w:rPr>
        <w:t xml:space="preserve">reported </w:t>
      </w:r>
      <w:r w:rsidR="00693190">
        <w:rPr>
          <w:rFonts w:ascii="Arial" w:hAnsi="Arial" w:cs="Arial"/>
          <w:sz w:val="24"/>
          <w:szCs w:val="24"/>
        </w:rPr>
        <w:t>that work continues</w:t>
      </w:r>
      <w:r w:rsidR="00E82781" w:rsidRPr="002F27E0">
        <w:rPr>
          <w:rFonts w:ascii="Arial" w:hAnsi="Arial" w:cs="Arial"/>
          <w:sz w:val="24"/>
          <w:szCs w:val="24"/>
        </w:rPr>
        <w:t xml:space="preserve"> on its </w:t>
      </w:r>
      <w:r w:rsidR="00290F3C" w:rsidRPr="002F27E0">
        <w:rPr>
          <w:rFonts w:ascii="Arial" w:hAnsi="Arial" w:cs="Arial"/>
          <w:sz w:val="24"/>
          <w:szCs w:val="24"/>
        </w:rPr>
        <w:t xml:space="preserve">two major initiatives </w:t>
      </w:r>
      <w:r w:rsidR="00E82781" w:rsidRPr="002F27E0">
        <w:rPr>
          <w:rFonts w:ascii="Arial" w:hAnsi="Arial" w:cs="Arial"/>
          <w:sz w:val="24"/>
          <w:szCs w:val="24"/>
        </w:rPr>
        <w:t>for</w:t>
      </w:r>
      <w:r w:rsidR="00290F3C" w:rsidRPr="002F27E0">
        <w:rPr>
          <w:rFonts w:ascii="Arial" w:hAnsi="Arial" w:cs="Arial"/>
          <w:sz w:val="24"/>
          <w:szCs w:val="24"/>
        </w:rPr>
        <w:t xml:space="preserve"> 2013-14 as set out in the </w:t>
      </w:r>
      <w:proofErr w:type="spellStart"/>
      <w:r w:rsidR="00290F3C" w:rsidRPr="002F27E0">
        <w:rPr>
          <w:rFonts w:ascii="Arial" w:hAnsi="Arial" w:cs="Arial"/>
          <w:sz w:val="24"/>
          <w:szCs w:val="24"/>
        </w:rPr>
        <w:t>DfT</w:t>
      </w:r>
      <w:proofErr w:type="spellEnd"/>
      <w:r w:rsidR="00290F3C" w:rsidRPr="002F27E0">
        <w:rPr>
          <w:rFonts w:ascii="Arial" w:hAnsi="Arial" w:cs="Arial"/>
          <w:sz w:val="24"/>
          <w:szCs w:val="24"/>
        </w:rPr>
        <w:t xml:space="preserve"> Business Plan</w:t>
      </w:r>
      <w:r w:rsidR="005F484A" w:rsidRPr="002F27E0">
        <w:rPr>
          <w:rFonts w:ascii="Arial" w:hAnsi="Arial" w:cs="Arial"/>
          <w:sz w:val="24"/>
          <w:szCs w:val="24"/>
        </w:rPr>
        <w:t>. The first is</w:t>
      </w:r>
      <w:r w:rsidR="00290F3C" w:rsidRPr="002F27E0">
        <w:rPr>
          <w:rFonts w:ascii="Arial" w:hAnsi="Arial" w:cs="Arial"/>
          <w:sz w:val="24"/>
          <w:szCs w:val="24"/>
        </w:rPr>
        <w:t xml:space="preserve"> the A14 corridor study in conjunction with the Technology Strategy Board and partners from the public and private sector</w:t>
      </w:r>
      <w:r w:rsidR="005F484A" w:rsidRPr="002F27E0">
        <w:rPr>
          <w:rFonts w:ascii="Arial" w:hAnsi="Arial" w:cs="Arial"/>
          <w:sz w:val="24"/>
          <w:szCs w:val="24"/>
        </w:rPr>
        <w:t xml:space="preserve">. </w:t>
      </w:r>
      <w:r w:rsidR="00E82781" w:rsidRPr="002F27E0">
        <w:rPr>
          <w:rFonts w:ascii="Arial" w:hAnsi="Arial" w:cs="Arial"/>
          <w:sz w:val="24"/>
          <w:szCs w:val="24"/>
        </w:rPr>
        <w:t>This project a</w:t>
      </w:r>
      <w:r w:rsidR="005F484A" w:rsidRPr="002F27E0">
        <w:rPr>
          <w:rFonts w:ascii="Arial" w:hAnsi="Arial" w:cs="Arial"/>
          <w:sz w:val="24"/>
          <w:szCs w:val="24"/>
        </w:rPr>
        <w:t xml:space="preserve">ims to </w:t>
      </w:r>
      <w:r w:rsidR="00290F3C" w:rsidRPr="002F27E0">
        <w:rPr>
          <w:rFonts w:ascii="Arial" w:hAnsi="Arial" w:cs="Arial"/>
          <w:sz w:val="24"/>
          <w:szCs w:val="24"/>
        </w:rPr>
        <w:t>harvest, pr</w:t>
      </w:r>
      <w:r w:rsidR="005F484A" w:rsidRPr="002F27E0">
        <w:rPr>
          <w:rFonts w:ascii="Arial" w:hAnsi="Arial" w:cs="Arial"/>
          <w:sz w:val="24"/>
          <w:szCs w:val="24"/>
        </w:rPr>
        <w:t>ocess and re-use public and priv</w:t>
      </w:r>
      <w:r w:rsidR="00290F3C" w:rsidRPr="002F27E0">
        <w:rPr>
          <w:rFonts w:ascii="Arial" w:hAnsi="Arial" w:cs="Arial"/>
          <w:sz w:val="24"/>
          <w:szCs w:val="24"/>
        </w:rPr>
        <w:t>ate data to asse</w:t>
      </w:r>
      <w:r w:rsidR="00C23B8B">
        <w:rPr>
          <w:rFonts w:ascii="Arial" w:hAnsi="Arial" w:cs="Arial"/>
          <w:sz w:val="24"/>
          <w:szCs w:val="24"/>
        </w:rPr>
        <w:t>ss the potential impact on road</w:t>
      </w:r>
      <w:r w:rsidR="00290F3C" w:rsidRPr="002F27E0">
        <w:rPr>
          <w:rFonts w:ascii="Arial" w:hAnsi="Arial" w:cs="Arial"/>
          <w:sz w:val="24"/>
          <w:szCs w:val="24"/>
        </w:rPr>
        <w:t xml:space="preserve">-users, infrastructure efficiency and critical decision making. The second is </w:t>
      </w:r>
      <w:r w:rsidR="005F484A" w:rsidRPr="002F27E0">
        <w:rPr>
          <w:rFonts w:ascii="Arial" w:hAnsi="Arial" w:cs="Arial"/>
          <w:sz w:val="24"/>
          <w:szCs w:val="24"/>
        </w:rPr>
        <w:t xml:space="preserve">to work </w:t>
      </w:r>
      <w:r w:rsidR="00290F3C" w:rsidRPr="002F27E0">
        <w:rPr>
          <w:rFonts w:ascii="Arial" w:hAnsi="Arial" w:cs="Arial"/>
          <w:sz w:val="24"/>
          <w:szCs w:val="24"/>
        </w:rPr>
        <w:t>with</w:t>
      </w:r>
      <w:r w:rsidR="005F484A" w:rsidRPr="002F27E0">
        <w:rPr>
          <w:rFonts w:ascii="Arial" w:hAnsi="Arial" w:cs="Arial"/>
          <w:sz w:val="24"/>
          <w:szCs w:val="24"/>
        </w:rPr>
        <w:t xml:space="preserve"> </w:t>
      </w:r>
      <w:r w:rsidR="00290F3C" w:rsidRPr="002F27E0">
        <w:rPr>
          <w:rFonts w:ascii="Arial" w:hAnsi="Arial" w:cs="Arial"/>
          <w:sz w:val="24"/>
          <w:szCs w:val="24"/>
        </w:rPr>
        <w:t xml:space="preserve">Transport for London to attempt to embed the Travel Demand Management principles from London 2012 into the day-to-day operation of the infrastructure in London, initially focussing on the London Bridge development work. </w:t>
      </w:r>
    </w:p>
    <w:p w:rsidR="002D56B4" w:rsidRPr="002F27E0" w:rsidRDefault="002D56B4" w:rsidP="008E78F9">
      <w:pPr>
        <w:numPr>
          <w:ilvl w:val="0"/>
          <w:numId w:val="3"/>
        </w:numPr>
        <w:rPr>
          <w:rFonts w:ascii="Arial" w:hAnsi="Arial" w:cs="Arial"/>
          <w:sz w:val="24"/>
          <w:szCs w:val="24"/>
        </w:rPr>
      </w:pPr>
      <w:r w:rsidRPr="002F27E0">
        <w:rPr>
          <w:rFonts w:ascii="Arial" w:hAnsi="Arial" w:cs="Arial"/>
          <w:b/>
          <w:sz w:val="24"/>
          <w:szCs w:val="24"/>
        </w:rPr>
        <w:t>DH</w:t>
      </w:r>
      <w:r w:rsidR="004513DB">
        <w:rPr>
          <w:rFonts w:ascii="Arial" w:hAnsi="Arial" w:cs="Arial"/>
          <w:sz w:val="24"/>
          <w:szCs w:val="24"/>
        </w:rPr>
        <w:t xml:space="preserve"> </w:t>
      </w:r>
      <w:r w:rsidR="00E82781" w:rsidRPr="002F27E0">
        <w:rPr>
          <w:rFonts w:ascii="Arial" w:hAnsi="Arial" w:cs="Arial"/>
          <w:sz w:val="24"/>
          <w:szCs w:val="24"/>
        </w:rPr>
        <w:t>announced plans</w:t>
      </w:r>
      <w:r w:rsidR="004513DB">
        <w:rPr>
          <w:rFonts w:ascii="Arial" w:hAnsi="Arial" w:cs="Arial"/>
          <w:sz w:val="24"/>
          <w:szCs w:val="24"/>
        </w:rPr>
        <w:t xml:space="preserve"> in August</w:t>
      </w:r>
      <w:r w:rsidR="00E82781" w:rsidRPr="002F27E0">
        <w:rPr>
          <w:rFonts w:ascii="Arial" w:hAnsi="Arial" w:cs="Arial"/>
          <w:sz w:val="24"/>
          <w:szCs w:val="24"/>
        </w:rPr>
        <w:t xml:space="preserve"> to develop a modern data system for the health and care system, </w:t>
      </w:r>
      <w:proofErr w:type="spellStart"/>
      <w:r w:rsidR="00E82781" w:rsidRPr="002F27E0">
        <w:rPr>
          <w:rFonts w:ascii="Arial" w:hAnsi="Arial" w:cs="Arial"/>
          <w:sz w:val="24"/>
          <w:szCs w:val="24"/>
        </w:rPr>
        <w:t>care.data</w:t>
      </w:r>
      <w:proofErr w:type="spellEnd"/>
      <w:r w:rsidR="00E82781" w:rsidRPr="002F27E0">
        <w:rPr>
          <w:rFonts w:ascii="Arial" w:hAnsi="Arial" w:cs="Arial"/>
          <w:sz w:val="24"/>
          <w:szCs w:val="24"/>
        </w:rPr>
        <w:t xml:space="preserve">. This system will also provide data for multiple uses, including large aggregated </w:t>
      </w:r>
      <w:proofErr w:type="spellStart"/>
      <w:r w:rsidR="00E82781" w:rsidRPr="002F27E0">
        <w:rPr>
          <w:rFonts w:ascii="Arial" w:hAnsi="Arial" w:cs="Arial"/>
          <w:sz w:val="24"/>
          <w:szCs w:val="24"/>
        </w:rPr>
        <w:t>anonymised</w:t>
      </w:r>
      <w:proofErr w:type="spellEnd"/>
      <w:r w:rsidR="00E82781" w:rsidRPr="002F27E0">
        <w:rPr>
          <w:rFonts w:ascii="Arial" w:hAnsi="Arial" w:cs="Arial"/>
          <w:sz w:val="24"/>
          <w:szCs w:val="24"/>
        </w:rPr>
        <w:t xml:space="preserve"> datasets as open data, in due course</w:t>
      </w:r>
      <w:r w:rsidRPr="002F27E0">
        <w:rPr>
          <w:rFonts w:ascii="Arial" w:hAnsi="Arial" w:cs="Arial"/>
          <w:sz w:val="24"/>
          <w:szCs w:val="24"/>
        </w:rPr>
        <w:t>.</w:t>
      </w:r>
    </w:p>
    <w:p w:rsidR="003A0054" w:rsidRPr="002F27E0" w:rsidRDefault="002D56B4" w:rsidP="003A0054">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DWP</w:t>
      </w:r>
      <w:r w:rsidR="003A0054" w:rsidRPr="002F27E0">
        <w:rPr>
          <w:rFonts w:ascii="Arial" w:hAnsi="Arial" w:cs="Arial"/>
          <w:sz w:val="24"/>
          <w:szCs w:val="24"/>
        </w:rPr>
        <w:t xml:space="preserve"> Open Data Group (formerly External Stakeholder Group) has been refreshed with revised Terms of Reference and the number of external data users has increased from 8 to 15 members. A meeting was held on the 26th September and minutes were published on the DWP Transparency website. The Energy and Environment Open Data Policy wor</w:t>
      </w:r>
      <w:r w:rsidR="004513DB">
        <w:rPr>
          <w:rFonts w:ascii="Arial" w:hAnsi="Arial" w:cs="Arial"/>
          <w:sz w:val="24"/>
          <w:szCs w:val="24"/>
        </w:rPr>
        <w:t xml:space="preserve">kshop was held in September. </w:t>
      </w:r>
      <w:r w:rsidR="003A0054" w:rsidRPr="002F27E0">
        <w:rPr>
          <w:rFonts w:ascii="Arial" w:hAnsi="Arial" w:cs="Arial"/>
          <w:sz w:val="24"/>
          <w:szCs w:val="24"/>
        </w:rPr>
        <w:t>DWP attended to cover DWP data sharing with DECC and energy providers</w:t>
      </w:r>
      <w:r w:rsidR="004513DB">
        <w:rPr>
          <w:rFonts w:ascii="Arial" w:hAnsi="Arial" w:cs="Arial"/>
          <w:sz w:val="24"/>
          <w:szCs w:val="24"/>
        </w:rPr>
        <w:t xml:space="preserve"> to tackle</w:t>
      </w:r>
      <w:r w:rsidR="003A0054" w:rsidRPr="002F27E0">
        <w:rPr>
          <w:rFonts w:ascii="Arial" w:hAnsi="Arial" w:cs="Arial"/>
          <w:sz w:val="24"/>
          <w:szCs w:val="24"/>
        </w:rPr>
        <w:t xml:space="preserve"> </w:t>
      </w:r>
      <w:r w:rsidR="004513DB">
        <w:rPr>
          <w:rFonts w:ascii="Arial" w:hAnsi="Arial" w:cs="Arial"/>
          <w:sz w:val="24"/>
          <w:szCs w:val="24"/>
        </w:rPr>
        <w:t xml:space="preserve">fuel poverty. The Work Programme </w:t>
      </w:r>
      <w:r w:rsidR="003A0054" w:rsidRPr="002F27E0">
        <w:rPr>
          <w:rFonts w:ascii="Arial" w:hAnsi="Arial" w:cs="Arial"/>
          <w:sz w:val="24"/>
          <w:szCs w:val="24"/>
        </w:rPr>
        <w:t>Official Statistics public consultation paper was published in August 2013, providing recommendations for an impro</w:t>
      </w:r>
      <w:r w:rsidR="001A30C0" w:rsidRPr="002F27E0">
        <w:rPr>
          <w:rFonts w:ascii="Arial" w:hAnsi="Arial" w:cs="Arial"/>
          <w:sz w:val="24"/>
          <w:szCs w:val="24"/>
        </w:rPr>
        <w:t>ved method of presenting DWP's W</w:t>
      </w:r>
      <w:r w:rsidR="003A0054" w:rsidRPr="002F27E0">
        <w:rPr>
          <w:rFonts w:ascii="Arial" w:hAnsi="Arial" w:cs="Arial"/>
          <w:sz w:val="24"/>
          <w:szCs w:val="24"/>
        </w:rPr>
        <w:t xml:space="preserve">ork </w:t>
      </w:r>
      <w:r w:rsidR="001A30C0" w:rsidRPr="002F27E0">
        <w:rPr>
          <w:rFonts w:ascii="Arial" w:hAnsi="Arial" w:cs="Arial"/>
          <w:sz w:val="24"/>
          <w:szCs w:val="24"/>
        </w:rPr>
        <w:t>P</w:t>
      </w:r>
      <w:r w:rsidR="003A0054" w:rsidRPr="002F27E0">
        <w:rPr>
          <w:rFonts w:ascii="Arial" w:hAnsi="Arial" w:cs="Arial"/>
          <w:sz w:val="24"/>
          <w:szCs w:val="24"/>
        </w:rPr>
        <w:t>rogramme data and seeking views on the overall presentation,</w:t>
      </w:r>
      <w:r w:rsidR="004513DB">
        <w:rPr>
          <w:rFonts w:ascii="Arial" w:hAnsi="Arial" w:cs="Arial"/>
          <w:sz w:val="24"/>
          <w:szCs w:val="24"/>
        </w:rPr>
        <w:t xml:space="preserve"> and content</w:t>
      </w:r>
      <w:r w:rsidR="003A0054" w:rsidRPr="002F27E0">
        <w:rPr>
          <w:rFonts w:ascii="Arial" w:hAnsi="Arial" w:cs="Arial"/>
          <w:sz w:val="24"/>
          <w:szCs w:val="24"/>
        </w:rPr>
        <w:t>. Feedback will be assessed and responses provided along with any implementation dates for changes in the next quarter.</w:t>
      </w:r>
    </w:p>
    <w:p w:rsidR="002D56B4" w:rsidRPr="002F27E0" w:rsidRDefault="003A0054" w:rsidP="003A0054">
      <w:pPr>
        <w:autoSpaceDE w:val="0"/>
        <w:autoSpaceDN w:val="0"/>
        <w:adjustRightInd w:val="0"/>
        <w:spacing w:after="0" w:line="240" w:lineRule="auto"/>
        <w:ind w:left="720"/>
        <w:rPr>
          <w:rFonts w:ascii="Arial" w:hAnsi="Arial" w:cs="Arial"/>
          <w:sz w:val="24"/>
          <w:szCs w:val="24"/>
        </w:rPr>
      </w:pPr>
      <w:r w:rsidRPr="002F27E0">
        <w:rPr>
          <w:rFonts w:ascii="Arial" w:hAnsi="Arial" w:cs="Arial"/>
          <w:sz w:val="24"/>
          <w:szCs w:val="24"/>
        </w:rPr>
        <w:t xml:space="preserve">   </w:t>
      </w:r>
    </w:p>
    <w:p w:rsidR="002D56B4" w:rsidRPr="002F27E0" w:rsidRDefault="002D56B4" w:rsidP="009E06BF">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FCO</w:t>
      </w:r>
      <w:r w:rsidRPr="002F27E0">
        <w:rPr>
          <w:rFonts w:ascii="Arial" w:hAnsi="Arial" w:cs="Arial"/>
          <w:sz w:val="24"/>
          <w:szCs w:val="24"/>
        </w:rPr>
        <w:t xml:space="preserve"> </w:t>
      </w:r>
      <w:r w:rsidR="00373045" w:rsidRPr="002F27E0">
        <w:rPr>
          <w:rFonts w:ascii="Arial" w:hAnsi="Arial" w:cs="Arial"/>
          <w:sz w:val="24"/>
          <w:szCs w:val="24"/>
        </w:rPr>
        <w:t xml:space="preserve">published a refresh of its Open Data Strategy signifying a renewed commitment to Open Data and Transparency from the department. In addition </w:t>
      </w:r>
      <w:r w:rsidR="00373045" w:rsidRPr="002F27E0">
        <w:rPr>
          <w:rFonts w:ascii="Arial" w:hAnsi="Arial" w:cs="Arial"/>
          <w:sz w:val="24"/>
          <w:szCs w:val="24"/>
        </w:rPr>
        <w:lastRenderedPageBreak/>
        <w:t>to identifying areas of data that they intend to release, it commits FCO to better engagement with data users and to release everything in 3* or above as standard.</w:t>
      </w:r>
    </w:p>
    <w:p w:rsidR="00373045" w:rsidRPr="002F27E0" w:rsidRDefault="00373045" w:rsidP="00373045">
      <w:pPr>
        <w:autoSpaceDE w:val="0"/>
        <w:autoSpaceDN w:val="0"/>
        <w:adjustRightInd w:val="0"/>
        <w:spacing w:after="0" w:line="240" w:lineRule="auto"/>
        <w:ind w:left="720"/>
        <w:rPr>
          <w:rFonts w:ascii="Arial" w:hAnsi="Arial" w:cs="Arial"/>
          <w:sz w:val="24"/>
          <w:szCs w:val="24"/>
        </w:rPr>
      </w:pPr>
    </w:p>
    <w:p w:rsidR="002D56B4" w:rsidRPr="002F27E0" w:rsidRDefault="002D56B4" w:rsidP="00E1234C">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HMRC</w:t>
      </w:r>
      <w:r w:rsidR="00F52605" w:rsidRPr="002F27E0">
        <w:rPr>
          <w:rFonts w:ascii="Arial" w:hAnsi="Arial" w:cs="Arial"/>
          <w:b/>
          <w:sz w:val="24"/>
          <w:szCs w:val="24"/>
        </w:rPr>
        <w:t>’s</w:t>
      </w:r>
      <w:r w:rsidR="00F52605" w:rsidRPr="002F27E0">
        <w:rPr>
          <w:rFonts w:ascii="Arial" w:hAnsi="Arial" w:cs="Arial"/>
          <w:sz w:val="24"/>
          <w:szCs w:val="24"/>
        </w:rPr>
        <w:t xml:space="preserve"> consultation on proposals for the sharing and publication of their data in order to deliver wider public benefits closed on 24 September. </w:t>
      </w:r>
      <w:r w:rsidR="002F27E0" w:rsidRPr="002F27E0">
        <w:rPr>
          <w:rFonts w:ascii="Arial" w:hAnsi="Arial" w:cs="Arial"/>
          <w:sz w:val="24"/>
          <w:szCs w:val="24"/>
        </w:rPr>
        <w:t>At the end of the period, t</w:t>
      </w:r>
      <w:r w:rsidR="00ED1A16">
        <w:rPr>
          <w:rFonts w:ascii="Arial" w:hAnsi="Arial" w:cs="Arial"/>
          <w:sz w:val="24"/>
          <w:szCs w:val="24"/>
        </w:rPr>
        <w:t>he d</w:t>
      </w:r>
      <w:r w:rsidR="00F52605" w:rsidRPr="002F27E0">
        <w:rPr>
          <w:rFonts w:ascii="Arial" w:hAnsi="Arial" w:cs="Arial"/>
          <w:sz w:val="24"/>
          <w:szCs w:val="24"/>
        </w:rPr>
        <w:t xml:space="preserve">epartment </w:t>
      </w:r>
      <w:r w:rsidR="002F27E0" w:rsidRPr="002F27E0">
        <w:rPr>
          <w:rFonts w:ascii="Arial" w:hAnsi="Arial" w:cs="Arial"/>
          <w:sz w:val="24"/>
          <w:szCs w:val="24"/>
        </w:rPr>
        <w:t>was</w:t>
      </w:r>
      <w:r w:rsidR="00F52605" w:rsidRPr="002F27E0">
        <w:rPr>
          <w:rFonts w:ascii="Arial" w:hAnsi="Arial" w:cs="Arial"/>
          <w:sz w:val="24"/>
          <w:szCs w:val="24"/>
        </w:rPr>
        <w:t xml:space="preserve"> analysing the responses.</w:t>
      </w:r>
    </w:p>
    <w:p w:rsidR="002D56B4" w:rsidRPr="002F27E0" w:rsidRDefault="002D56B4" w:rsidP="00AA5598">
      <w:pPr>
        <w:autoSpaceDE w:val="0"/>
        <w:autoSpaceDN w:val="0"/>
        <w:adjustRightInd w:val="0"/>
        <w:spacing w:after="0" w:line="240" w:lineRule="auto"/>
        <w:ind w:left="720"/>
        <w:rPr>
          <w:rFonts w:ascii="Arial" w:hAnsi="Arial" w:cs="Arial"/>
          <w:b/>
          <w:sz w:val="24"/>
          <w:szCs w:val="24"/>
        </w:rPr>
      </w:pPr>
    </w:p>
    <w:p w:rsidR="002D56B4" w:rsidRPr="00452FDD" w:rsidRDefault="003A5D1B" w:rsidP="00564107">
      <w:pPr>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b/>
          <w:sz w:val="24"/>
          <w:szCs w:val="24"/>
        </w:rPr>
        <w:t>HO</w:t>
      </w:r>
      <w:r w:rsidRPr="002F27E0">
        <w:rPr>
          <w:rFonts w:ascii="Arial" w:hAnsi="Arial" w:cs="Arial"/>
          <w:sz w:val="24"/>
          <w:szCs w:val="24"/>
        </w:rPr>
        <w:t xml:space="preserve"> continues to work with the Open Data Instit</w:t>
      </w:r>
      <w:r w:rsidR="00AE473A" w:rsidRPr="002F27E0">
        <w:rPr>
          <w:rFonts w:ascii="Arial" w:hAnsi="Arial" w:cs="Arial"/>
          <w:sz w:val="24"/>
          <w:szCs w:val="24"/>
        </w:rPr>
        <w:t>ute and recently supported the</w:t>
      </w:r>
      <w:r w:rsidRPr="002F27E0">
        <w:rPr>
          <w:rFonts w:ascii="Arial" w:hAnsi="Arial" w:cs="Arial"/>
          <w:sz w:val="24"/>
          <w:szCs w:val="24"/>
        </w:rPr>
        <w:t xml:space="preserve"> ‘Crime and Justice’ strand of the Immers</w:t>
      </w:r>
      <w:r w:rsidR="00AE473A" w:rsidRPr="002F27E0">
        <w:rPr>
          <w:rFonts w:ascii="Arial" w:hAnsi="Arial" w:cs="Arial"/>
          <w:sz w:val="24"/>
          <w:szCs w:val="24"/>
        </w:rPr>
        <w:t>ion Programme. Where possible, they</w:t>
      </w:r>
      <w:r w:rsidRPr="002F27E0">
        <w:rPr>
          <w:rFonts w:ascii="Arial" w:hAnsi="Arial" w:cs="Arial"/>
          <w:sz w:val="24"/>
          <w:szCs w:val="24"/>
        </w:rPr>
        <w:t xml:space="preserve"> will sup</w:t>
      </w:r>
      <w:r w:rsidR="00ED1A16">
        <w:rPr>
          <w:rFonts w:ascii="Arial" w:hAnsi="Arial" w:cs="Arial"/>
          <w:sz w:val="24"/>
          <w:szCs w:val="24"/>
        </w:rPr>
        <w:t>port those</w:t>
      </w:r>
      <w:r w:rsidRPr="002F27E0">
        <w:rPr>
          <w:rFonts w:ascii="Arial" w:hAnsi="Arial" w:cs="Arial"/>
          <w:sz w:val="24"/>
          <w:szCs w:val="24"/>
        </w:rPr>
        <w:t xml:space="preserve"> developers successful in receiving funding from the ODI.</w:t>
      </w:r>
    </w:p>
    <w:p w:rsidR="001A6CC9" w:rsidRPr="002F27E0" w:rsidRDefault="001A6CC9" w:rsidP="00564107">
      <w:pPr>
        <w:autoSpaceDE w:val="0"/>
        <w:autoSpaceDN w:val="0"/>
        <w:adjustRightInd w:val="0"/>
        <w:spacing w:after="0" w:line="240" w:lineRule="auto"/>
        <w:rPr>
          <w:rFonts w:ascii="Arial" w:hAnsi="Arial" w:cs="Arial"/>
          <w:b/>
          <w:sz w:val="24"/>
          <w:szCs w:val="24"/>
        </w:rPr>
      </w:pPr>
    </w:p>
    <w:p w:rsidR="002D56B4" w:rsidRPr="002F27E0" w:rsidRDefault="00536014" w:rsidP="005E3400">
      <w:pPr>
        <w:autoSpaceDE w:val="0"/>
        <w:autoSpaceDN w:val="0"/>
        <w:adjustRightInd w:val="0"/>
        <w:spacing w:after="0" w:line="240" w:lineRule="auto"/>
        <w:outlineLvl w:val="0"/>
        <w:rPr>
          <w:rFonts w:ascii="Arial" w:hAnsi="Arial" w:cs="Arial"/>
          <w:b/>
          <w:sz w:val="24"/>
          <w:szCs w:val="24"/>
        </w:rPr>
      </w:pPr>
      <w:r w:rsidRPr="002F27E0">
        <w:rPr>
          <w:rFonts w:ascii="Arial" w:hAnsi="Arial" w:cs="Arial"/>
          <w:b/>
          <w:sz w:val="24"/>
          <w:szCs w:val="24"/>
        </w:rPr>
        <w:t>Publication of inventories of unpublished datasets</w:t>
      </w:r>
    </w:p>
    <w:p w:rsidR="002D56B4" w:rsidRPr="002F27E0" w:rsidRDefault="002D56B4" w:rsidP="00564107">
      <w:pPr>
        <w:autoSpaceDE w:val="0"/>
        <w:autoSpaceDN w:val="0"/>
        <w:adjustRightInd w:val="0"/>
        <w:spacing w:after="0" w:line="240" w:lineRule="auto"/>
        <w:rPr>
          <w:rFonts w:ascii="Arial" w:hAnsi="Arial" w:cs="Arial"/>
          <w:b/>
          <w:sz w:val="24"/>
          <w:szCs w:val="24"/>
        </w:rPr>
      </w:pPr>
    </w:p>
    <w:p w:rsidR="002D56B4" w:rsidRDefault="006E64FC" w:rsidP="00132FF3">
      <w:pPr>
        <w:pStyle w:val="ListParagraph"/>
        <w:numPr>
          <w:ilvl w:val="0"/>
          <w:numId w:val="3"/>
        </w:numPr>
        <w:autoSpaceDE w:val="0"/>
        <w:autoSpaceDN w:val="0"/>
        <w:adjustRightInd w:val="0"/>
        <w:spacing w:after="0" w:line="240" w:lineRule="auto"/>
        <w:rPr>
          <w:rFonts w:ascii="Arial" w:hAnsi="Arial" w:cs="Arial"/>
          <w:sz w:val="24"/>
          <w:szCs w:val="24"/>
        </w:rPr>
      </w:pPr>
      <w:r w:rsidRPr="002F27E0">
        <w:rPr>
          <w:rFonts w:ascii="Arial" w:hAnsi="Arial" w:cs="Arial"/>
          <w:sz w:val="24"/>
          <w:szCs w:val="24"/>
        </w:rPr>
        <w:t xml:space="preserve">As part of the government response to the Shakespeare Review of Public Sector Information, the government agreed to publish an inventory of all of the datasets that each department, </w:t>
      </w:r>
      <w:r w:rsidR="00CF69CD" w:rsidRPr="002F27E0">
        <w:rPr>
          <w:rFonts w:ascii="Arial" w:hAnsi="Arial" w:cs="Arial"/>
          <w:sz w:val="24"/>
          <w:szCs w:val="24"/>
        </w:rPr>
        <w:t xml:space="preserve">including </w:t>
      </w:r>
      <w:r w:rsidRPr="002F27E0">
        <w:rPr>
          <w:rFonts w:ascii="Arial" w:hAnsi="Arial" w:cs="Arial"/>
          <w:sz w:val="24"/>
          <w:szCs w:val="24"/>
        </w:rPr>
        <w:t>their ALBs and agencies</w:t>
      </w:r>
      <w:r w:rsidR="00CF69CD" w:rsidRPr="002F27E0">
        <w:rPr>
          <w:rFonts w:ascii="Arial" w:hAnsi="Arial" w:cs="Arial"/>
          <w:sz w:val="24"/>
          <w:szCs w:val="24"/>
        </w:rPr>
        <w:t>,</w:t>
      </w:r>
      <w:r w:rsidRPr="002F27E0">
        <w:rPr>
          <w:rFonts w:ascii="Arial" w:hAnsi="Arial" w:cs="Arial"/>
          <w:sz w:val="24"/>
          <w:szCs w:val="24"/>
        </w:rPr>
        <w:t xml:space="preserve"> hold. The first iteration of the inventory of currently unpublished government data was published on data.gov.uk on 2</w:t>
      </w:r>
      <w:r w:rsidR="00ED1A16" w:rsidRPr="00ED1A16">
        <w:rPr>
          <w:rFonts w:ascii="Arial" w:hAnsi="Arial" w:cs="Arial"/>
          <w:sz w:val="24"/>
          <w:szCs w:val="24"/>
          <w:vertAlign w:val="superscript"/>
        </w:rPr>
        <w:t>nd</w:t>
      </w:r>
      <w:r w:rsidR="00ED1A16">
        <w:rPr>
          <w:rFonts w:ascii="Arial" w:hAnsi="Arial" w:cs="Arial"/>
          <w:sz w:val="24"/>
          <w:szCs w:val="24"/>
        </w:rPr>
        <w:t xml:space="preserve"> </w:t>
      </w:r>
      <w:r w:rsidRPr="002F27E0">
        <w:rPr>
          <w:rFonts w:ascii="Arial" w:hAnsi="Arial" w:cs="Arial"/>
          <w:sz w:val="24"/>
          <w:szCs w:val="24"/>
        </w:rPr>
        <w:t xml:space="preserve">September with departments adding to this over the following weeks. By the end of the quarter, departments </w:t>
      </w:r>
      <w:r w:rsidR="00C23B8B">
        <w:rPr>
          <w:rFonts w:ascii="Arial" w:hAnsi="Arial" w:cs="Arial"/>
          <w:sz w:val="24"/>
          <w:szCs w:val="24"/>
        </w:rPr>
        <w:t xml:space="preserve">and their ALBs </w:t>
      </w:r>
      <w:r w:rsidRPr="002F27E0">
        <w:rPr>
          <w:rFonts w:ascii="Arial" w:hAnsi="Arial" w:cs="Arial"/>
          <w:sz w:val="24"/>
          <w:szCs w:val="24"/>
        </w:rPr>
        <w:t>had published the following:</w:t>
      </w:r>
    </w:p>
    <w:tbl>
      <w:tblPr>
        <w:tblpPr w:leftFromText="180" w:rightFromText="180" w:vertAnchor="text" w:horzAnchor="page" w:tblpX="1768" w:tblpY="846"/>
        <w:tblW w:w="6780" w:type="dxa"/>
        <w:tblLook w:val="04A0"/>
      </w:tblPr>
      <w:tblGrid>
        <w:gridCol w:w="2260"/>
        <w:gridCol w:w="2260"/>
        <w:gridCol w:w="2260"/>
      </w:tblGrid>
      <w:tr w:rsidR="00973AD6" w:rsidRPr="002F27E0" w:rsidTr="00973AD6">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b/>
                <w:bCs/>
                <w:color w:val="000000"/>
              </w:rPr>
            </w:pPr>
            <w:r w:rsidRPr="002F27E0">
              <w:rPr>
                <w:rFonts w:ascii="Arial" w:hAnsi="Arial" w:cs="Arial"/>
                <w:b/>
                <w:bCs/>
                <w:color w:val="000000"/>
              </w:rPr>
              <w:t>Department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b/>
                <w:bCs/>
                <w:color w:val="000000"/>
              </w:rPr>
            </w:pPr>
            <w:r w:rsidRPr="002F27E0">
              <w:rPr>
                <w:rFonts w:ascii="Arial" w:hAnsi="Arial" w:cs="Arial"/>
                <w:b/>
                <w:bCs/>
                <w:color w:val="000000"/>
              </w:rPr>
              <w:t>Unpublished datasets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b/>
                <w:bCs/>
                <w:color w:val="000000"/>
              </w:rPr>
            </w:pPr>
            <w:r w:rsidRPr="002F27E0">
              <w:rPr>
                <w:rFonts w:ascii="Arial" w:hAnsi="Arial" w:cs="Arial"/>
                <w:b/>
                <w:bCs/>
                <w:color w:val="000000"/>
              </w:rPr>
              <w:t>Published datasets</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BIS</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358</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1234</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CO</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107</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73</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DCLG</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96</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847</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DECC</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40</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57</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DEFRA</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1211</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825</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DCMS</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68</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169</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proofErr w:type="spellStart"/>
            <w:r w:rsidRPr="002F27E0">
              <w:rPr>
                <w:rFonts w:ascii="Arial" w:hAnsi="Arial" w:cs="Arial"/>
                <w:color w:val="000000"/>
              </w:rPr>
              <w:t>DfiD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54</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21</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proofErr w:type="spellStart"/>
            <w:r w:rsidRPr="002F27E0">
              <w:rPr>
                <w:rFonts w:ascii="Arial" w:hAnsi="Arial" w:cs="Arial"/>
                <w:color w:val="000000"/>
              </w:rPr>
              <w:t>DfE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182</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451</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proofErr w:type="spellStart"/>
            <w:r w:rsidRPr="002F27E0">
              <w:rPr>
                <w:rFonts w:ascii="Arial" w:hAnsi="Arial" w:cs="Arial"/>
                <w:color w:val="000000"/>
              </w:rPr>
              <w:t>DfT</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521</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206</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proofErr w:type="spellStart"/>
            <w:r w:rsidRPr="002F27E0">
              <w:rPr>
                <w:rFonts w:ascii="Arial" w:hAnsi="Arial" w:cs="Arial"/>
                <w:color w:val="000000"/>
              </w:rPr>
              <w:t>DoH</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112</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2503</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DWP</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389</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175</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FCO</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151</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40</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HMRC</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Pr>
                <w:rFonts w:ascii="Arial" w:hAnsi="Arial" w:cs="Arial"/>
                <w:color w:val="000000"/>
              </w:rPr>
              <w:t>197</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77</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HMT</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6</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41</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HO</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Pr>
                <w:rFonts w:ascii="Arial" w:hAnsi="Arial" w:cs="Arial"/>
                <w:color w:val="000000"/>
              </w:rPr>
              <w:t>45</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251</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MOD</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403</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311</w:t>
            </w:r>
          </w:p>
        </w:tc>
      </w:tr>
      <w:tr w:rsidR="00973AD6" w:rsidRPr="002F27E0" w:rsidTr="00973AD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proofErr w:type="spellStart"/>
            <w:r w:rsidRPr="002F27E0">
              <w:rPr>
                <w:rFonts w:ascii="Arial" w:hAnsi="Arial" w:cs="Arial"/>
                <w:color w:val="000000"/>
              </w:rPr>
              <w:t>MoJ</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84</w:t>
            </w:r>
          </w:p>
        </w:tc>
        <w:tc>
          <w:tcPr>
            <w:tcW w:w="2260" w:type="dxa"/>
            <w:tcBorders>
              <w:top w:val="nil"/>
              <w:left w:val="nil"/>
              <w:bottom w:val="single" w:sz="4" w:space="0" w:color="auto"/>
              <w:right w:val="single" w:sz="4" w:space="0" w:color="auto"/>
            </w:tcBorders>
            <w:shd w:val="clear" w:color="auto" w:fill="auto"/>
            <w:noWrap/>
            <w:vAlign w:val="bottom"/>
            <w:hideMark/>
          </w:tcPr>
          <w:p w:rsidR="00973AD6" w:rsidRPr="002F27E0" w:rsidRDefault="00973AD6" w:rsidP="00973AD6">
            <w:pPr>
              <w:spacing w:after="0" w:line="240" w:lineRule="auto"/>
              <w:jc w:val="center"/>
              <w:rPr>
                <w:rFonts w:ascii="Arial" w:hAnsi="Arial" w:cs="Arial"/>
                <w:color w:val="000000"/>
              </w:rPr>
            </w:pPr>
            <w:r w:rsidRPr="002F27E0">
              <w:rPr>
                <w:rFonts w:ascii="Arial" w:hAnsi="Arial" w:cs="Arial"/>
                <w:color w:val="000000"/>
              </w:rPr>
              <w:t>196</w:t>
            </w:r>
          </w:p>
        </w:tc>
      </w:tr>
    </w:tbl>
    <w:p w:rsidR="00CA292A" w:rsidRPr="002F27E0" w:rsidRDefault="00CA292A" w:rsidP="00973AD6">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br w:type="page"/>
      </w:r>
    </w:p>
    <w:p w:rsidR="006E64FC" w:rsidRPr="002F27E0" w:rsidRDefault="006E64FC" w:rsidP="006E64FC">
      <w:pPr>
        <w:pStyle w:val="ListParagraph"/>
        <w:autoSpaceDE w:val="0"/>
        <w:autoSpaceDN w:val="0"/>
        <w:adjustRightInd w:val="0"/>
        <w:spacing w:after="0" w:line="240" w:lineRule="auto"/>
        <w:rPr>
          <w:rFonts w:ascii="Arial" w:hAnsi="Arial" w:cs="Arial"/>
          <w:sz w:val="24"/>
          <w:szCs w:val="24"/>
        </w:rPr>
      </w:pPr>
    </w:p>
    <w:p w:rsidR="006E64FC" w:rsidRPr="002F27E0" w:rsidRDefault="006E64FC" w:rsidP="006E64FC">
      <w:pPr>
        <w:pStyle w:val="ListParagraph"/>
        <w:autoSpaceDE w:val="0"/>
        <w:autoSpaceDN w:val="0"/>
        <w:adjustRightInd w:val="0"/>
        <w:spacing w:after="0" w:line="240" w:lineRule="auto"/>
        <w:ind w:left="0"/>
        <w:rPr>
          <w:rFonts w:ascii="Arial" w:hAnsi="Arial" w:cs="Arial"/>
          <w:sz w:val="24"/>
          <w:szCs w:val="24"/>
        </w:rPr>
      </w:pPr>
    </w:p>
    <w:p w:rsidR="00132FF3" w:rsidRPr="002F27E0" w:rsidRDefault="00132FF3" w:rsidP="00132FF3">
      <w:pPr>
        <w:pStyle w:val="ListParagraph"/>
        <w:autoSpaceDE w:val="0"/>
        <w:autoSpaceDN w:val="0"/>
        <w:adjustRightInd w:val="0"/>
        <w:spacing w:after="0" w:line="240" w:lineRule="auto"/>
        <w:rPr>
          <w:rFonts w:ascii="Arial" w:hAnsi="Arial" w:cs="Arial"/>
          <w:b/>
          <w:sz w:val="24"/>
          <w:szCs w:val="24"/>
        </w:rPr>
      </w:pPr>
    </w:p>
    <w:p w:rsidR="002D56B4" w:rsidRPr="002F27E0" w:rsidRDefault="002D56B4" w:rsidP="005E3400">
      <w:pPr>
        <w:autoSpaceDE w:val="0"/>
        <w:autoSpaceDN w:val="0"/>
        <w:adjustRightInd w:val="0"/>
        <w:spacing w:after="0" w:line="240" w:lineRule="auto"/>
        <w:outlineLvl w:val="0"/>
        <w:rPr>
          <w:rFonts w:ascii="Arial" w:hAnsi="Arial" w:cs="Arial"/>
          <w:b/>
          <w:sz w:val="24"/>
          <w:szCs w:val="24"/>
        </w:rPr>
      </w:pPr>
      <w:r w:rsidRPr="002F27E0">
        <w:rPr>
          <w:rFonts w:ascii="Arial" w:hAnsi="Arial" w:cs="Arial"/>
          <w:b/>
          <w:sz w:val="24"/>
          <w:szCs w:val="24"/>
        </w:rPr>
        <w:t>Open Government Partnership</w:t>
      </w:r>
    </w:p>
    <w:p w:rsidR="002D56B4" w:rsidRPr="002F27E0" w:rsidRDefault="002D56B4" w:rsidP="00564107">
      <w:pPr>
        <w:autoSpaceDE w:val="0"/>
        <w:autoSpaceDN w:val="0"/>
        <w:adjustRightInd w:val="0"/>
        <w:spacing w:after="0" w:line="240" w:lineRule="auto"/>
        <w:rPr>
          <w:rFonts w:ascii="Arial" w:hAnsi="Arial" w:cs="Arial"/>
          <w:b/>
          <w:sz w:val="24"/>
          <w:szCs w:val="24"/>
        </w:rPr>
      </w:pPr>
    </w:p>
    <w:p w:rsidR="00CC56F5" w:rsidRPr="00CC56F5" w:rsidRDefault="00CC56F5" w:rsidP="00CC56F5">
      <w:pPr>
        <w:pStyle w:val="ListParagraph"/>
        <w:numPr>
          <w:ilvl w:val="0"/>
          <w:numId w:val="3"/>
        </w:numPr>
        <w:rPr>
          <w:rFonts w:ascii="Times New Roman" w:hAnsi="Times New Roman"/>
          <w:sz w:val="24"/>
          <w:szCs w:val="24"/>
        </w:rPr>
      </w:pPr>
      <w:r w:rsidRPr="00CC56F5">
        <w:rPr>
          <w:rFonts w:ascii="Arial" w:hAnsi="Arial" w:cs="Arial"/>
          <w:sz w:val="24"/>
          <w:szCs w:val="24"/>
        </w:rPr>
        <w:t>The Cabinet Office Transparency Team was heavily engaged in preparations for the Open Government Partnership (OGP) Annu</w:t>
      </w:r>
      <w:r w:rsidR="00ED1A16">
        <w:rPr>
          <w:rFonts w:ascii="Arial" w:hAnsi="Arial" w:cs="Arial"/>
          <w:sz w:val="24"/>
          <w:szCs w:val="24"/>
        </w:rPr>
        <w:t>al Summit, which was held on 31</w:t>
      </w:r>
      <w:r w:rsidR="00ED1A16" w:rsidRPr="00ED1A16">
        <w:rPr>
          <w:rFonts w:ascii="Arial" w:hAnsi="Arial" w:cs="Arial"/>
          <w:sz w:val="24"/>
          <w:szCs w:val="24"/>
          <w:vertAlign w:val="superscript"/>
        </w:rPr>
        <w:t>st</w:t>
      </w:r>
      <w:r w:rsidR="00ED1A16">
        <w:rPr>
          <w:rFonts w:ascii="Arial" w:hAnsi="Arial" w:cs="Arial"/>
          <w:sz w:val="24"/>
          <w:szCs w:val="24"/>
        </w:rPr>
        <w:t xml:space="preserve"> </w:t>
      </w:r>
      <w:r w:rsidRPr="00CC56F5">
        <w:rPr>
          <w:rFonts w:ascii="Arial" w:hAnsi="Arial" w:cs="Arial"/>
          <w:sz w:val="24"/>
          <w:szCs w:val="24"/>
        </w:rPr>
        <w:t>October and 1</w:t>
      </w:r>
      <w:r w:rsidR="00ED1A16" w:rsidRPr="00ED1A16">
        <w:rPr>
          <w:rFonts w:ascii="Arial" w:hAnsi="Arial" w:cs="Arial"/>
          <w:sz w:val="24"/>
          <w:szCs w:val="24"/>
          <w:vertAlign w:val="superscript"/>
        </w:rPr>
        <w:t>st</w:t>
      </w:r>
      <w:r w:rsidR="00ED1A16">
        <w:rPr>
          <w:rFonts w:ascii="Arial" w:hAnsi="Arial" w:cs="Arial"/>
          <w:sz w:val="24"/>
          <w:szCs w:val="24"/>
        </w:rPr>
        <w:t xml:space="preserve"> </w:t>
      </w:r>
      <w:r w:rsidRPr="00CC56F5">
        <w:rPr>
          <w:rFonts w:ascii="Arial" w:hAnsi="Arial" w:cs="Arial"/>
          <w:sz w:val="24"/>
          <w:szCs w:val="24"/>
        </w:rPr>
        <w:t xml:space="preserve">November. We used this opportunity to lobby countries to make ambitious new commitments to open government, including by adopting the Open Data Charter, which was drafted under the UK’s Presidency of the G8 and agreed by G8 leaders in June. </w:t>
      </w:r>
    </w:p>
    <w:p w:rsidR="00CC56F5" w:rsidRPr="00CC56F5" w:rsidRDefault="00CC56F5" w:rsidP="00CC56F5">
      <w:pPr>
        <w:numPr>
          <w:ilvl w:val="0"/>
          <w:numId w:val="3"/>
        </w:numPr>
        <w:rPr>
          <w:rFonts w:ascii="Arial" w:hAnsi="Arial" w:cs="Arial"/>
          <w:b/>
          <w:sz w:val="24"/>
          <w:szCs w:val="24"/>
        </w:rPr>
      </w:pPr>
      <w:r w:rsidRPr="002F27E0">
        <w:rPr>
          <w:rFonts w:ascii="Arial" w:hAnsi="Arial" w:cs="Arial"/>
          <w:sz w:val="24"/>
          <w:szCs w:val="24"/>
        </w:rPr>
        <w:t>We continued to support engagement between the UK and overseas governments to secure membership of the OGP. The Minister for the Cabinet Office visited Morocco, Tunisia and India during this quarter</w:t>
      </w:r>
      <w:r>
        <w:rPr>
          <w:rFonts w:ascii="Arial" w:hAnsi="Arial" w:cs="Arial"/>
          <w:sz w:val="24"/>
          <w:szCs w:val="24"/>
        </w:rPr>
        <w:t>.</w:t>
      </w:r>
    </w:p>
    <w:p w:rsidR="002D56B4" w:rsidRPr="002F27E0" w:rsidRDefault="002D56B4" w:rsidP="00CC56F5">
      <w:pPr>
        <w:rPr>
          <w:rFonts w:ascii="Arial" w:hAnsi="Arial" w:cs="Arial"/>
          <w:b/>
          <w:sz w:val="24"/>
          <w:szCs w:val="24"/>
        </w:rPr>
      </w:pPr>
      <w:r w:rsidRPr="002F27E0">
        <w:rPr>
          <w:rFonts w:ascii="Arial" w:hAnsi="Arial" w:cs="Arial"/>
          <w:b/>
          <w:sz w:val="24"/>
          <w:szCs w:val="24"/>
        </w:rPr>
        <w:t>Data.gov.uk</w:t>
      </w:r>
    </w:p>
    <w:p w:rsidR="002D56B4" w:rsidRPr="002F27E0" w:rsidRDefault="002D56B4" w:rsidP="008E78F9">
      <w:pPr>
        <w:pStyle w:val="ListParagraph"/>
        <w:numPr>
          <w:ilvl w:val="0"/>
          <w:numId w:val="3"/>
        </w:numPr>
        <w:spacing w:after="0" w:line="240" w:lineRule="auto"/>
        <w:contextualSpacing w:val="0"/>
        <w:rPr>
          <w:rFonts w:ascii="Arial" w:hAnsi="Arial" w:cs="Arial"/>
          <w:b/>
          <w:sz w:val="24"/>
          <w:szCs w:val="24"/>
        </w:rPr>
      </w:pPr>
      <w:r w:rsidRPr="002F27E0">
        <w:rPr>
          <w:rFonts w:ascii="Arial" w:hAnsi="Arial" w:cs="Arial"/>
          <w:sz w:val="24"/>
          <w:szCs w:val="24"/>
        </w:rPr>
        <w:t xml:space="preserve">Data.gov.uk development </w:t>
      </w:r>
      <w:r w:rsidR="00A94BA8" w:rsidRPr="002F27E0">
        <w:rPr>
          <w:rFonts w:ascii="Arial" w:hAnsi="Arial" w:cs="Arial"/>
          <w:sz w:val="24"/>
          <w:szCs w:val="24"/>
        </w:rPr>
        <w:t xml:space="preserve">team </w:t>
      </w:r>
      <w:r w:rsidR="004138FA" w:rsidRPr="002F27E0">
        <w:rPr>
          <w:rFonts w:ascii="Arial" w:hAnsi="Arial" w:cs="Arial"/>
          <w:sz w:val="24"/>
          <w:szCs w:val="24"/>
        </w:rPr>
        <w:t xml:space="preserve">delivered the </w:t>
      </w:r>
      <w:r w:rsidRPr="002F27E0">
        <w:rPr>
          <w:rFonts w:ascii="Arial" w:hAnsi="Arial" w:cs="Arial"/>
          <w:sz w:val="24"/>
          <w:szCs w:val="24"/>
        </w:rPr>
        <w:t>location-based search</w:t>
      </w:r>
      <w:r w:rsidR="00ED1A16">
        <w:rPr>
          <w:rFonts w:ascii="Arial" w:hAnsi="Arial" w:cs="Arial"/>
          <w:sz w:val="24"/>
          <w:szCs w:val="24"/>
        </w:rPr>
        <w:t xml:space="preserve"> tools. These were fully usable </w:t>
      </w:r>
      <w:r w:rsidRPr="002F27E0">
        <w:rPr>
          <w:rFonts w:ascii="Arial" w:hAnsi="Arial" w:cs="Arial"/>
          <w:sz w:val="24"/>
          <w:szCs w:val="24"/>
        </w:rPr>
        <w:t xml:space="preserve">by the end of Q2 2013/14. </w:t>
      </w:r>
    </w:p>
    <w:p w:rsidR="004138FA" w:rsidRPr="002F27E0" w:rsidRDefault="004138FA" w:rsidP="004138FA">
      <w:pPr>
        <w:pStyle w:val="ListParagraph"/>
        <w:spacing w:after="0" w:line="240" w:lineRule="auto"/>
        <w:contextualSpacing w:val="0"/>
        <w:rPr>
          <w:rFonts w:ascii="Arial" w:hAnsi="Arial" w:cs="Arial"/>
          <w:b/>
          <w:sz w:val="24"/>
          <w:szCs w:val="24"/>
        </w:rPr>
      </w:pPr>
    </w:p>
    <w:p w:rsidR="004138FA" w:rsidRPr="002F27E0" w:rsidRDefault="004138FA" w:rsidP="008E78F9">
      <w:pPr>
        <w:pStyle w:val="ListParagraph"/>
        <w:numPr>
          <w:ilvl w:val="0"/>
          <w:numId w:val="3"/>
        </w:numPr>
        <w:spacing w:after="0" w:line="240" w:lineRule="auto"/>
        <w:contextualSpacing w:val="0"/>
        <w:rPr>
          <w:rFonts w:ascii="Arial" w:hAnsi="Arial" w:cs="Arial"/>
          <w:sz w:val="24"/>
          <w:szCs w:val="24"/>
        </w:rPr>
      </w:pPr>
      <w:r w:rsidRPr="002F27E0">
        <w:rPr>
          <w:rFonts w:ascii="Arial" w:hAnsi="Arial" w:cs="Arial"/>
          <w:sz w:val="24"/>
          <w:szCs w:val="24"/>
        </w:rPr>
        <w:t xml:space="preserve">The team also </w:t>
      </w:r>
      <w:r w:rsidR="00A94BA8" w:rsidRPr="002F27E0">
        <w:rPr>
          <w:rFonts w:ascii="Arial" w:hAnsi="Arial" w:cs="Arial"/>
          <w:sz w:val="24"/>
          <w:szCs w:val="24"/>
        </w:rPr>
        <w:t xml:space="preserve">created a feedback form which enables users to provide </w:t>
      </w:r>
      <w:r w:rsidR="00C34C52" w:rsidRPr="002F27E0">
        <w:rPr>
          <w:rFonts w:ascii="Arial" w:hAnsi="Arial" w:cs="Arial"/>
          <w:sz w:val="24"/>
          <w:szCs w:val="24"/>
        </w:rPr>
        <w:t>input</w:t>
      </w:r>
      <w:r w:rsidR="00A94BA8" w:rsidRPr="002F27E0">
        <w:rPr>
          <w:rFonts w:ascii="Arial" w:hAnsi="Arial" w:cs="Arial"/>
          <w:sz w:val="24"/>
          <w:szCs w:val="24"/>
        </w:rPr>
        <w:t xml:space="preserve"> on any of the datasets on data.gov.uk. </w:t>
      </w:r>
      <w:r w:rsidR="00972824" w:rsidRPr="002F27E0">
        <w:rPr>
          <w:rFonts w:ascii="Arial" w:hAnsi="Arial" w:cs="Arial"/>
          <w:sz w:val="24"/>
          <w:szCs w:val="24"/>
        </w:rPr>
        <w:t>This was launched to coincide with the publishing of departments’ dataset inventories on 2</w:t>
      </w:r>
      <w:r w:rsidR="00972824" w:rsidRPr="002F27E0">
        <w:rPr>
          <w:rFonts w:ascii="Arial" w:hAnsi="Arial" w:cs="Arial"/>
          <w:sz w:val="24"/>
          <w:szCs w:val="24"/>
          <w:vertAlign w:val="superscript"/>
        </w:rPr>
        <w:t>nd</w:t>
      </w:r>
      <w:r w:rsidR="00972824" w:rsidRPr="002F27E0">
        <w:rPr>
          <w:rFonts w:ascii="Arial" w:hAnsi="Arial" w:cs="Arial"/>
          <w:sz w:val="24"/>
          <w:szCs w:val="24"/>
        </w:rPr>
        <w:t xml:space="preserve"> of September. Users</w:t>
      </w:r>
      <w:r w:rsidR="00A94BA8" w:rsidRPr="002F27E0">
        <w:rPr>
          <w:rFonts w:ascii="Arial" w:hAnsi="Arial" w:cs="Arial"/>
          <w:sz w:val="24"/>
          <w:szCs w:val="24"/>
        </w:rPr>
        <w:t xml:space="preserve"> can </w:t>
      </w:r>
      <w:r w:rsidR="00972824" w:rsidRPr="002F27E0">
        <w:rPr>
          <w:rFonts w:ascii="Arial" w:hAnsi="Arial" w:cs="Arial"/>
          <w:sz w:val="24"/>
          <w:szCs w:val="24"/>
        </w:rPr>
        <w:t xml:space="preserve">use this to </w:t>
      </w:r>
      <w:r w:rsidR="00A94BA8" w:rsidRPr="002F27E0">
        <w:rPr>
          <w:rFonts w:ascii="Arial" w:hAnsi="Arial" w:cs="Arial"/>
          <w:sz w:val="24"/>
          <w:szCs w:val="24"/>
        </w:rPr>
        <w:t xml:space="preserve">assess the </w:t>
      </w:r>
      <w:proofErr w:type="spellStart"/>
      <w:r w:rsidR="00A94BA8" w:rsidRPr="002F27E0">
        <w:rPr>
          <w:rFonts w:ascii="Arial" w:hAnsi="Arial" w:cs="Arial"/>
          <w:sz w:val="24"/>
          <w:szCs w:val="24"/>
        </w:rPr>
        <w:t>datasets</w:t>
      </w:r>
      <w:r w:rsidR="00972824" w:rsidRPr="002F27E0">
        <w:rPr>
          <w:rFonts w:ascii="Arial" w:hAnsi="Arial" w:cs="Arial"/>
          <w:sz w:val="24"/>
          <w:szCs w:val="24"/>
        </w:rPr>
        <w:t>’</w:t>
      </w:r>
      <w:proofErr w:type="spellEnd"/>
      <w:r w:rsidR="00A94BA8" w:rsidRPr="002F27E0">
        <w:rPr>
          <w:rFonts w:ascii="Arial" w:hAnsi="Arial" w:cs="Arial"/>
          <w:sz w:val="24"/>
          <w:szCs w:val="24"/>
        </w:rPr>
        <w:t xml:space="preserve"> potential impact on the UK government, economy and society and note whether the datasets contain </w:t>
      </w:r>
      <w:r w:rsidR="00E13B18">
        <w:rPr>
          <w:rFonts w:ascii="Arial" w:hAnsi="Arial" w:cs="Arial"/>
          <w:sz w:val="24"/>
          <w:szCs w:val="24"/>
        </w:rPr>
        <w:t>data</w:t>
      </w:r>
      <w:r w:rsidR="00972824" w:rsidRPr="002F27E0">
        <w:rPr>
          <w:rFonts w:ascii="Arial" w:hAnsi="Arial" w:cs="Arial"/>
          <w:sz w:val="24"/>
          <w:szCs w:val="24"/>
        </w:rPr>
        <w:t xml:space="preserve"> which could</w:t>
      </w:r>
      <w:r w:rsidR="00A94BA8" w:rsidRPr="002F27E0">
        <w:rPr>
          <w:rFonts w:ascii="Arial" w:hAnsi="Arial" w:cs="Arial"/>
          <w:sz w:val="24"/>
          <w:szCs w:val="24"/>
        </w:rPr>
        <w:t xml:space="preserve"> potential</w:t>
      </w:r>
      <w:r w:rsidR="00972824" w:rsidRPr="002F27E0">
        <w:rPr>
          <w:rFonts w:ascii="Arial" w:hAnsi="Arial" w:cs="Arial"/>
          <w:sz w:val="24"/>
          <w:szCs w:val="24"/>
        </w:rPr>
        <w:t>ly link to other datasets.</w:t>
      </w:r>
    </w:p>
    <w:p w:rsidR="00972824" w:rsidRPr="002F27E0" w:rsidRDefault="00972824" w:rsidP="00972824">
      <w:pPr>
        <w:pStyle w:val="ListParagraph"/>
        <w:rPr>
          <w:rFonts w:ascii="Arial" w:hAnsi="Arial" w:cs="Arial"/>
          <w:sz w:val="24"/>
          <w:szCs w:val="24"/>
        </w:rPr>
      </w:pPr>
    </w:p>
    <w:p w:rsidR="00972824" w:rsidRPr="002F27E0" w:rsidRDefault="00972824" w:rsidP="008E78F9">
      <w:pPr>
        <w:pStyle w:val="ListParagraph"/>
        <w:numPr>
          <w:ilvl w:val="0"/>
          <w:numId w:val="3"/>
        </w:numPr>
        <w:spacing w:after="0" w:line="240" w:lineRule="auto"/>
        <w:contextualSpacing w:val="0"/>
        <w:rPr>
          <w:rFonts w:ascii="Arial" w:hAnsi="Arial" w:cs="Arial"/>
          <w:sz w:val="24"/>
          <w:szCs w:val="24"/>
        </w:rPr>
      </w:pPr>
      <w:r w:rsidRPr="002F27E0">
        <w:rPr>
          <w:rFonts w:ascii="Arial" w:hAnsi="Arial" w:cs="Arial"/>
          <w:sz w:val="24"/>
          <w:szCs w:val="24"/>
        </w:rPr>
        <w:t>The team also continued to work on the migration to the new site platform which was launched to coincide with the Open Government Partnership Conference on 31</w:t>
      </w:r>
      <w:r w:rsidRPr="002F27E0">
        <w:rPr>
          <w:rFonts w:ascii="Arial" w:hAnsi="Arial" w:cs="Arial"/>
          <w:sz w:val="24"/>
          <w:szCs w:val="24"/>
          <w:vertAlign w:val="superscript"/>
        </w:rPr>
        <w:t>st</w:t>
      </w:r>
      <w:r w:rsidRPr="002F27E0">
        <w:rPr>
          <w:rFonts w:ascii="Arial" w:hAnsi="Arial" w:cs="Arial"/>
          <w:sz w:val="24"/>
          <w:szCs w:val="24"/>
        </w:rPr>
        <w:t xml:space="preserve"> October 2013. </w:t>
      </w:r>
    </w:p>
    <w:p w:rsidR="002D56B4" w:rsidRPr="002F27E0" w:rsidRDefault="002D56B4" w:rsidP="00C479B5">
      <w:pPr>
        <w:pStyle w:val="ListParagraph"/>
        <w:spacing w:after="0" w:line="240" w:lineRule="auto"/>
        <w:ind w:left="0"/>
        <w:contextualSpacing w:val="0"/>
        <w:rPr>
          <w:rFonts w:ascii="Arial" w:hAnsi="Arial" w:cs="Arial"/>
          <w:sz w:val="24"/>
          <w:szCs w:val="24"/>
        </w:rPr>
      </w:pPr>
    </w:p>
    <w:p w:rsidR="002D56B4" w:rsidRPr="002F27E0" w:rsidRDefault="002D56B4" w:rsidP="005E3400">
      <w:pPr>
        <w:pStyle w:val="ListParagraph"/>
        <w:spacing w:after="0" w:line="240" w:lineRule="auto"/>
        <w:ind w:left="0"/>
        <w:contextualSpacing w:val="0"/>
        <w:outlineLvl w:val="0"/>
        <w:rPr>
          <w:rFonts w:ascii="Arial" w:hAnsi="Arial" w:cs="Arial"/>
          <w:b/>
        </w:rPr>
      </w:pPr>
      <w:bookmarkStart w:id="4" w:name="_GoBack"/>
      <w:bookmarkEnd w:id="4"/>
      <w:r w:rsidRPr="002F27E0">
        <w:rPr>
          <w:rFonts w:ascii="Arial" w:hAnsi="Arial" w:cs="Arial"/>
          <w:b/>
          <w:color w:val="000000"/>
          <w:sz w:val="24"/>
          <w:szCs w:val="24"/>
        </w:rPr>
        <w:br w:type="page"/>
      </w:r>
      <w:proofErr w:type="gramStart"/>
      <w:r w:rsidR="00C1422D" w:rsidRPr="002F27E0">
        <w:rPr>
          <w:rFonts w:ascii="Arial" w:hAnsi="Arial" w:cs="Arial"/>
          <w:b/>
        </w:rPr>
        <w:lastRenderedPageBreak/>
        <w:t>d</w:t>
      </w:r>
      <w:r w:rsidRPr="002F27E0">
        <w:rPr>
          <w:rFonts w:ascii="Arial" w:hAnsi="Arial" w:cs="Arial"/>
          <w:b/>
        </w:rPr>
        <w:t>ata.gov.uk</w:t>
      </w:r>
      <w:proofErr w:type="gramEnd"/>
      <w:r w:rsidRPr="002F27E0">
        <w:rPr>
          <w:rFonts w:ascii="Arial" w:hAnsi="Arial" w:cs="Arial"/>
          <w:b/>
        </w:rPr>
        <w:t xml:space="preserve"> Analysis</w:t>
      </w:r>
    </w:p>
    <w:p w:rsidR="002D56B4" w:rsidRPr="002F27E0" w:rsidRDefault="002D56B4" w:rsidP="00564107">
      <w:pPr>
        <w:autoSpaceDE w:val="0"/>
        <w:autoSpaceDN w:val="0"/>
        <w:adjustRightInd w:val="0"/>
        <w:spacing w:after="0" w:line="240" w:lineRule="auto"/>
        <w:rPr>
          <w:rFonts w:ascii="Arial" w:hAnsi="Arial" w:cs="Arial"/>
          <w:b/>
          <w:color w:val="000000"/>
          <w:sz w:val="24"/>
          <w:szCs w:val="24"/>
        </w:rPr>
      </w:pPr>
    </w:p>
    <w:tbl>
      <w:tblPr>
        <w:tblW w:w="5400" w:type="dxa"/>
        <w:tblInd w:w="91" w:type="dxa"/>
        <w:tblLook w:val="04A0"/>
      </w:tblPr>
      <w:tblGrid>
        <w:gridCol w:w="2700"/>
        <w:gridCol w:w="2700"/>
      </w:tblGrid>
      <w:tr w:rsidR="00C1422D" w:rsidRPr="002F27E0" w:rsidTr="00C1422D">
        <w:trPr>
          <w:trHeight w:val="300"/>
        </w:trPr>
        <w:tc>
          <w:tcPr>
            <w:tcW w:w="5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1422D" w:rsidRPr="002F27E0" w:rsidRDefault="00C1422D" w:rsidP="00C1422D">
            <w:pPr>
              <w:spacing w:after="0" w:line="240" w:lineRule="auto"/>
              <w:jc w:val="center"/>
              <w:rPr>
                <w:rFonts w:ascii="Arial" w:hAnsi="Arial" w:cs="Arial"/>
                <w:b/>
                <w:bCs/>
                <w:color w:val="000000"/>
              </w:rPr>
            </w:pPr>
            <w:r w:rsidRPr="002F27E0">
              <w:rPr>
                <w:rFonts w:ascii="Arial" w:hAnsi="Arial" w:cs="Arial"/>
                <w:b/>
                <w:bCs/>
                <w:color w:val="000000"/>
              </w:rPr>
              <w:t>Site Usage for Q2 2013/14</w:t>
            </w:r>
          </w:p>
        </w:tc>
      </w:tr>
      <w:tr w:rsidR="00C1422D" w:rsidRPr="002F27E0" w:rsidTr="00C1422D">
        <w:trPr>
          <w:trHeight w:val="300"/>
        </w:trPr>
        <w:tc>
          <w:tcPr>
            <w:tcW w:w="2700" w:type="dxa"/>
            <w:tcBorders>
              <w:top w:val="nil"/>
              <w:left w:val="single" w:sz="4" w:space="0" w:color="auto"/>
              <w:bottom w:val="single" w:sz="4" w:space="0" w:color="auto"/>
              <w:right w:val="single" w:sz="4" w:space="0" w:color="auto"/>
            </w:tcBorders>
            <w:shd w:val="clear" w:color="000000" w:fill="FFFFFF"/>
            <w:hideMark/>
          </w:tcPr>
          <w:p w:rsidR="00C1422D" w:rsidRPr="002F27E0" w:rsidRDefault="00C1422D" w:rsidP="00C1422D">
            <w:pPr>
              <w:spacing w:after="0" w:line="240" w:lineRule="auto"/>
              <w:rPr>
                <w:rFonts w:ascii="Arial" w:hAnsi="Arial" w:cs="Arial"/>
                <w:color w:val="333333"/>
              </w:rPr>
            </w:pPr>
            <w:r w:rsidRPr="002F27E0">
              <w:rPr>
                <w:rFonts w:ascii="Arial" w:hAnsi="Arial" w:cs="Arial"/>
                <w:color w:val="333333"/>
              </w:rPr>
              <w:t>Total page views</w:t>
            </w:r>
          </w:p>
        </w:tc>
        <w:tc>
          <w:tcPr>
            <w:tcW w:w="2700" w:type="dxa"/>
            <w:tcBorders>
              <w:top w:val="nil"/>
              <w:left w:val="nil"/>
              <w:bottom w:val="single" w:sz="4" w:space="0" w:color="auto"/>
              <w:right w:val="single" w:sz="4" w:space="0" w:color="auto"/>
            </w:tcBorders>
            <w:shd w:val="clear" w:color="000000" w:fill="FFFFFF"/>
            <w:noWrap/>
            <w:vAlign w:val="bottom"/>
            <w:hideMark/>
          </w:tcPr>
          <w:p w:rsidR="00C1422D" w:rsidRPr="002F27E0" w:rsidRDefault="00C1422D" w:rsidP="00C1422D">
            <w:pPr>
              <w:spacing w:after="0" w:line="240" w:lineRule="auto"/>
              <w:rPr>
                <w:rFonts w:ascii="Arial" w:hAnsi="Arial" w:cs="Arial"/>
                <w:color w:val="000000"/>
              </w:rPr>
            </w:pPr>
            <w:r w:rsidRPr="002F27E0">
              <w:rPr>
                <w:rFonts w:ascii="Arial" w:hAnsi="Arial" w:cs="Arial"/>
                <w:color w:val="000000"/>
              </w:rPr>
              <w:t>1399435</w:t>
            </w:r>
          </w:p>
        </w:tc>
      </w:tr>
      <w:tr w:rsidR="00C1422D" w:rsidRPr="002F27E0" w:rsidTr="00C1422D">
        <w:trPr>
          <w:trHeight w:val="300"/>
        </w:trPr>
        <w:tc>
          <w:tcPr>
            <w:tcW w:w="2700" w:type="dxa"/>
            <w:tcBorders>
              <w:top w:val="nil"/>
              <w:left w:val="single" w:sz="4" w:space="0" w:color="auto"/>
              <w:bottom w:val="single" w:sz="4" w:space="0" w:color="auto"/>
              <w:right w:val="single" w:sz="4" w:space="0" w:color="auto"/>
            </w:tcBorders>
            <w:shd w:val="clear" w:color="000000" w:fill="F9F9F9"/>
            <w:hideMark/>
          </w:tcPr>
          <w:p w:rsidR="00C1422D" w:rsidRPr="002F27E0" w:rsidRDefault="00C1422D" w:rsidP="00C1422D">
            <w:pPr>
              <w:spacing w:after="0" w:line="240" w:lineRule="auto"/>
              <w:rPr>
                <w:rFonts w:ascii="Arial" w:hAnsi="Arial" w:cs="Arial"/>
                <w:color w:val="333333"/>
              </w:rPr>
            </w:pPr>
            <w:r w:rsidRPr="002F27E0">
              <w:rPr>
                <w:rFonts w:ascii="Arial" w:hAnsi="Arial" w:cs="Arial"/>
                <w:color w:val="333333"/>
              </w:rPr>
              <w:t>Total visits</w:t>
            </w:r>
          </w:p>
        </w:tc>
        <w:tc>
          <w:tcPr>
            <w:tcW w:w="2700" w:type="dxa"/>
            <w:tcBorders>
              <w:top w:val="nil"/>
              <w:left w:val="nil"/>
              <w:bottom w:val="single" w:sz="4" w:space="0" w:color="auto"/>
              <w:right w:val="single" w:sz="4" w:space="0" w:color="auto"/>
            </w:tcBorders>
            <w:shd w:val="clear" w:color="000000" w:fill="FFFFFF"/>
            <w:noWrap/>
            <w:vAlign w:val="bottom"/>
            <w:hideMark/>
          </w:tcPr>
          <w:p w:rsidR="00C1422D" w:rsidRPr="002F27E0" w:rsidRDefault="00C1422D" w:rsidP="00C1422D">
            <w:pPr>
              <w:spacing w:after="0" w:line="240" w:lineRule="auto"/>
              <w:rPr>
                <w:rFonts w:ascii="Arial" w:hAnsi="Arial" w:cs="Arial"/>
                <w:color w:val="000000"/>
              </w:rPr>
            </w:pPr>
            <w:r w:rsidRPr="002F27E0">
              <w:rPr>
                <w:rFonts w:ascii="Arial" w:hAnsi="Arial" w:cs="Arial"/>
                <w:color w:val="000000"/>
              </w:rPr>
              <w:t>446470</w:t>
            </w:r>
          </w:p>
        </w:tc>
      </w:tr>
      <w:tr w:rsidR="00C1422D" w:rsidRPr="002F27E0" w:rsidTr="00C1422D">
        <w:trPr>
          <w:trHeight w:val="300"/>
        </w:trPr>
        <w:tc>
          <w:tcPr>
            <w:tcW w:w="2700" w:type="dxa"/>
            <w:tcBorders>
              <w:top w:val="nil"/>
              <w:left w:val="single" w:sz="4" w:space="0" w:color="auto"/>
              <w:bottom w:val="single" w:sz="4" w:space="0" w:color="auto"/>
              <w:right w:val="single" w:sz="4" w:space="0" w:color="auto"/>
            </w:tcBorders>
            <w:shd w:val="clear" w:color="000000" w:fill="FFFFFF"/>
            <w:hideMark/>
          </w:tcPr>
          <w:p w:rsidR="00C1422D" w:rsidRPr="002F27E0" w:rsidRDefault="00C1422D" w:rsidP="00C1422D">
            <w:pPr>
              <w:spacing w:after="0" w:line="240" w:lineRule="auto"/>
              <w:rPr>
                <w:rFonts w:ascii="Arial" w:hAnsi="Arial" w:cs="Arial"/>
                <w:color w:val="333333"/>
              </w:rPr>
            </w:pPr>
            <w:r w:rsidRPr="002F27E0">
              <w:rPr>
                <w:rFonts w:ascii="Arial" w:hAnsi="Arial" w:cs="Arial"/>
                <w:color w:val="333333"/>
              </w:rPr>
              <w:t>Pages per visit</w:t>
            </w:r>
          </w:p>
        </w:tc>
        <w:tc>
          <w:tcPr>
            <w:tcW w:w="2700" w:type="dxa"/>
            <w:tcBorders>
              <w:top w:val="nil"/>
              <w:left w:val="nil"/>
              <w:bottom w:val="single" w:sz="4" w:space="0" w:color="auto"/>
              <w:right w:val="single" w:sz="4" w:space="0" w:color="auto"/>
            </w:tcBorders>
            <w:shd w:val="clear" w:color="auto" w:fill="auto"/>
            <w:noWrap/>
            <w:vAlign w:val="bottom"/>
            <w:hideMark/>
          </w:tcPr>
          <w:p w:rsidR="00C1422D" w:rsidRPr="002F27E0" w:rsidRDefault="00C1422D" w:rsidP="00C1422D">
            <w:pPr>
              <w:spacing w:after="0" w:line="240" w:lineRule="auto"/>
              <w:rPr>
                <w:rFonts w:ascii="Arial" w:hAnsi="Arial" w:cs="Arial"/>
                <w:color w:val="000000"/>
              </w:rPr>
            </w:pPr>
            <w:r w:rsidRPr="002F27E0">
              <w:rPr>
                <w:rFonts w:ascii="Arial" w:hAnsi="Arial" w:cs="Arial"/>
                <w:color w:val="000000"/>
              </w:rPr>
              <w:t>3.13</w:t>
            </w:r>
          </w:p>
        </w:tc>
      </w:tr>
      <w:tr w:rsidR="00C1422D" w:rsidRPr="002F27E0" w:rsidTr="00C1422D">
        <w:trPr>
          <w:trHeight w:val="300"/>
        </w:trPr>
        <w:tc>
          <w:tcPr>
            <w:tcW w:w="2700" w:type="dxa"/>
            <w:tcBorders>
              <w:top w:val="nil"/>
              <w:left w:val="single" w:sz="4" w:space="0" w:color="auto"/>
              <w:bottom w:val="single" w:sz="4" w:space="0" w:color="auto"/>
              <w:right w:val="single" w:sz="4" w:space="0" w:color="auto"/>
            </w:tcBorders>
            <w:shd w:val="clear" w:color="000000" w:fill="F9F9F9"/>
            <w:hideMark/>
          </w:tcPr>
          <w:p w:rsidR="00C1422D" w:rsidRPr="002F27E0" w:rsidRDefault="00C1422D" w:rsidP="00C1422D">
            <w:pPr>
              <w:spacing w:after="0" w:line="240" w:lineRule="auto"/>
              <w:rPr>
                <w:rFonts w:ascii="Arial" w:hAnsi="Arial" w:cs="Arial"/>
                <w:color w:val="333333"/>
              </w:rPr>
            </w:pPr>
            <w:r w:rsidRPr="002F27E0">
              <w:rPr>
                <w:rFonts w:ascii="Arial" w:hAnsi="Arial" w:cs="Arial"/>
                <w:color w:val="333333"/>
              </w:rPr>
              <w:t>Average time on site</w:t>
            </w:r>
          </w:p>
        </w:tc>
        <w:tc>
          <w:tcPr>
            <w:tcW w:w="2700" w:type="dxa"/>
            <w:tcBorders>
              <w:top w:val="nil"/>
              <w:left w:val="nil"/>
              <w:bottom w:val="single" w:sz="4" w:space="0" w:color="auto"/>
              <w:right w:val="single" w:sz="4" w:space="0" w:color="auto"/>
            </w:tcBorders>
            <w:shd w:val="clear" w:color="auto" w:fill="auto"/>
            <w:noWrap/>
            <w:vAlign w:val="bottom"/>
            <w:hideMark/>
          </w:tcPr>
          <w:p w:rsidR="00C1422D" w:rsidRPr="002F27E0" w:rsidRDefault="00C1422D" w:rsidP="00C1422D">
            <w:pPr>
              <w:spacing w:after="0" w:line="240" w:lineRule="auto"/>
              <w:rPr>
                <w:rFonts w:ascii="Arial" w:hAnsi="Arial" w:cs="Arial"/>
                <w:color w:val="000000"/>
              </w:rPr>
            </w:pPr>
            <w:r w:rsidRPr="002F27E0">
              <w:rPr>
                <w:rFonts w:ascii="Arial" w:hAnsi="Arial" w:cs="Arial"/>
                <w:color w:val="000000"/>
              </w:rPr>
              <w:t xml:space="preserve">2 </w:t>
            </w:r>
            <w:proofErr w:type="spellStart"/>
            <w:r w:rsidRPr="002F27E0">
              <w:rPr>
                <w:rFonts w:ascii="Arial" w:hAnsi="Arial" w:cs="Arial"/>
                <w:color w:val="000000"/>
              </w:rPr>
              <w:t>mins</w:t>
            </w:r>
            <w:proofErr w:type="spellEnd"/>
            <w:r w:rsidRPr="002F27E0">
              <w:rPr>
                <w:rFonts w:ascii="Arial" w:hAnsi="Arial" w:cs="Arial"/>
                <w:color w:val="000000"/>
              </w:rPr>
              <w:t xml:space="preserve"> 19 </w:t>
            </w:r>
            <w:proofErr w:type="spellStart"/>
            <w:r w:rsidRPr="002F27E0">
              <w:rPr>
                <w:rFonts w:ascii="Arial" w:hAnsi="Arial" w:cs="Arial"/>
                <w:color w:val="000000"/>
              </w:rPr>
              <w:t>secs</w:t>
            </w:r>
            <w:proofErr w:type="spellEnd"/>
          </w:p>
        </w:tc>
      </w:tr>
      <w:tr w:rsidR="00C1422D" w:rsidRPr="002F27E0" w:rsidTr="00C1422D">
        <w:trPr>
          <w:trHeight w:val="300"/>
        </w:trPr>
        <w:tc>
          <w:tcPr>
            <w:tcW w:w="2700" w:type="dxa"/>
            <w:tcBorders>
              <w:top w:val="nil"/>
              <w:left w:val="single" w:sz="4" w:space="0" w:color="auto"/>
              <w:bottom w:val="single" w:sz="4" w:space="0" w:color="auto"/>
              <w:right w:val="single" w:sz="4" w:space="0" w:color="auto"/>
            </w:tcBorders>
            <w:shd w:val="clear" w:color="000000" w:fill="FFFFFF"/>
            <w:hideMark/>
          </w:tcPr>
          <w:p w:rsidR="00C1422D" w:rsidRPr="002F27E0" w:rsidRDefault="00C1422D" w:rsidP="00C1422D">
            <w:pPr>
              <w:spacing w:after="0" w:line="240" w:lineRule="auto"/>
              <w:rPr>
                <w:rFonts w:ascii="Arial" w:hAnsi="Arial" w:cs="Arial"/>
                <w:color w:val="333333"/>
              </w:rPr>
            </w:pPr>
            <w:r w:rsidRPr="002F27E0">
              <w:rPr>
                <w:rFonts w:ascii="Arial" w:hAnsi="Arial" w:cs="Arial"/>
                <w:color w:val="333333"/>
              </w:rPr>
              <w:t>Bounce rate (home page)</w:t>
            </w:r>
          </w:p>
        </w:tc>
        <w:tc>
          <w:tcPr>
            <w:tcW w:w="2700" w:type="dxa"/>
            <w:tcBorders>
              <w:top w:val="nil"/>
              <w:left w:val="nil"/>
              <w:bottom w:val="single" w:sz="4" w:space="0" w:color="auto"/>
              <w:right w:val="single" w:sz="4" w:space="0" w:color="auto"/>
            </w:tcBorders>
            <w:shd w:val="clear" w:color="auto" w:fill="auto"/>
            <w:noWrap/>
            <w:vAlign w:val="bottom"/>
            <w:hideMark/>
          </w:tcPr>
          <w:p w:rsidR="00C1422D" w:rsidRPr="002F27E0" w:rsidRDefault="00C1422D" w:rsidP="00C1422D">
            <w:pPr>
              <w:spacing w:after="0" w:line="240" w:lineRule="auto"/>
              <w:rPr>
                <w:rFonts w:ascii="Arial" w:hAnsi="Arial" w:cs="Arial"/>
                <w:color w:val="000000"/>
              </w:rPr>
            </w:pPr>
            <w:r w:rsidRPr="002F27E0">
              <w:rPr>
                <w:rFonts w:ascii="Arial" w:hAnsi="Arial" w:cs="Arial"/>
                <w:color w:val="000000"/>
              </w:rPr>
              <w:t>35.74%</w:t>
            </w:r>
          </w:p>
        </w:tc>
      </w:tr>
      <w:tr w:rsidR="00C1422D" w:rsidRPr="002F27E0" w:rsidTr="00C1422D">
        <w:trPr>
          <w:trHeight w:val="300"/>
        </w:trPr>
        <w:tc>
          <w:tcPr>
            <w:tcW w:w="2700" w:type="dxa"/>
            <w:tcBorders>
              <w:top w:val="nil"/>
              <w:left w:val="single" w:sz="4" w:space="0" w:color="auto"/>
              <w:bottom w:val="single" w:sz="4" w:space="0" w:color="auto"/>
              <w:right w:val="single" w:sz="4" w:space="0" w:color="auto"/>
            </w:tcBorders>
            <w:shd w:val="clear" w:color="000000" w:fill="F9F9F9"/>
            <w:hideMark/>
          </w:tcPr>
          <w:p w:rsidR="00C1422D" w:rsidRPr="002F27E0" w:rsidRDefault="00C1422D" w:rsidP="00C1422D">
            <w:pPr>
              <w:spacing w:after="0" w:line="240" w:lineRule="auto"/>
              <w:rPr>
                <w:rFonts w:ascii="Arial" w:hAnsi="Arial" w:cs="Arial"/>
                <w:color w:val="333333"/>
              </w:rPr>
            </w:pPr>
            <w:r w:rsidRPr="002F27E0">
              <w:rPr>
                <w:rFonts w:ascii="Arial" w:hAnsi="Arial" w:cs="Arial"/>
                <w:color w:val="333333"/>
              </w:rPr>
              <w:t>New visits</w:t>
            </w:r>
          </w:p>
        </w:tc>
        <w:tc>
          <w:tcPr>
            <w:tcW w:w="2700" w:type="dxa"/>
            <w:tcBorders>
              <w:top w:val="nil"/>
              <w:left w:val="nil"/>
              <w:bottom w:val="single" w:sz="4" w:space="0" w:color="auto"/>
              <w:right w:val="single" w:sz="4" w:space="0" w:color="auto"/>
            </w:tcBorders>
            <w:shd w:val="clear" w:color="auto" w:fill="auto"/>
            <w:noWrap/>
            <w:vAlign w:val="bottom"/>
            <w:hideMark/>
          </w:tcPr>
          <w:p w:rsidR="00C1422D" w:rsidRPr="002F27E0" w:rsidRDefault="00C1422D" w:rsidP="00C1422D">
            <w:pPr>
              <w:spacing w:after="0" w:line="240" w:lineRule="auto"/>
              <w:rPr>
                <w:rFonts w:ascii="Arial" w:hAnsi="Arial" w:cs="Arial"/>
                <w:color w:val="000000"/>
              </w:rPr>
            </w:pPr>
            <w:r w:rsidRPr="002F27E0">
              <w:rPr>
                <w:rFonts w:ascii="Arial" w:hAnsi="Arial" w:cs="Arial"/>
                <w:color w:val="000000"/>
              </w:rPr>
              <w:t>74.00%</w:t>
            </w:r>
          </w:p>
        </w:tc>
      </w:tr>
    </w:tbl>
    <w:p w:rsidR="002D56B4" w:rsidRPr="002F27E0" w:rsidRDefault="002D56B4" w:rsidP="00564107">
      <w:pPr>
        <w:autoSpaceDE w:val="0"/>
        <w:autoSpaceDN w:val="0"/>
        <w:adjustRightInd w:val="0"/>
        <w:spacing w:after="0" w:line="240" w:lineRule="auto"/>
        <w:rPr>
          <w:rFonts w:ascii="Arial" w:hAnsi="Arial" w:cs="Arial"/>
          <w:b/>
          <w:color w:val="000000"/>
          <w:sz w:val="24"/>
          <w:szCs w:val="24"/>
        </w:rPr>
      </w:pPr>
    </w:p>
    <w:p w:rsidR="002D56B4" w:rsidRPr="002F27E0" w:rsidRDefault="002D56B4" w:rsidP="005E3400">
      <w:pPr>
        <w:pStyle w:val="ListParagraph"/>
        <w:spacing w:after="0" w:line="240" w:lineRule="auto"/>
        <w:ind w:left="0"/>
        <w:contextualSpacing w:val="0"/>
        <w:jc w:val="center"/>
        <w:outlineLvl w:val="0"/>
        <w:rPr>
          <w:rFonts w:ascii="Arial" w:hAnsi="Arial" w:cs="Arial"/>
          <w:b/>
          <w:noProof/>
        </w:rPr>
      </w:pPr>
    </w:p>
    <w:tbl>
      <w:tblPr>
        <w:tblW w:w="7400" w:type="dxa"/>
        <w:tblInd w:w="91" w:type="dxa"/>
        <w:tblLook w:val="04A0"/>
      </w:tblPr>
      <w:tblGrid>
        <w:gridCol w:w="2672"/>
        <w:gridCol w:w="1119"/>
        <w:gridCol w:w="974"/>
        <w:gridCol w:w="1354"/>
        <w:gridCol w:w="1281"/>
      </w:tblGrid>
      <w:tr w:rsidR="00C1422D" w:rsidRPr="002F27E0" w:rsidTr="00C1422D">
        <w:trPr>
          <w:trHeight w:val="300"/>
        </w:trPr>
        <w:tc>
          <w:tcPr>
            <w:tcW w:w="740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1422D" w:rsidRPr="002F27E0" w:rsidRDefault="00C1422D" w:rsidP="00C1422D">
            <w:pPr>
              <w:spacing w:after="0" w:line="240" w:lineRule="auto"/>
              <w:jc w:val="center"/>
              <w:rPr>
                <w:rFonts w:ascii="Arial" w:hAnsi="Arial" w:cs="Arial"/>
                <w:b/>
                <w:color w:val="000000"/>
              </w:rPr>
            </w:pPr>
            <w:r w:rsidRPr="002F27E0">
              <w:rPr>
                <w:rFonts w:ascii="Arial" w:hAnsi="Arial" w:cs="Arial"/>
                <w:b/>
                <w:color w:val="000000"/>
              </w:rPr>
              <w:t>Most popular datasets during Q2 2013/14</w:t>
            </w:r>
          </w:p>
        </w:tc>
      </w:tr>
      <w:tr w:rsidR="00C1422D" w:rsidRPr="002F27E0" w:rsidTr="00C1422D">
        <w:trPr>
          <w:trHeight w:val="600"/>
        </w:trPr>
        <w:tc>
          <w:tcPr>
            <w:tcW w:w="2760" w:type="dxa"/>
            <w:tcBorders>
              <w:top w:val="nil"/>
              <w:left w:val="single" w:sz="4" w:space="0" w:color="auto"/>
              <w:bottom w:val="single" w:sz="4" w:space="0" w:color="auto"/>
              <w:right w:val="single" w:sz="4" w:space="0" w:color="auto"/>
            </w:tcBorders>
            <w:shd w:val="clear" w:color="auto" w:fill="auto"/>
            <w:vAlign w:val="bottom"/>
            <w:hideMark/>
          </w:tcPr>
          <w:p w:rsidR="00C1422D" w:rsidRPr="002F27E0" w:rsidRDefault="00C1422D" w:rsidP="00C1422D">
            <w:pPr>
              <w:spacing w:after="0" w:line="240" w:lineRule="auto"/>
              <w:rPr>
                <w:rFonts w:ascii="Arial" w:hAnsi="Arial" w:cs="Arial"/>
                <w:b/>
                <w:bCs/>
                <w:color w:val="000000"/>
              </w:rPr>
            </w:pPr>
            <w:r w:rsidRPr="002F27E0">
              <w:rPr>
                <w:rFonts w:ascii="Arial" w:hAnsi="Arial" w:cs="Arial"/>
                <w:b/>
                <w:bCs/>
                <w:color w:val="000000"/>
              </w:rPr>
              <w:t>Dataset</w:t>
            </w:r>
          </w:p>
        </w:tc>
        <w:tc>
          <w:tcPr>
            <w:tcW w:w="1420" w:type="dxa"/>
            <w:tcBorders>
              <w:top w:val="nil"/>
              <w:left w:val="nil"/>
              <w:bottom w:val="single" w:sz="4" w:space="0" w:color="auto"/>
              <w:right w:val="single" w:sz="4" w:space="0" w:color="auto"/>
            </w:tcBorders>
            <w:shd w:val="clear" w:color="auto" w:fill="auto"/>
            <w:vAlign w:val="bottom"/>
            <w:hideMark/>
          </w:tcPr>
          <w:p w:rsidR="00C1422D" w:rsidRPr="002F27E0" w:rsidRDefault="00C1422D" w:rsidP="00C1422D">
            <w:pPr>
              <w:spacing w:after="0" w:line="240" w:lineRule="auto"/>
              <w:rPr>
                <w:rFonts w:ascii="Arial" w:hAnsi="Arial" w:cs="Arial"/>
                <w:b/>
                <w:bCs/>
                <w:color w:val="000000"/>
              </w:rPr>
            </w:pPr>
            <w:r w:rsidRPr="002F27E0">
              <w:rPr>
                <w:rFonts w:ascii="Arial" w:hAnsi="Arial" w:cs="Arial"/>
                <w:b/>
                <w:bCs/>
                <w:color w:val="000000"/>
              </w:rPr>
              <w:t>July</w:t>
            </w:r>
          </w:p>
        </w:tc>
        <w:tc>
          <w:tcPr>
            <w:tcW w:w="760" w:type="dxa"/>
            <w:tcBorders>
              <w:top w:val="nil"/>
              <w:left w:val="nil"/>
              <w:bottom w:val="single" w:sz="4" w:space="0" w:color="auto"/>
              <w:right w:val="single" w:sz="4" w:space="0" w:color="auto"/>
            </w:tcBorders>
            <w:shd w:val="clear" w:color="auto" w:fill="auto"/>
            <w:vAlign w:val="bottom"/>
            <w:hideMark/>
          </w:tcPr>
          <w:p w:rsidR="00C1422D" w:rsidRPr="002F27E0" w:rsidRDefault="00C1422D" w:rsidP="00C1422D">
            <w:pPr>
              <w:spacing w:after="0" w:line="240" w:lineRule="auto"/>
              <w:rPr>
                <w:rFonts w:ascii="Arial" w:hAnsi="Arial" w:cs="Arial"/>
                <w:b/>
                <w:bCs/>
                <w:color w:val="000000"/>
              </w:rPr>
            </w:pPr>
            <w:r w:rsidRPr="002F27E0">
              <w:rPr>
                <w:rFonts w:ascii="Arial" w:hAnsi="Arial" w:cs="Arial"/>
                <w:b/>
                <w:bCs/>
                <w:color w:val="000000"/>
              </w:rPr>
              <w:t>August</w:t>
            </w:r>
          </w:p>
        </w:tc>
        <w:tc>
          <w:tcPr>
            <w:tcW w:w="1140" w:type="dxa"/>
            <w:tcBorders>
              <w:top w:val="nil"/>
              <w:left w:val="nil"/>
              <w:bottom w:val="single" w:sz="4" w:space="0" w:color="auto"/>
              <w:right w:val="single" w:sz="4" w:space="0" w:color="auto"/>
            </w:tcBorders>
            <w:shd w:val="clear" w:color="auto" w:fill="auto"/>
            <w:vAlign w:val="bottom"/>
            <w:hideMark/>
          </w:tcPr>
          <w:p w:rsidR="00C1422D" w:rsidRPr="002F27E0" w:rsidRDefault="00C1422D" w:rsidP="00C1422D">
            <w:pPr>
              <w:spacing w:after="0" w:line="240" w:lineRule="auto"/>
              <w:rPr>
                <w:rFonts w:ascii="Arial" w:hAnsi="Arial" w:cs="Arial"/>
                <w:b/>
                <w:bCs/>
                <w:color w:val="000000"/>
              </w:rPr>
            </w:pPr>
            <w:r w:rsidRPr="002F27E0">
              <w:rPr>
                <w:rFonts w:ascii="Arial" w:hAnsi="Arial" w:cs="Arial"/>
                <w:b/>
                <w:bCs/>
                <w:color w:val="000000"/>
              </w:rPr>
              <w:t>September</w:t>
            </w:r>
          </w:p>
        </w:tc>
        <w:tc>
          <w:tcPr>
            <w:tcW w:w="1320" w:type="dxa"/>
            <w:tcBorders>
              <w:top w:val="nil"/>
              <w:left w:val="nil"/>
              <w:bottom w:val="single" w:sz="4" w:space="0" w:color="auto"/>
              <w:right w:val="single" w:sz="4" w:space="0" w:color="auto"/>
            </w:tcBorders>
            <w:shd w:val="clear" w:color="auto" w:fill="auto"/>
            <w:vAlign w:val="bottom"/>
            <w:hideMark/>
          </w:tcPr>
          <w:p w:rsidR="00C1422D" w:rsidRPr="002F27E0" w:rsidRDefault="00C1422D" w:rsidP="00C1422D">
            <w:pPr>
              <w:spacing w:after="0" w:line="240" w:lineRule="auto"/>
              <w:rPr>
                <w:rFonts w:ascii="Arial" w:hAnsi="Arial" w:cs="Arial"/>
                <w:b/>
                <w:bCs/>
                <w:color w:val="000000"/>
              </w:rPr>
            </w:pPr>
            <w:r w:rsidRPr="002F27E0">
              <w:rPr>
                <w:rFonts w:ascii="Arial" w:hAnsi="Arial" w:cs="Arial"/>
                <w:b/>
                <w:bCs/>
                <w:color w:val="000000"/>
              </w:rPr>
              <w:t>Total for Q2 2013/14</w:t>
            </w:r>
          </w:p>
        </w:tc>
      </w:tr>
      <w:tr w:rsidR="00C1422D" w:rsidRPr="002F27E0" w:rsidTr="00A40092">
        <w:trPr>
          <w:trHeight w:val="6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 xml:space="preserve">Bona </w:t>
            </w:r>
            <w:proofErr w:type="spellStart"/>
            <w:r w:rsidRPr="002F27E0">
              <w:rPr>
                <w:rFonts w:ascii="Arial" w:hAnsi="Arial" w:cs="Arial"/>
                <w:color w:val="000000"/>
              </w:rPr>
              <w:t>Vacantia</w:t>
            </w:r>
            <w:proofErr w:type="spellEnd"/>
            <w:r w:rsidRPr="002F27E0">
              <w:rPr>
                <w:rFonts w:ascii="Arial" w:hAnsi="Arial" w:cs="Arial"/>
                <w:color w:val="000000"/>
              </w:rPr>
              <w:t xml:space="preserve"> Unclaimed Estates and Adverts</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4125</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6755</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2132</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13012</w:t>
            </w:r>
          </w:p>
        </w:tc>
      </w:tr>
      <w:tr w:rsidR="00C1422D" w:rsidRPr="002F27E0" w:rsidTr="00A40092">
        <w:trPr>
          <w:trHeight w:val="6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English Indices of Deprivation 2010</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2502</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2281</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2132</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6915</w:t>
            </w:r>
          </w:p>
        </w:tc>
      </w:tr>
      <w:tr w:rsidR="00C1422D" w:rsidRPr="002F27E0" w:rsidTr="00A40092">
        <w:trPr>
          <w:trHeight w:val="6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Lower Layer Super Output Area (LSOA) boundaries</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2090</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1821</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1523</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5434</w:t>
            </w:r>
          </w:p>
        </w:tc>
      </w:tr>
      <w:tr w:rsidR="00C1422D" w:rsidRPr="002F27E0" w:rsidTr="00A40092">
        <w:trPr>
          <w:trHeight w:val="6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Government construction pipeline</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121</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3698</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415</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4234</w:t>
            </w:r>
          </w:p>
        </w:tc>
      </w:tr>
      <w:tr w:rsidR="00C1422D" w:rsidRPr="002F27E0" w:rsidTr="00A40092">
        <w:trPr>
          <w:trHeight w:val="6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Building Price and Cost Indices</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1307</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1264</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1516</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4087</w:t>
            </w:r>
          </w:p>
        </w:tc>
      </w:tr>
      <w:tr w:rsidR="00C1422D" w:rsidRPr="002F27E0" w:rsidTr="00A40092">
        <w:trPr>
          <w:trHeight w:val="3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Road Safety Data</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689</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2159</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860</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3708</w:t>
            </w:r>
          </w:p>
        </w:tc>
      </w:tr>
      <w:tr w:rsidR="00C1422D" w:rsidRPr="002F27E0" w:rsidTr="00A40092">
        <w:trPr>
          <w:trHeight w:val="3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VAT registered businesses</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1444</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1230</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1002</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3676</w:t>
            </w:r>
          </w:p>
        </w:tc>
      </w:tr>
      <w:tr w:rsidR="00C1422D" w:rsidRPr="002F27E0" w:rsidTr="00A40092">
        <w:trPr>
          <w:trHeight w:val="3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Social Trends</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1045</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775</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1355</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3175</w:t>
            </w:r>
          </w:p>
        </w:tc>
      </w:tr>
      <w:tr w:rsidR="00C1422D" w:rsidRPr="002F27E0" w:rsidTr="00A40092">
        <w:trPr>
          <w:trHeight w:val="6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National Public Transport Access Nodes (</w:t>
            </w:r>
            <w:proofErr w:type="spellStart"/>
            <w:r w:rsidRPr="002F27E0">
              <w:rPr>
                <w:rFonts w:ascii="Arial" w:hAnsi="Arial" w:cs="Arial"/>
                <w:color w:val="000000"/>
              </w:rPr>
              <w:t>NaPTAN</w:t>
            </w:r>
            <w:proofErr w:type="spellEnd"/>
            <w:r w:rsidRPr="002F27E0">
              <w:rPr>
                <w:rFonts w:ascii="Arial" w:hAnsi="Arial" w:cs="Arial"/>
                <w:color w:val="000000"/>
              </w:rPr>
              <w:t>)</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1009</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881</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813</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2703</w:t>
            </w:r>
          </w:p>
        </w:tc>
      </w:tr>
      <w:tr w:rsidR="00C1422D" w:rsidRPr="002F27E0" w:rsidTr="00A40092">
        <w:trPr>
          <w:trHeight w:val="30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Code-Point Open</w:t>
            </w:r>
          </w:p>
        </w:tc>
        <w:tc>
          <w:tcPr>
            <w:tcW w:w="14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1342</w:t>
            </w:r>
          </w:p>
        </w:tc>
        <w:tc>
          <w:tcPr>
            <w:tcW w:w="76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740</w:t>
            </w:r>
          </w:p>
        </w:tc>
        <w:tc>
          <w:tcPr>
            <w:tcW w:w="114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511</w:t>
            </w:r>
          </w:p>
        </w:tc>
        <w:tc>
          <w:tcPr>
            <w:tcW w:w="1320" w:type="dxa"/>
            <w:tcBorders>
              <w:top w:val="nil"/>
              <w:left w:val="nil"/>
              <w:bottom w:val="single" w:sz="4" w:space="0" w:color="auto"/>
              <w:right w:val="single" w:sz="4" w:space="0" w:color="auto"/>
            </w:tcBorders>
            <w:shd w:val="clear" w:color="auto" w:fill="auto"/>
            <w:vAlign w:val="center"/>
            <w:hideMark/>
          </w:tcPr>
          <w:p w:rsidR="00C1422D" w:rsidRPr="002F27E0" w:rsidRDefault="00C1422D" w:rsidP="00A40092">
            <w:pPr>
              <w:spacing w:after="0" w:line="240" w:lineRule="auto"/>
              <w:rPr>
                <w:rFonts w:ascii="Arial" w:hAnsi="Arial" w:cs="Arial"/>
                <w:color w:val="000000"/>
              </w:rPr>
            </w:pPr>
            <w:r w:rsidRPr="002F27E0">
              <w:rPr>
                <w:rFonts w:ascii="Arial" w:hAnsi="Arial" w:cs="Arial"/>
                <w:color w:val="000000"/>
              </w:rPr>
              <w:t>2593</w:t>
            </w:r>
          </w:p>
        </w:tc>
      </w:tr>
    </w:tbl>
    <w:p w:rsidR="002D56B4" w:rsidRPr="002F27E0" w:rsidRDefault="00C1422D" w:rsidP="00564107">
      <w:pPr>
        <w:autoSpaceDE w:val="0"/>
        <w:autoSpaceDN w:val="0"/>
        <w:adjustRightInd w:val="0"/>
        <w:spacing w:after="0" w:line="240" w:lineRule="auto"/>
        <w:rPr>
          <w:rFonts w:ascii="Arial" w:hAnsi="Arial" w:cs="Arial"/>
          <w:b/>
          <w:sz w:val="24"/>
          <w:szCs w:val="24"/>
        </w:rPr>
      </w:pPr>
      <w:r w:rsidRPr="002F27E0">
        <w:rPr>
          <w:rFonts w:ascii="Arial" w:hAnsi="Arial" w:cs="Arial"/>
          <w:b/>
          <w:color w:val="000000"/>
          <w:sz w:val="24"/>
          <w:szCs w:val="24"/>
        </w:rPr>
        <w:t xml:space="preserve"> </w:t>
      </w:r>
      <w:r w:rsidR="002D56B4" w:rsidRPr="002F27E0">
        <w:rPr>
          <w:rFonts w:ascii="Arial" w:hAnsi="Arial" w:cs="Arial"/>
          <w:b/>
          <w:color w:val="000000"/>
          <w:sz w:val="24"/>
          <w:szCs w:val="24"/>
        </w:rPr>
        <w:br w:type="page"/>
      </w:r>
      <w:r w:rsidR="002D56B4" w:rsidRPr="002F27E0">
        <w:rPr>
          <w:rFonts w:ascii="Arial" w:hAnsi="Arial" w:cs="Arial"/>
          <w:b/>
          <w:color w:val="000000"/>
          <w:sz w:val="24"/>
          <w:szCs w:val="24"/>
        </w:rPr>
        <w:lastRenderedPageBreak/>
        <w:t>Annex A</w:t>
      </w:r>
    </w:p>
    <w:p w:rsidR="002D56B4" w:rsidRPr="002F27E0" w:rsidRDefault="002D56B4" w:rsidP="005E3400">
      <w:pPr>
        <w:autoSpaceDE w:val="0"/>
        <w:autoSpaceDN w:val="0"/>
        <w:adjustRightInd w:val="0"/>
        <w:spacing w:after="0" w:line="240" w:lineRule="auto"/>
        <w:outlineLvl w:val="0"/>
        <w:rPr>
          <w:rFonts w:ascii="Arial" w:hAnsi="Arial" w:cs="Arial"/>
          <w:b/>
          <w:color w:val="000000"/>
          <w:sz w:val="24"/>
          <w:szCs w:val="24"/>
        </w:rPr>
      </w:pPr>
      <w:r w:rsidRPr="002F27E0">
        <w:rPr>
          <w:rFonts w:ascii="Arial" w:hAnsi="Arial" w:cs="Arial"/>
          <w:b/>
          <w:color w:val="000000"/>
          <w:sz w:val="24"/>
          <w:szCs w:val="24"/>
        </w:rPr>
        <w:t>Public Data Principles</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sz w:val="24"/>
          <w:szCs w:val="24"/>
        </w:rPr>
        <w:t>Public data policy and practice</w:t>
      </w:r>
      <w:r w:rsidRPr="002F27E0">
        <w:rPr>
          <w:rFonts w:ascii="Arial" w:hAnsi="Arial" w:cs="Arial"/>
          <w:color w:val="000000"/>
          <w:sz w:val="24"/>
          <w:szCs w:val="24"/>
        </w:rPr>
        <w:t xml:space="preserve"> will be clearly driven by the public and businesses that want and use the data, including what data is released when and in what form.</w:t>
      </w:r>
    </w:p>
    <w:p w:rsidR="002D56B4" w:rsidRPr="002F27E0" w:rsidRDefault="002D56B4" w:rsidP="006C08D6">
      <w:pPr>
        <w:autoSpaceDE w:val="0"/>
        <w:autoSpaceDN w:val="0"/>
        <w:adjustRightInd w:val="0"/>
        <w:spacing w:after="0" w:line="240" w:lineRule="auto"/>
        <w:ind w:left="720"/>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will be published in reusable, machine-readable form.</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will be released under the same open licence which enables free reuse, including commercial reuse.</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will be available and easy to find through a single, easy-to-use, online access point (</w:t>
      </w:r>
      <w:r w:rsidRPr="002F27E0">
        <w:rPr>
          <w:rFonts w:ascii="Arial" w:hAnsi="Arial" w:cs="Arial"/>
          <w:color w:val="0000FF"/>
          <w:sz w:val="24"/>
          <w:szCs w:val="24"/>
        </w:rPr>
        <w:t>www.data.gov.uk</w:t>
      </w:r>
      <w:r w:rsidRPr="002F27E0">
        <w:rPr>
          <w:rFonts w:ascii="Arial" w:hAnsi="Arial" w:cs="Arial"/>
          <w:color w:val="000000"/>
          <w:sz w:val="24"/>
          <w:szCs w:val="24"/>
        </w:rPr>
        <w:t>).</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will be published using open standards, and following relevant recommendations of the World Wide Web Consortium (W3C).</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from different departments about the same subject will be published in the same, standard formats and with the same definitions.</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underlying the Government’s own websites will be published in reusable form.</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will be timely and fine-grained.</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Release data quickly, and then work to make sure that it is available in open standard formats, including linked data forms.</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will be freely available to use in any lawful way.</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data will be available without application or registration, and without requiring details of the user.</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bodies should actively encourage the reuse of their public data.</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6C08D6">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bodies should maintain and publish inventories of their data holdings.</w:t>
      </w:r>
    </w:p>
    <w:p w:rsidR="002D56B4" w:rsidRPr="002F27E0" w:rsidRDefault="002D56B4" w:rsidP="006C08D6">
      <w:pPr>
        <w:autoSpaceDE w:val="0"/>
        <w:autoSpaceDN w:val="0"/>
        <w:adjustRightInd w:val="0"/>
        <w:spacing w:after="0" w:line="240" w:lineRule="auto"/>
        <w:rPr>
          <w:rFonts w:ascii="Arial" w:hAnsi="Arial" w:cs="Arial"/>
          <w:color w:val="000000"/>
          <w:sz w:val="24"/>
          <w:szCs w:val="24"/>
        </w:rPr>
      </w:pPr>
    </w:p>
    <w:p w:rsidR="002D56B4" w:rsidRPr="002F27E0" w:rsidRDefault="002D56B4" w:rsidP="00BD2EC9">
      <w:pPr>
        <w:numPr>
          <w:ilvl w:val="0"/>
          <w:numId w:val="6"/>
        </w:numPr>
        <w:autoSpaceDE w:val="0"/>
        <w:autoSpaceDN w:val="0"/>
        <w:adjustRightInd w:val="0"/>
        <w:spacing w:after="0" w:line="240" w:lineRule="auto"/>
        <w:rPr>
          <w:rFonts w:ascii="Arial" w:hAnsi="Arial" w:cs="Arial"/>
          <w:color w:val="000000"/>
          <w:sz w:val="24"/>
          <w:szCs w:val="24"/>
        </w:rPr>
      </w:pPr>
      <w:r w:rsidRPr="002F27E0">
        <w:rPr>
          <w:rFonts w:ascii="Arial" w:hAnsi="Arial" w:cs="Arial"/>
          <w:color w:val="000000"/>
          <w:sz w:val="24"/>
          <w:szCs w:val="24"/>
        </w:rPr>
        <w:t>Public bodies should publish relevant metadata about their datasets and this should be available through a single online access point; and they should publish supporting descriptions of the format provenance and meaning of the data.</w:t>
      </w:r>
    </w:p>
    <w:p w:rsidR="002D56B4" w:rsidRPr="002F27E0" w:rsidRDefault="002D56B4" w:rsidP="005E3400">
      <w:pPr>
        <w:autoSpaceDE w:val="0"/>
        <w:autoSpaceDN w:val="0"/>
        <w:adjustRightInd w:val="0"/>
        <w:spacing w:after="0" w:line="240" w:lineRule="auto"/>
        <w:outlineLvl w:val="0"/>
        <w:rPr>
          <w:rFonts w:ascii="Arial" w:hAnsi="Arial" w:cs="Arial"/>
          <w:color w:val="000000"/>
        </w:rPr>
      </w:pPr>
      <w:r w:rsidRPr="002F27E0">
        <w:rPr>
          <w:rFonts w:ascii="Arial" w:hAnsi="Arial" w:cs="Arial"/>
          <w:color w:val="000000"/>
          <w:sz w:val="24"/>
          <w:szCs w:val="24"/>
        </w:rPr>
        <w:br w:type="page"/>
      </w:r>
      <w:r w:rsidRPr="002F27E0">
        <w:rPr>
          <w:rFonts w:ascii="Arial" w:hAnsi="Arial" w:cs="Arial"/>
          <w:b/>
          <w:color w:val="000000"/>
        </w:rPr>
        <w:lastRenderedPageBreak/>
        <w:t>Annex B</w:t>
      </w:r>
    </w:p>
    <w:p w:rsidR="002D56B4" w:rsidRPr="002F27E0" w:rsidRDefault="002D56B4" w:rsidP="0063144D">
      <w:pPr>
        <w:pStyle w:val="ListParagraph"/>
        <w:autoSpaceDE w:val="0"/>
        <w:autoSpaceDN w:val="0"/>
        <w:adjustRightInd w:val="0"/>
        <w:spacing w:after="0" w:line="240" w:lineRule="auto"/>
        <w:ind w:left="0"/>
        <w:contextualSpacing w:val="0"/>
        <w:rPr>
          <w:rFonts w:ascii="Arial" w:hAnsi="Arial" w:cs="Arial"/>
          <w:b/>
          <w:color w:val="000000"/>
        </w:rPr>
      </w:pPr>
    </w:p>
    <w:p w:rsidR="002D56B4" w:rsidRPr="002F27E0" w:rsidRDefault="002D56B4" w:rsidP="005E3400">
      <w:pPr>
        <w:pStyle w:val="ListParagraph"/>
        <w:autoSpaceDE w:val="0"/>
        <w:autoSpaceDN w:val="0"/>
        <w:adjustRightInd w:val="0"/>
        <w:spacing w:after="0" w:line="240" w:lineRule="auto"/>
        <w:ind w:left="0"/>
        <w:contextualSpacing w:val="0"/>
        <w:outlineLvl w:val="0"/>
        <w:rPr>
          <w:rFonts w:ascii="Arial" w:hAnsi="Arial" w:cs="Arial"/>
          <w:b/>
          <w:color w:val="000000"/>
        </w:rPr>
      </w:pPr>
      <w:r w:rsidRPr="002F27E0">
        <w:rPr>
          <w:rFonts w:ascii="Arial" w:hAnsi="Arial" w:cs="Arial"/>
          <w:b/>
          <w:color w:val="000000"/>
        </w:rPr>
        <w:t>Corporate Commitments</w:t>
      </w:r>
    </w:p>
    <w:p w:rsidR="002D56B4" w:rsidRPr="002F27E0" w:rsidRDefault="002D56B4" w:rsidP="0063144D">
      <w:pPr>
        <w:pStyle w:val="ListParagraph"/>
        <w:autoSpaceDE w:val="0"/>
        <w:autoSpaceDN w:val="0"/>
        <w:adjustRightInd w:val="0"/>
        <w:spacing w:after="0" w:line="240" w:lineRule="auto"/>
        <w:ind w:left="0"/>
        <w:contextualSpacing w:val="0"/>
        <w:rPr>
          <w:rFonts w:ascii="Arial" w:hAnsi="Arial" w:cs="Arial"/>
          <w:b/>
          <w:color w:val="000000"/>
        </w:rPr>
      </w:pPr>
    </w:p>
    <w:tbl>
      <w:tblPr>
        <w:tblW w:w="9100" w:type="dxa"/>
        <w:tblInd w:w="93" w:type="dxa"/>
        <w:tblLook w:val="00A0"/>
      </w:tblPr>
      <w:tblGrid>
        <w:gridCol w:w="3700"/>
        <w:gridCol w:w="5400"/>
      </w:tblGrid>
      <w:tr w:rsidR="002D56B4" w:rsidRPr="002F27E0">
        <w:trPr>
          <w:trHeight w:val="315"/>
        </w:trPr>
        <w:tc>
          <w:tcPr>
            <w:tcW w:w="3700" w:type="dxa"/>
            <w:tcBorders>
              <w:top w:val="single" w:sz="8" w:space="0" w:color="auto"/>
              <w:left w:val="single" w:sz="8" w:space="0" w:color="auto"/>
              <w:bottom w:val="single" w:sz="8" w:space="0" w:color="auto"/>
              <w:right w:val="single" w:sz="8" w:space="0" w:color="auto"/>
            </w:tcBorders>
            <w:noWrap/>
            <w:vAlign w:val="center"/>
          </w:tcPr>
          <w:p w:rsidR="002D56B4" w:rsidRPr="002F27E0" w:rsidRDefault="002D56B4" w:rsidP="0063144D">
            <w:pPr>
              <w:spacing w:after="0" w:line="240" w:lineRule="auto"/>
              <w:jc w:val="center"/>
              <w:rPr>
                <w:rFonts w:ascii="Arial" w:hAnsi="Arial" w:cs="Arial"/>
                <w:b/>
                <w:bCs/>
                <w:color w:val="000000"/>
              </w:rPr>
            </w:pPr>
            <w:r w:rsidRPr="002F27E0">
              <w:rPr>
                <w:rFonts w:ascii="Arial" w:hAnsi="Arial" w:cs="Arial"/>
                <w:b/>
                <w:bCs/>
                <w:color w:val="000000"/>
              </w:rPr>
              <w:t>Commitment</w:t>
            </w:r>
          </w:p>
        </w:tc>
        <w:tc>
          <w:tcPr>
            <w:tcW w:w="5400" w:type="dxa"/>
            <w:tcBorders>
              <w:top w:val="single" w:sz="8" w:space="0" w:color="auto"/>
              <w:left w:val="nil"/>
              <w:bottom w:val="single" w:sz="8" w:space="0" w:color="auto"/>
              <w:right w:val="single" w:sz="8" w:space="0" w:color="auto"/>
            </w:tcBorders>
            <w:noWrap/>
            <w:vAlign w:val="center"/>
          </w:tcPr>
          <w:p w:rsidR="002D56B4" w:rsidRPr="002F27E0" w:rsidRDefault="002D56B4" w:rsidP="0063144D">
            <w:pPr>
              <w:spacing w:after="0" w:line="240" w:lineRule="auto"/>
              <w:jc w:val="center"/>
              <w:rPr>
                <w:rFonts w:ascii="Arial" w:hAnsi="Arial" w:cs="Arial"/>
                <w:b/>
                <w:bCs/>
                <w:color w:val="000000"/>
              </w:rPr>
            </w:pPr>
            <w:r w:rsidRPr="002F27E0">
              <w:rPr>
                <w:rFonts w:ascii="Arial" w:hAnsi="Arial" w:cs="Arial"/>
                <w:b/>
                <w:bCs/>
                <w:color w:val="000000"/>
              </w:rPr>
              <w:t>Description</w:t>
            </w:r>
          </w:p>
        </w:tc>
      </w:tr>
      <w:tr w:rsidR="002D56B4" w:rsidRPr="002F27E0">
        <w:trPr>
          <w:trHeight w:val="870"/>
        </w:trPr>
        <w:tc>
          <w:tcPr>
            <w:tcW w:w="3700" w:type="dxa"/>
            <w:tcBorders>
              <w:top w:val="nil"/>
              <w:left w:val="single" w:sz="8" w:space="0" w:color="auto"/>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Spend data</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Monthly publication of all expenditure over £25,000 including a plain English description (1 month in arrears)</w:t>
            </w:r>
          </w:p>
        </w:tc>
      </w:tr>
      <w:tr w:rsidR="002D56B4" w:rsidRPr="002F27E0">
        <w:trPr>
          <w:trHeight w:val="870"/>
        </w:trPr>
        <w:tc>
          <w:tcPr>
            <w:tcW w:w="3700" w:type="dxa"/>
            <w:tcBorders>
              <w:top w:val="nil"/>
              <w:left w:val="single" w:sz="8" w:space="0" w:color="auto"/>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GPC data</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Monthly publication of all expenditure over £500 on the Government Procurement Card (2 months in arrears)</w:t>
            </w:r>
          </w:p>
        </w:tc>
      </w:tr>
      <w:tr w:rsidR="002D56B4" w:rsidRPr="002F27E0">
        <w:trPr>
          <w:trHeight w:val="1155"/>
        </w:trPr>
        <w:tc>
          <w:tcPr>
            <w:tcW w:w="3700" w:type="dxa"/>
            <w:tcBorders>
              <w:top w:val="nil"/>
              <w:left w:val="single" w:sz="8" w:space="0" w:color="auto"/>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Organogram</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 xml:space="preserve">6-monthly publication of posts, salaries and job descriptions within each department. Full disclosure including name of post holder for those at Senior Civil Service </w:t>
            </w:r>
            <w:proofErr w:type="spellStart"/>
            <w:r w:rsidRPr="002F27E0">
              <w:rPr>
                <w:rFonts w:ascii="Arial" w:hAnsi="Arial" w:cs="Arial"/>
                <w:color w:val="000000"/>
              </w:rPr>
              <w:t>payband</w:t>
            </w:r>
            <w:proofErr w:type="spellEnd"/>
            <w:r w:rsidRPr="002F27E0">
              <w:rPr>
                <w:rFonts w:ascii="Arial" w:hAnsi="Arial" w:cs="Arial"/>
                <w:color w:val="000000"/>
              </w:rPr>
              <w:t xml:space="preserve"> 2 (or equivalent) and above</w:t>
            </w:r>
          </w:p>
        </w:tc>
      </w:tr>
      <w:tr w:rsidR="002D56B4" w:rsidRPr="002F27E0">
        <w:trPr>
          <w:trHeight w:val="1155"/>
        </w:trPr>
        <w:tc>
          <w:tcPr>
            <w:tcW w:w="3700" w:type="dxa"/>
            <w:tcBorders>
              <w:top w:val="nil"/>
              <w:left w:val="single" w:sz="8" w:space="0" w:color="auto"/>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Exceptions to Moratoria (ICT, Property, Recruitment, Marketing &amp; Consultancy)</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 xml:space="preserve">Quarterly </w:t>
            </w:r>
            <w:proofErr w:type="gramStart"/>
            <w:r w:rsidRPr="002F27E0">
              <w:rPr>
                <w:rFonts w:ascii="Arial" w:hAnsi="Arial" w:cs="Arial"/>
                <w:color w:val="000000"/>
              </w:rPr>
              <w:t>publication of any exceptions to the current government restrictions on spend</w:t>
            </w:r>
            <w:proofErr w:type="gramEnd"/>
            <w:r w:rsidRPr="002F27E0">
              <w:rPr>
                <w:rFonts w:ascii="Arial" w:hAnsi="Arial" w:cs="Arial"/>
                <w:color w:val="000000"/>
              </w:rPr>
              <w:t xml:space="preserve"> on ICT, consultancy, recruitment, property, consultancy, advertising and marketing.</w:t>
            </w:r>
          </w:p>
        </w:tc>
      </w:tr>
      <w:tr w:rsidR="002D56B4" w:rsidRPr="002F27E0">
        <w:trPr>
          <w:trHeight w:val="870"/>
        </w:trPr>
        <w:tc>
          <w:tcPr>
            <w:tcW w:w="3700" w:type="dxa"/>
            <w:tcBorders>
              <w:top w:val="nil"/>
              <w:left w:val="single" w:sz="8" w:space="0" w:color="auto"/>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Workplace Management Information</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 xml:space="preserve">Monthly management information on staff numbers and </w:t>
            </w:r>
            <w:proofErr w:type="spellStart"/>
            <w:r w:rsidRPr="002F27E0">
              <w:rPr>
                <w:rFonts w:ascii="Arial" w:hAnsi="Arial" w:cs="Arial"/>
                <w:color w:val="000000"/>
              </w:rPr>
              <w:t>paybill</w:t>
            </w:r>
            <w:proofErr w:type="spellEnd"/>
            <w:r w:rsidRPr="002F27E0">
              <w:rPr>
                <w:rFonts w:ascii="Arial" w:hAnsi="Arial" w:cs="Arial"/>
                <w:color w:val="000000"/>
              </w:rPr>
              <w:t xml:space="preserve"> costs in Civil Service departments, their agencies and their executive NDPBs.</w:t>
            </w:r>
          </w:p>
        </w:tc>
      </w:tr>
      <w:tr w:rsidR="002D56B4" w:rsidRPr="002F27E0">
        <w:trPr>
          <w:trHeight w:val="1440"/>
        </w:trPr>
        <w:tc>
          <w:tcPr>
            <w:tcW w:w="3700" w:type="dxa"/>
            <w:tcBorders>
              <w:top w:val="single" w:sz="4" w:space="0" w:color="auto"/>
              <w:left w:val="single" w:sz="8" w:space="0" w:color="auto"/>
              <w:bottom w:val="single" w:sz="4" w:space="0" w:color="auto"/>
              <w:right w:val="single" w:sz="4" w:space="0" w:color="auto"/>
            </w:tcBorders>
            <w:shd w:val="clear" w:color="000000" w:fill="FFFFFF"/>
            <w:vAlign w:val="center"/>
          </w:tcPr>
          <w:p w:rsidR="002D56B4" w:rsidRPr="002F27E0" w:rsidRDefault="002D56B4" w:rsidP="0063144D">
            <w:pPr>
              <w:spacing w:after="0" w:line="240" w:lineRule="auto"/>
              <w:jc w:val="center"/>
              <w:rPr>
                <w:rFonts w:ascii="Arial" w:hAnsi="Arial" w:cs="Arial"/>
              </w:rPr>
            </w:pPr>
            <w:r w:rsidRPr="002F27E0">
              <w:rPr>
                <w:rFonts w:ascii="Arial" w:hAnsi="Arial" w:cs="Arial"/>
              </w:rPr>
              <w:t xml:space="preserve">Ministers’, Gifts (given and received), hospitality received, overseas  , Travel, Meetings with external organisations including senior media executives </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Quarterly detail on travel, hospitality, gifts and meetings with external companies for Ministers</w:t>
            </w:r>
          </w:p>
        </w:tc>
      </w:tr>
      <w:tr w:rsidR="002D56B4" w:rsidRPr="002F27E0">
        <w:trPr>
          <w:trHeight w:val="870"/>
        </w:trPr>
        <w:tc>
          <w:tcPr>
            <w:tcW w:w="3700" w:type="dxa"/>
            <w:tcBorders>
              <w:top w:val="nil"/>
              <w:left w:val="single" w:sz="8" w:space="0" w:color="auto"/>
              <w:bottom w:val="single" w:sz="4" w:space="0" w:color="auto"/>
              <w:right w:val="single" w:sz="4" w:space="0" w:color="auto"/>
            </w:tcBorders>
            <w:shd w:val="clear" w:color="000000" w:fill="FFFFFF"/>
            <w:vAlign w:val="center"/>
          </w:tcPr>
          <w:p w:rsidR="002D56B4" w:rsidRPr="002F27E0" w:rsidRDefault="002D56B4" w:rsidP="0063144D">
            <w:pPr>
              <w:spacing w:after="0" w:line="240" w:lineRule="auto"/>
              <w:jc w:val="center"/>
              <w:rPr>
                <w:rFonts w:ascii="Arial" w:hAnsi="Arial" w:cs="Arial"/>
              </w:rPr>
            </w:pPr>
            <w:r w:rsidRPr="002F27E0">
              <w:rPr>
                <w:rFonts w:ascii="Arial" w:hAnsi="Arial" w:cs="Arial"/>
              </w:rPr>
              <w:t>Senior Officials Expenses, Travel and Hospitality</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Quarterly detail on expenses, travel and hospitality for Senior Officials</w:t>
            </w:r>
          </w:p>
        </w:tc>
      </w:tr>
      <w:tr w:rsidR="002D56B4" w:rsidRPr="002F27E0">
        <w:trPr>
          <w:trHeight w:val="870"/>
        </w:trPr>
        <w:tc>
          <w:tcPr>
            <w:tcW w:w="3700" w:type="dxa"/>
            <w:tcBorders>
              <w:top w:val="nil"/>
              <w:left w:val="single" w:sz="8" w:space="0" w:color="auto"/>
              <w:bottom w:val="single" w:sz="4" w:space="0" w:color="auto"/>
              <w:right w:val="single" w:sz="4" w:space="0" w:color="auto"/>
            </w:tcBorders>
            <w:shd w:val="clear" w:color="000000" w:fill="FFFFFF"/>
            <w:vAlign w:val="center"/>
          </w:tcPr>
          <w:p w:rsidR="002D56B4" w:rsidRPr="002F27E0" w:rsidRDefault="002D56B4" w:rsidP="0063144D">
            <w:pPr>
              <w:spacing w:after="0" w:line="240" w:lineRule="auto"/>
              <w:jc w:val="center"/>
              <w:rPr>
                <w:rFonts w:ascii="Arial" w:hAnsi="Arial" w:cs="Arial"/>
              </w:rPr>
            </w:pPr>
            <w:r w:rsidRPr="002F27E0">
              <w:rPr>
                <w:rFonts w:ascii="Arial" w:hAnsi="Arial" w:cs="Arial"/>
              </w:rPr>
              <w:t>Permanent secretaries meetings with external organisations including senior media executives</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Quarterly detail on meetings with external organisations including senior media executives for Permanent Secretaries</w:t>
            </w:r>
          </w:p>
        </w:tc>
      </w:tr>
      <w:tr w:rsidR="002D56B4" w:rsidRPr="002F27E0">
        <w:trPr>
          <w:trHeight w:val="870"/>
        </w:trPr>
        <w:tc>
          <w:tcPr>
            <w:tcW w:w="3700" w:type="dxa"/>
            <w:tcBorders>
              <w:top w:val="nil"/>
              <w:left w:val="single" w:sz="8" w:space="0" w:color="auto"/>
              <w:bottom w:val="single" w:sz="4" w:space="0" w:color="auto"/>
              <w:right w:val="single" w:sz="4" w:space="0" w:color="auto"/>
            </w:tcBorders>
            <w:shd w:val="clear" w:color="000000" w:fill="FFFFFF"/>
            <w:vAlign w:val="center"/>
          </w:tcPr>
          <w:p w:rsidR="002D56B4" w:rsidRPr="002F27E0" w:rsidRDefault="002D56B4" w:rsidP="0063144D">
            <w:pPr>
              <w:spacing w:after="0" w:line="240" w:lineRule="auto"/>
              <w:jc w:val="center"/>
              <w:rPr>
                <w:rFonts w:ascii="Arial" w:hAnsi="Arial" w:cs="Arial"/>
              </w:rPr>
            </w:pPr>
            <w:r w:rsidRPr="002F27E0">
              <w:rPr>
                <w:rFonts w:ascii="Arial" w:hAnsi="Arial" w:cs="Arial"/>
              </w:rPr>
              <w:t>Special Advisers Gifts and Hospitality received and meetings with senior  media executives</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Quarterly detail on hospitality, gifts and meetings with external companies for Special Advisors</w:t>
            </w:r>
          </w:p>
        </w:tc>
      </w:tr>
      <w:tr w:rsidR="002D56B4" w:rsidRPr="002F27E0">
        <w:trPr>
          <w:trHeight w:val="585"/>
        </w:trPr>
        <w:tc>
          <w:tcPr>
            <w:tcW w:w="3700" w:type="dxa"/>
            <w:tcBorders>
              <w:top w:val="nil"/>
              <w:left w:val="single" w:sz="8" w:space="0" w:color="auto"/>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Contract Finder</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Online publication of all new tenders and contracts awarded over £10,000, including PIN notices</w:t>
            </w:r>
          </w:p>
        </w:tc>
      </w:tr>
      <w:tr w:rsidR="002D56B4" w:rsidRPr="002F27E0">
        <w:trPr>
          <w:trHeight w:val="1725"/>
        </w:trPr>
        <w:tc>
          <w:tcPr>
            <w:tcW w:w="3700" w:type="dxa"/>
            <w:tcBorders>
              <w:top w:val="nil"/>
              <w:left w:val="single" w:sz="8" w:space="0" w:color="auto"/>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Real Time Energy User</w:t>
            </w:r>
          </w:p>
        </w:tc>
        <w:tc>
          <w:tcPr>
            <w:tcW w:w="5400" w:type="dxa"/>
            <w:tcBorders>
              <w:top w:val="nil"/>
              <w:left w:val="nil"/>
              <w:bottom w:val="single" w:sz="8" w:space="0" w:color="auto"/>
              <w:right w:val="single" w:sz="8" w:space="0" w:color="auto"/>
            </w:tcBorders>
            <w:vAlign w:val="center"/>
          </w:tcPr>
          <w:p w:rsidR="002D56B4" w:rsidRPr="002F27E0" w:rsidRDefault="002D56B4" w:rsidP="0063144D">
            <w:pPr>
              <w:spacing w:after="0" w:line="240" w:lineRule="auto"/>
              <w:jc w:val="center"/>
              <w:rPr>
                <w:rFonts w:ascii="Arial" w:hAnsi="Arial" w:cs="Arial"/>
                <w:color w:val="000000"/>
              </w:rPr>
            </w:pPr>
            <w:r w:rsidRPr="002F27E0">
              <w:rPr>
                <w:rFonts w:ascii="Arial" w:hAnsi="Arial" w:cs="Arial"/>
                <w:color w:val="000000"/>
              </w:rPr>
              <w:t>Central government departments would publish online the real-time energy use of their headquarter buildings. Most of the real-time energy displays provide energy data in half hourly intervals, and are published on departmental websites with a delay of no more than 24 hours</w:t>
            </w:r>
          </w:p>
        </w:tc>
      </w:tr>
    </w:tbl>
    <w:p w:rsidR="002D56B4" w:rsidRPr="002F27E0" w:rsidRDefault="002D56B4">
      <w:pPr>
        <w:autoSpaceDE w:val="0"/>
        <w:autoSpaceDN w:val="0"/>
        <w:adjustRightInd w:val="0"/>
        <w:spacing w:after="0" w:line="240" w:lineRule="auto"/>
        <w:rPr>
          <w:rFonts w:ascii="Arial" w:hAnsi="Arial" w:cs="Arial"/>
          <w:color w:val="000000"/>
          <w:sz w:val="24"/>
          <w:szCs w:val="24"/>
        </w:rPr>
      </w:pPr>
    </w:p>
    <w:sectPr w:rsidR="002D56B4" w:rsidRPr="002F27E0" w:rsidSect="008D649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10E" w:rsidRDefault="00EE310E" w:rsidP="00502F44">
      <w:pPr>
        <w:spacing w:after="0" w:line="240" w:lineRule="auto"/>
      </w:pPr>
      <w:r>
        <w:separator/>
      </w:r>
    </w:p>
  </w:endnote>
  <w:endnote w:type="continuationSeparator" w:id="0">
    <w:p w:rsidR="00EE310E" w:rsidRDefault="00EE310E" w:rsidP="00502F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19" w:rsidRDefault="00001819" w:rsidP="00502F44">
    <w:pPr>
      <w:pStyle w:val="Footer"/>
      <w:jc w:val="center"/>
    </w:pPr>
    <w:r w:rsidRPr="00EF46E8">
      <w:rPr>
        <w:color w:val="000000"/>
      </w:rPr>
      <w:fldChar w:fldCharType="begin"/>
    </w:r>
    <w:r w:rsidRPr="00001819">
      <w:rPr>
        <w:color w:val="000000"/>
        <w:sz w:val="22"/>
      </w:rPr>
      <w:instrText xml:space="preserve"> DOCPROPERTY  bjDocumentSecurityLabel"  \* MERGEFORMAT </w:instrText>
    </w:r>
    <w:r w:rsidRPr="00EF46E8">
      <w:rPr>
        <w:color w:val="000000"/>
      </w:rPr>
      <w:fldChar w:fldCharType="separate"/>
    </w:r>
    <w:r>
      <w:rPr>
        <w:color w:val="000000"/>
        <w:sz w:val="22"/>
      </w:rPr>
      <w:t>UNCLASSIFIED</w:t>
    </w:r>
    <w:r w:rsidRPr="00EF46E8">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19" w:rsidRDefault="00001819" w:rsidP="00502F44">
    <w:pPr>
      <w:pStyle w:val="Footer"/>
      <w:jc w:val="center"/>
    </w:pPr>
    <w:r w:rsidRPr="00EF46E8">
      <w:rPr>
        <w:color w:val="000000"/>
      </w:rPr>
      <w:fldChar w:fldCharType="begin"/>
    </w:r>
    <w:r w:rsidRPr="00001819">
      <w:rPr>
        <w:color w:val="000000"/>
        <w:sz w:val="22"/>
      </w:rPr>
      <w:instrText xml:space="preserve"> DOCPROPERTY  bjDocumentSecurityLabel"  \* MERGEFORMAT </w:instrText>
    </w:r>
    <w:r w:rsidRPr="00EF46E8">
      <w:rPr>
        <w:color w:val="000000"/>
      </w:rPr>
      <w:fldChar w:fldCharType="separate"/>
    </w:r>
    <w:r>
      <w:rPr>
        <w:color w:val="000000"/>
        <w:sz w:val="22"/>
      </w:rPr>
      <w:t>UNCLASSIFIED</w:t>
    </w:r>
    <w:r w:rsidRPr="00EF46E8">
      <w:rPr>
        <w:color w:val="00000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19" w:rsidRDefault="00001819" w:rsidP="00502F44">
    <w:pPr>
      <w:pStyle w:val="Footer"/>
      <w:jc w:val="center"/>
    </w:pPr>
    <w:r w:rsidRPr="00EF46E8">
      <w:rPr>
        <w:color w:val="000000"/>
      </w:rPr>
      <w:fldChar w:fldCharType="begin"/>
    </w:r>
    <w:r w:rsidRPr="00001819">
      <w:rPr>
        <w:color w:val="000000"/>
        <w:sz w:val="22"/>
      </w:rPr>
      <w:instrText xml:space="preserve"> DOCPROPERTY  bjDocumentSecurityLabel"  \* MERGEFORMAT </w:instrText>
    </w:r>
    <w:r w:rsidRPr="00EF46E8">
      <w:rPr>
        <w:color w:val="000000"/>
      </w:rPr>
      <w:fldChar w:fldCharType="separate"/>
    </w:r>
    <w:r>
      <w:rPr>
        <w:color w:val="000000"/>
        <w:sz w:val="22"/>
      </w:rPr>
      <w:t>UNCLASSIFIED</w:t>
    </w:r>
    <w:r w:rsidRPr="00EF46E8">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10E" w:rsidRDefault="00EE310E" w:rsidP="00502F44">
      <w:pPr>
        <w:spacing w:after="0" w:line="240" w:lineRule="auto"/>
      </w:pPr>
      <w:r>
        <w:separator/>
      </w:r>
    </w:p>
  </w:footnote>
  <w:footnote w:type="continuationSeparator" w:id="0">
    <w:p w:rsidR="00EE310E" w:rsidRDefault="00EE310E" w:rsidP="00502F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19" w:rsidRDefault="00001819" w:rsidP="00502F44">
    <w:pPr>
      <w:pStyle w:val="Header"/>
      <w:jc w:val="center"/>
    </w:pPr>
    <w:r w:rsidRPr="00EF46E8">
      <w:rPr>
        <w:color w:val="000000"/>
      </w:rPr>
      <w:fldChar w:fldCharType="begin"/>
    </w:r>
    <w:r w:rsidRPr="00001819">
      <w:rPr>
        <w:color w:val="000000"/>
        <w:sz w:val="22"/>
      </w:rPr>
      <w:instrText xml:space="preserve"> DOCPROPERTY  bjDocumentSecurityLabel"  \* MERGEFORMAT </w:instrText>
    </w:r>
    <w:r w:rsidRPr="00EF46E8">
      <w:rPr>
        <w:color w:val="000000"/>
      </w:rPr>
      <w:fldChar w:fldCharType="separate"/>
    </w:r>
    <w:r>
      <w:rPr>
        <w:color w:val="000000"/>
        <w:sz w:val="22"/>
      </w:rPr>
      <w:t>UNCLASSIFIED</w:t>
    </w:r>
    <w:r w:rsidRPr="00EF46E8">
      <w:rPr>
        <w:color w:val="00000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19" w:rsidRDefault="00001819" w:rsidP="00502F44">
    <w:pPr>
      <w:pStyle w:val="Header"/>
      <w:jc w:val="center"/>
    </w:pPr>
    <w:r w:rsidRPr="00EF46E8">
      <w:rPr>
        <w:color w:val="000000"/>
      </w:rPr>
      <w:fldChar w:fldCharType="begin"/>
    </w:r>
    <w:r w:rsidRPr="00001819">
      <w:rPr>
        <w:color w:val="000000"/>
        <w:sz w:val="22"/>
      </w:rPr>
      <w:instrText xml:space="preserve"> DOCPROPERTY  bjDocumentSecurityLabel"  \* MERGEFORMAT </w:instrText>
    </w:r>
    <w:r w:rsidRPr="00EF46E8">
      <w:rPr>
        <w:color w:val="000000"/>
      </w:rPr>
      <w:fldChar w:fldCharType="separate"/>
    </w:r>
    <w:r>
      <w:rPr>
        <w:color w:val="000000"/>
        <w:sz w:val="22"/>
      </w:rPr>
      <w:t>UNCLASSIFIED</w:t>
    </w:r>
    <w:r w:rsidRPr="00EF46E8">
      <w:rPr>
        <w:color w:val="00000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19" w:rsidRDefault="00001819" w:rsidP="00502F44">
    <w:pPr>
      <w:pStyle w:val="Header"/>
      <w:jc w:val="center"/>
    </w:pPr>
    <w:r w:rsidRPr="00EF46E8">
      <w:rPr>
        <w:color w:val="000000"/>
      </w:rPr>
      <w:fldChar w:fldCharType="begin"/>
    </w:r>
    <w:r w:rsidRPr="00001819">
      <w:rPr>
        <w:color w:val="000000"/>
        <w:sz w:val="22"/>
      </w:rPr>
      <w:instrText xml:space="preserve"> DOCPROPERTY  bjDocumentSecurityLabel"  \* MERGEFORMAT </w:instrText>
    </w:r>
    <w:r w:rsidRPr="00EF46E8">
      <w:rPr>
        <w:color w:val="000000"/>
      </w:rPr>
      <w:fldChar w:fldCharType="separate"/>
    </w:r>
    <w:r>
      <w:rPr>
        <w:color w:val="000000"/>
        <w:sz w:val="22"/>
      </w:rPr>
      <w:t>UNCLASSIFIED</w:t>
    </w:r>
    <w:r w:rsidRPr="00EF46E8">
      <w:rPr>
        <w:color w:val="00000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73C4"/>
    <w:multiLevelType w:val="hybridMultilevel"/>
    <w:tmpl w:val="96E8BDAE"/>
    <w:lvl w:ilvl="0" w:tplc="763A33C8">
      <w:start w:val="1"/>
      <w:numFmt w:val="lowerLetter"/>
      <w:lvlText w:val="%1."/>
      <w:lvlJc w:val="left"/>
      <w:pPr>
        <w:ind w:left="1800" w:hanging="360"/>
      </w:pPr>
      <w:rPr>
        <w:rFonts w:cs="Times New Roman" w:hint="default"/>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9DF6426"/>
    <w:multiLevelType w:val="multilevel"/>
    <w:tmpl w:val="84D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34270"/>
    <w:multiLevelType w:val="hybridMultilevel"/>
    <w:tmpl w:val="1C60D1A0"/>
    <w:lvl w:ilvl="0" w:tplc="64D49186">
      <w:start w:val="1"/>
      <w:numFmt w:val="decimal"/>
      <w:lvlText w:val="%1."/>
      <w:lvlJc w:val="left"/>
      <w:pPr>
        <w:ind w:left="720" w:hanging="360"/>
      </w:pPr>
      <w:rPr>
        <w:rFonts w:ascii="Calibri" w:eastAsia="Times New Roman" w:hAnsi="Calibri" w:cs="Times New Roman"/>
        <w:b w:val="0"/>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
    <w:nsid w:val="12BA2288"/>
    <w:multiLevelType w:val="hybridMultilevel"/>
    <w:tmpl w:val="000416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32F19CC"/>
    <w:multiLevelType w:val="hybridMultilevel"/>
    <w:tmpl w:val="99A0087C"/>
    <w:lvl w:ilvl="0" w:tplc="0809000F">
      <w:start w:val="1"/>
      <w:numFmt w:val="decimal"/>
      <w:lvlText w:val="%1."/>
      <w:lvlJc w:val="left"/>
      <w:pPr>
        <w:tabs>
          <w:tab w:val="num" w:pos="765"/>
        </w:tabs>
        <w:ind w:left="765" w:hanging="360"/>
      </w:pPr>
    </w:lvl>
    <w:lvl w:ilvl="1" w:tplc="08090019" w:tentative="1">
      <w:start w:val="1"/>
      <w:numFmt w:val="lowerLetter"/>
      <w:lvlText w:val="%2."/>
      <w:lvlJc w:val="left"/>
      <w:pPr>
        <w:tabs>
          <w:tab w:val="num" w:pos="1485"/>
        </w:tabs>
        <w:ind w:left="1485" w:hanging="360"/>
      </w:pPr>
    </w:lvl>
    <w:lvl w:ilvl="2" w:tplc="0809001B" w:tentative="1">
      <w:start w:val="1"/>
      <w:numFmt w:val="lowerRoman"/>
      <w:lvlText w:val="%3."/>
      <w:lvlJc w:val="right"/>
      <w:pPr>
        <w:tabs>
          <w:tab w:val="num" w:pos="2205"/>
        </w:tabs>
        <w:ind w:left="2205" w:hanging="180"/>
      </w:pPr>
    </w:lvl>
    <w:lvl w:ilvl="3" w:tplc="0809000F" w:tentative="1">
      <w:start w:val="1"/>
      <w:numFmt w:val="decimal"/>
      <w:lvlText w:val="%4."/>
      <w:lvlJc w:val="left"/>
      <w:pPr>
        <w:tabs>
          <w:tab w:val="num" w:pos="2925"/>
        </w:tabs>
        <w:ind w:left="2925" w:hanging="360"/>
      </w:pPr>
    </w:lvl>
    <w:lvl w:ilvl="4" w:tplc="08090019" w:tentative="1">
      <w:start w:val="1"/>
      <w:numFmt w:val="lowerLetter"/>
      <w:lvlText w:val="%5."/>
      <w:lvlJc w:val="left"/>
      <w:pPr>
        <w:tabs>
          <w:tab w:val="num" w:pos="3645"/>
        </w:tabs>
        <w:ind w:left="3645" w:hanging="360"/>
      </w:pPr>
    </w:lvl>
    <w:lvl w:ilvl="5" w:tplc="0809001B" w:tentative="1">
      <w:start w:val="1"/>
      <w:numFmt w:val="lowerRoman"/>
      <w:lvlText w:val="%6."/>
      <w:lvlJc w:val="right"/>
      <w:pPr>
        <w:tabs>
          <w:tab w:val="num" w:pos="4365"/>
        </w:tabs>
        <w:ind w:left="4365" w:hanging="180"/>
      </w:pPr>
    </w:lvl>
    <w:lvl w:ilvl="6" w:tplc="0809000F" w:tentative="1">
      <w:start w:val="1"/>
      <w:numFmt w:val="decimal"/>
      <w:lvlText w:val="%7."/>
      <w:lvlJc w:val="left"/>
      <w:pPr>
        <w:tabs>
          <w:tab w:val="num" w:pos="5085"/>
        </w:tabs>
        <w:ind w:left="5085" w:hanging="360"/>
      </w:pPr>
    </w:lvl>
    <w:lvl w:ilvl="7" w:tplc="08090019" w:tentative="1">
      <w:start w:val="1"/>
      <w:numFmt w:val="lowerLetter"/>
      <w:lvlText w:val="%8."/>
      <w:lvlJc w:val="left"/>
      <w:pPr>
        <w:tabs>
          <w:tab w:val="num" w:pos="5805"/>
        </w:tabs>
        <w:ind w:left="5805" w:hanging="360"/>
      </w:pPr>
    </w:lvl>
    <w:lvl w:ilvl="8" w:tplc="0809001B" w:tentative="1">
      <w:start w:val="1"/>
      <w:numFmt w:val="lowerRoman"/>
      <w:lvlText w:val="%9."/>
      <w:lvlJc w:val="right"/>
      <w:pPr>
        <w:tabs>
          <w:tab w:val="num" w:pos="6525"/>
        </w:tabs>
        <w:ind w:left="6525" w:hanging="180"/>
      </w:pPr>
    </w:lvl>
  </w:abstractNum>
  <w:abstractNum w:abstractNumId="5">
    <w:nsid w:val="245041B3"/>
    <w:multiLevelType w:val="hybridMultilevel"/>
    <w:tmpl w:val="6BF055C8"/>
    <w:lvl w:ilvl="0" w:tplc="08090001">
      <w:start w:val="1"/>
      <w:numFmt w:val="bullet"/>
      <w:lvlText w:val=""/>
      <w:lvlJc w:val="left"/>
      <w:pPr>
        <w:ind w:left="1440" w:hanging="360"/>
      </w:pPr>
      <w:rPr>
        <w:rFonts w:ascii="Symbol" w:hAnsi="Symbol" w:hint="default"/>
        <w:b w:val="0"/>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6">
    <w:nsid w:val="26F24A9B"/>
    <w:multiLevelType w:val="hybridMultilevel"/>
    <w:tmpl w:val="4E32288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375454ED"/>
    <w:multiLevelType w:val="hybridMultilevel"/>
    <w:tmpl w:val="56103D3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858443C"/>
    <w:multiLevelType w:val="hybridMultilevel"/>
    <w:tmpl w:val="EEE2F532"/>
    <w:lvl w:ilvl="0" w:tplc="2260383C">
      <w:start w:val="1"/>
      <w:numFmt w:val="decimal"/>
      <w:lvlText w:val="%1."/>
      <w:lvlJc w:val="left"/>
      <w:pPr>
        <w:ind w:left="720" w:hanging="360"/>
      </w:pPr>
      <w:rPr>
        <w:rFonts w:ascii="Arial" w:eastAsia="Times New Roman" w:hAnsi="Arial" w:cs="Arial"/>
        <w:b w:val="0"/>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3B0205F0"/>
    <w:multiLevelType w:val="hybridMultilevel"/>
    <w:tmpl w:val="FCACD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51E64E7"/>
    <w:multiLevelType w:val="hybridMultilevel"/>
    <w:tmpl w:val="9E966C86"/>
    <w:lvl w:ilvl="0" w:tplc="DF88FBD8">
      <w:start w:val="1"/>
      <w:numFmt w:val="decimal"/>
      <w:lvlText w:val="%1."/>
      <w:lvlJc w:val="left"/>
      <w:pPr>
        <w:ind w:left="720" w:hanging="360"/>
      </w:pPr>
      <w:rPr>
        <w:rFonts w:ascii="Arial" w:hAnsi="Arial" w:cs="Arial" w:hint="default"/>
        <w:b w:val="0"/>
        <w:color w:val="auto"/>
        <w:sz w:val="24"/>
        <w:szCs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469C187F"/>
    <w:multiLevelType w:val="hybridMultilevel"/>
    <w:tmpl w:val="B4105A9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53DB5238"/>
    <w:multiLevelType w:val="hybridMultilevel"/>
    <w:tmpl w:val="DBFAC452"/>
    <w:lvl w:ilvl="0" w:tplc="04F0D234">
      <w:start w:val="1"/>
      <w:numFmt w:val="decimal"/>
      <w:lvlText w:val="%1."/>
      <w:lvlJc w:val="left"/>
      <w:pPr>
        <w:ind w:left="720" w:hanging="360"/>
      </w:pPr>
      <w:rPr>
        <w:rFonts w:cs="Times New Roman" w:hint="default"/>
        <w:b w:val="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556558E4"/>
    <w:multiLevelType w:val="hybridMultilevel"/>
    <w:tmpl w:val="4FFC026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nsid w:val="619E3897"/>
    <w:multiLevelType w:val="hybridMultilevel"/>
    <w:tmpl w:val="4FFC026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62DE1B33"/>
    <w:multiLevelType w:val="hybridMultilevel"/>
    <w:tmpl w:val="BEC2A44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64473512"/>
    <w:multiLevelType w:val="hybridMultilevel"/>
    <w:tmpl w:val="4D32EF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9D0299E"/>
    <w:multiLevelType w:val="hybridMultilevel"/>
    <w:tmpl w:val="6A54A1A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nsid w:val="73221D5F"/>
    <w:multiLevelType w:val="hybridMultilevel"/>
    <w:tmpl w:val="30DA9784"/>
    <w:lvl w:ilvl="0" w:tplc="E3B662D6">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3303B0"/>
    <w:multiLevelType w:val="hybridMultilevel"/>
    <w:tmpl w:val="6012F6A8"/>
    <w:lvl w:ilvl="0" w:tplc="08090001">
      <w:start w:val="1"/>
      <w:numFmt w:val="bullet"/>
      <w:lvlText w:val=""/>
      <w:lvlJc w:val="left"/>
      <w:pPr>
        <w:ind w:left="39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155AC1"/>
    <w:multiLevelType w:val="multilevel"/>
    <w:tmpl w:val="B58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FE6605"/>
    <w:multiLevelType w:val="hybridMultilevel"/>
    <w:tmpl w:val="95F44260"/>
    <w:lvl w:ilvl="0" w:tplc="A92210E0">
      <w:start w:val="1"/>
      <w:numFmt w:val="decimal"/>
      <w:lvlText w:val="%1."/>
      <w:lvlJc w:val="left"/>
      <w:pPr>
        <w:ind w:left="720" w:hanging="360"/>
      </w:pPr>
      <w:rPr>
        <w:rFonts w:cs="Times New Roman" w:hint="default"/>
        <w:b w:val="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9"/>
  </w:num>
  <w:num w:numId="2">
    <w:abstractNumId w:val="7"/>
  </w:num>
  <w:num w:numId="3">
    <w:abstractNumId w:val="10"/>
  </w:num>
  <w:num w:numId="4">
    <w:abstractNumId w:val="21"/>
  </w:num>
  <w:num w:numId="5">
    <w:abstractNumId w:val="0"/>
  </w:num>
  <w:num w:numId="6">
    <w:abstractNumId w:val="14"/>
  </w:num>
  <w:num w:numId="7">
    <w:abstractNumId w:val="8"/>
  </w:num>
  <w:num w:numId="8">
    <w:abstractNumId w:val="1"/>
  </w:num>
  <w:num w:numId="9">
    <w:abstractNumId w:val="15"/>
  </w:num>
  <w:num w:numId="10">
    <w:abstractNumId w:val="11"/>
  </w:num>
  <w:num w:numId="11">
    <w:abstractNumId w:val="20"/>
  </w:num>
  <w:num w:numId="12">
    <w:abstractNumId w:val="12"/>
  </w:num>
  <w:num w:numId="13">
    <w:abstractNumId w:val="3"/>
  </w:num>
  <w:num w:numId="14">
    <w:abstractNumId w:val="6"/>
  </w:num>
  <w:num w:numId="15">
    <w:abstractNumId w:val="2"/>
  </w:num>
  <w:num w:numId="16">
    <w:abstractNumId w:val="17"/>
  </w:num>
  <w:num w:numId="17">
    <w:abstractNumId w:val="13"/>
  </w:num>
  <w:num w:numId="18">
    <w:abstractNumId w:val="5"/>
  </w:num>
  <w:num w:numId="19">
    <w:abstractNumId w:val="16"/>
  </w:num>
  <w:num w:numId="20">
    <w:abstractNumId w:val="18"/>
  </w:num>
  <w:num w:numId="21">
    <w:abstractNumId w:val="4"/>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characterSpacingControl w:val="doNotCompress"/>
  <w:doNotValidateAgainstSchema/>
  <w:doNotDemarcateInvalidXml/>
  <w:hdrShapeDefaults>
    <o:shapedefaults v:ext="edit" spidmax="17410"/>
  </w:hdrShapeDefaults>
  <w:footnotePr>
    <w:footnote w:id="-1"/>
    <w:footnote w:id="0"/>
  </w:footnotePr>
  <w:endnotePr>
    <w:endnote w:id="-1"/>
    <w:endnote w:id="0"/>
  </w:endnotePr>
  <w:compat/>
  <w:rsids>
    <w:rsidRoot w:val="00502F44"/>
    <w:rsid w:val="00001819"/>
    <w:rsid w:val="000053AE"/>
    <w:rsid w:val="00007B5D"/>
    <w:rsid w:val="000231E9"/>
    <w:rsid w:val="00026DB1"/>
    <w:rsid w:val="00027693"/>
    <w:rsid w:val="00034D37"/>
    <w:rsid w:val="00044B1B"/>
    <w:rsid w:val="00045A0C"/>
    <w:rsid w:val="000503DE"/>
    <w:rsid w:val="000504B0"/>
    <w:rsid w:val="00070A2A"/>
    <w:rsid w:val="000837A3"/>
    <w:rsid w:val="00093728"/>
    <w:rsid w:val="000969AD"/>
    <w:rsid w:val="000A1449"/>
    <w:rsid w:val="000A7EF4"/>
    <w:rsid w:val="000E35EE"/>
    <w:rsid w:val="000F32FD"/>
    <w:rsid w:val="000F44A6"/>
    <w:rsid w:val="00107962"/>
    <w:rsid w:val="00110313"/>
    <w:rsid w:val="00114539"/>
    <w:rsid w:val="001262A4"/>
    <w:rsid w:val="00131D17"/>
    <w:rsid w:val="00132FF3"/>
    <w:rsid w:val="0014381A"/>
    <w:rsid w:val="00146F18"/>
    <w:rsid w:val="00152A80"/>
    <w:rsid w:val="00157681"/>
    <w:rsid w:val="001644B4"/>
    <w:rsid w:val="00176484"/>
    <w:rsid w:val="001866E3"/>
    <w:rsid w:val="00191652"/>
    <w:rsid w:val="001934A3"/>
    <w:rsid w:val="001971E5"/>
    <w:rsid w:val="001A30C0"/>
    <w:rsid w:val="001A6CC9"/>
    <w:rsid w:val="001D0021"/>
    <w:rsid w:val="001D00F5"/>
    <w:rsid w:val="001D2698"/>
    <w:rsid w:val="001F3F07"/>
    <w:rsid w:val="001F4EE9"/>
    <w:rsid w:val="001F7A0F"/>
    <w:rsid w:val="002031F9"/>
    <w:rsid w:val="00211714"/>
    <w:rsid w:val="00213564"/>
    <w:rsid w:val="00214701"/>
    <w:rsid w:val="0021561C"/>
    <w:rsid w:val="00215BC8"/>
    <w:rsid w:val="00223050"/>
    <w:rsid w:val="002429BB"/>
    <w:rsid w:val="0025268E"/>
    <w:rsid w:val="00264E8B"/>
    <w:rsid w:val="00290F3C"/>
    <w:rsid w:val="002A7730"/>
    <w:rsid w:val="002C1E78"/>
    <w:rsid w:val="002D0258"/>
    <w:rsid w:val="002D56B4"/>
    <w:rsid w:val="002E3EAA"/>
    <w:rsid w:val="002F27E0"/>
    <w:rsid w:val="00305ADC"/>
    <w:rsid w:val="00310757"/>
    <w:rsid w:val="0031332C"/>
    <w:rsid w:val="003566A4"/>
    <w:rsid w:val="00370F0A"/>
    <w:rsid w:val="00373045"/>
    <w:rsid w:val="0037615C"/>
    <w:rsid w:val="00395D08"/>
    <w:rsid w:val="003A0054"/>
    <w:rsid w:val="003A424E"/>
    <w:rsid w:val="003A5D1B"/>
    <w:rsid w:val="003A76F3"/>
    <w:rsid w:val="003A7FAE"/>
    <w:rsid w:val="003C5BBF"/>
    <w:rsid w:val="003E0B64"/>
    <w:rsid w:val="003E4343"/>
    <w:rsid w:val="004138FA"/>
    <w:rsid w:val="00424552"/>
    <w:rsid w:val="00430FAC"/>
    <w:rsid w:val="0043186A"/>
    <w:rsid w:val="0043215C"/>
    <w:rsid w:val="004369B6"/>
    <w:rsid w:val="004372EE"/>
    <w:rsid w:val="00444B5B"/>
    <w:rsid w:val="00445DA9"/>
    <w:rsid w:val="00450C0F"/>
    <w:rsid w:val="004513DB"/>
    <w:rsid w:val="00452FDD"/>
    <w:rsid w:val="00453D5A"/>
    <w:rsid w:val="00455D51"/>
    <w:rsid w:val="004560D7"/>
    <w:rsid w:val="004748CE"/>
    <w:rsid w:val="0047686A"/>
    <w:rsid w:val="00476996"/>
    <w:rsid w:val="004C720E"/>
    <w:rsid w:val="004E3513"/>
    <w:rsid w:val="00502F44"/>
    <w:rsid w:val="0051055E"/>
    <w:rsid w:val="00526D87"/>
    <w:rsid w:val="005334BA"/>
    <w:rsid w:val="00536014"/>
    <w:rsid w:val="00551C85"/>
    <w:rsid w:val="00564107"/>
    <w:rsid w:val="0057286D"/>
    <w:rsid w:val="00583EC9"/>
    <w:rsid w:val="00585986"/>
    <w:rsid w:val="005B38B6"/>
    <w:rsid w:val="005B5944"/>
    <w:rsid w:val="005C3B2D"/>
    <w:rsid w:val="005C7326"/>
    <w:rsid w:val="005E3400"/>
    <w:rsid w:val="005E7A72"/>
    <w:rsid w:val="005F484A"/>
    <w:rsid w:val="00614325"/>
    <w:rsid w:val="00616746"/>
    <w:rsid w:val="00616E33"/>
    <w:rsid w:val="006206DE"/>
    <w:rsid w:val="0063144D"/>
    <w:rsid w:val="00643B4C"/>
    <w:rsid w:val="00645C67"/>
    <w:rsid w:val="00652186"/>
    <w:rsid w:val="00653D45"/>
    <w:rsid w:val="00657B49"/>
    <w:rsid w:val="006639A5"/>
    <w:rsid w:val="00664BE5"/>
    <w:rsid w:val="00667A55"/>
    <w:rsid w:val="00672AE4"/>
    <w:rsid w:val="00686784"/>
    <w:rsid w:val="00693190"/>
    <w:rsid w:val="006933AC"/>
    <w:rsid w:val="00697FDA"/>
    <w:rsid w:val="006A04A3"/>
    <w:rsid w:val="006A098C"/>
    <w:rsid w:val="006B6524"/>
    <w:rsid w:val="006C08D6"/>
    <w:rsid w:val="006C452C"/>
    <w:rsid w:val="006E64FC"/>
    <w:rsid w:val="006F5A49"/>
    <w:rsid w:val="006F6FEC"/>
    <w:rsid w:val="00702379"/>
    <w:rsid w:val="00705608"/>
    <w:rsid w:val="007234C6"/>
    <w:rsid w:val="00725668"/>
    <w:rsid w:val="00726CBF"/>
    <w:rsid w:val="00743261"/>
    <w:rsid w:val="00751FA3"/>
    <w:rsid w:val="00752648"/>
    <w:rsid w:val="0075356B"/>
    <w:rsid w:val="00785D9D"/>
    <w:rsid w:val="007C38DA"/>
    <w:rsid w:val="007E404C"/>
    <w:rsid w:val="007F6345"/>
    <w:rsid w:val="00811D2E"/>
    <w:rsid w:val="00836548"/>
    <w:rsid w:val="008461F3"/>
    <w:rsid w:val="008525B3"/>
    <w:rsid w:val="008550C0"/>
    <w:rsid w:val="00856171"/>
    <w:rsid w:val="00862370"/>
    <w:rsid w:val="00870A49"/>
    <w:rsid w:val="00880532"/>
    <w:rsid w:val="008870E7"/>
    <w:rsid w:val="008A2424"/>
    <w:rsid w:val="008A6FD5"/>
    <w:rsid w:val="008A77A8"/>
    <w:rsid w:val="008B61EC"/>
    <w:rsid w:val="008D6498"/>
    <w:rsid w:val="008D75C6"/>
    <w:rsid w:val="008E78F9"/>
    <w:rsid w:val="008F42A7"/>
    <w:rsid w:val="009150BB"/>
    <w:rsid w:val="009156D2"/>
    <w:rsid w:val="009202F7"/>
    <w:rsid w:val="009208FA"/>
    <w:rsid w:val="00923544"/>
    <w:rsid w:val="009259A6"/>
    <w:rsid w:val="00937368"/>
    <w:rsid w:val="00960683"/>
    <w:rsid w:val="009627CF"/>
    <w:rsid w:val="00970C2B"/>
    <w:rsid w:val="00972824"/>
    <w:rsid w:val="00973AD6"/>
    <w:rsid w:val="00985322"/>
    <w:rsid w:val="009A60C9"/>
    <w:rsid w:val="009A7DAF"/>
    <w:rsid w:val="009B38AC"/>
    <w:rsid w:val="009C2461"/>
    <w:rsid w:val="009C68F9"/>
    <w:rsid w:val="009D0AD2"/>
    <w:rsid w:val="009D32E8"/>
    <w:rsid w:val="009E06BF"/>
    <w:rsid w:val="009E08E2"/>
    <w:rsid w:val="009E1518"/>
    <w:rsid w:val="009E1A6C"/>
    <w:rsid w:val="009F77E2"/>
    <w:rsid w:val="00A2248B"/>
    <w:rsid w:val="00A327C3"/>
    <w:rsid w:val="00A40092"/>
    <w:rsid w:val="00A51B48"/>
    <w:rsid w:val="00A53B27"/>
    <w:rsid w:val="00A62E0D"/>
    <w:rsid w:val="00A732B8"/>
    <w:rsid w:val="00A94BA8"/>
    <w:rsid w:val="00AA5598"/>
    <w:rsid w:val="00AB7AAF"/>
    <w:rsid w:val="00AC0420"/>
    <w:rsid w:val="00AC46CD"/>
    <w:rsid w:val="00AC550A"/>
    <w:rsid w:val="00AE473A"/>
    <w:rsid w:val="00AE7628"/>
    <w:rsid w:val="00AF1630"/>
    <w:rsid w:val="00AF4D26"/>
    <w:rsid w:val="00B056A8"/>
    <w:rsid w:val="00B12A6B"/>
    <w:rsid w:val="00B50A84"/>
    <w:rsid w:val="00B62552"/>
    <w:rsid w:val="00B927BA"/>
    <w:rsid w:val="00BA6DAE"/>
    <w:rsid w:val="00BB1E12"/>
    <w:rsid w:val="00BC04BD"/>
    <w:rsid w:val="00BC072E"/>
    <w:rsid w:val="00BC3854"/>
    <w:rsid w:val="00BD2EC9"/>
    <w:rsid w:val="00BF6A6A"/>
    <w:rsid w:val="00BF7974"/>
    <w:rsid w:val="00C0039B"/>
    <w:rsid w:val="00C129BD"/>
    <w:rsid w:val="00C1422D"/>
    <w:rsid w:val="00C16597"/>
    <w:rsid w:val="00C23B8B"/>
    <w:rsid w:val="00C34C52"/>
    <w:rsid w:val="00C479B5"/>
    <w:rsid w:val="00C47CD8"/>
    <w:rsid w:val="00C50A6D"/>
    <w:rsid w:val="00C5106E"/>
    <w:rsid w:val="00C534E3"/>
    <w:rsid w:val="00C70B47"/>
    <w:rsid w:val="00C8712A"/>
    <w:rsid w:val="00C903F7"/>
    <w:rsid w:val="00CA292A"/>
    <w:rsid w:val="00CB16E1"/>
    <w:rsid w:val="00CB6AFF"/>
    <w:rsid w:val="00CC56F5"/>
    <w:rsid w:val="00CC615D"/>
    <w:rsid w:val="00CF69CD"/>
    <w:rsid w:val="00D15583"/>
    <w:rsid w:val="00D26F75"/>
    <w:rsid w:val="00D45504"/>
    <w:rsid w:val="00D54516"/>
    <w:rsid w:val="00D638B9"/>
    <w:rsid w:val="00D63F48"/>
    <w:rsid w:val="00D7149A"/>
    <w:rsid w:val="00D75AFC"/>
    <w:rsid w:val="00D83450"/>
    <w:rsid w:val="00D92803"/>
    <w:rsid w:val="00D93E75"/>
    <w:rsid w:val="00DA2254"/>
    <w:rsid w:val="00DC4544"/>
    <w:rsid w:val="00DD5C2A"/>
    <w:rsid w:val="00DE5980"/>
    <w:rsid w:val="00DF11AD"/>
    <w:rsid w:val="00E00A91"/>
    <w:rsid w:val="00E00F8E"/>
    <w:rsid w:val="00E01F4C"/>
    <w:rsid w:val="00E115C9"/>
    <w:rsid w:val="00E1234C"/>
    <w:rsid w:val="00E13B18"/>
    <w:rsid w:val="00E21B93"/>
    <w:rsid w:val="00E3556F"/>
    <w:rsid w:val="00E446A3"/>
    <w:rsid w:val="00E5516E"/>
    <w:rsid w:val="00E649D8"/>
    <w:rsid w:val="00E76B90"/>
    <w:rsid w:val="00E77453"/>
    <w:rsid w:val="00E81506"/>
    <w:rsid w:val="00E82781"/>
    <w:rsid w:val="00E87ACD"/>
    <w:rsid w:val="00E92F62"/>
    <w:rsid w:val="00EA3C64"/>
    <w:rsid w:val="00EB6641"/>
    <w:rsid w:val="00EB7306"/>
    <w:rsid w:val="00EC19C8"/>
    <w:rsid w:val="00EC5FA4"/>
    <w:rsid w:val="00EC70E6"/>
    <w:rsid w:val="00ED06D5"/>
    <w:rsid w:val="00ED1A16"/>
    <w:rsid w:val="00EE310E"/>
    <w:rsid w:val="00EF46E8"/>
    <w:rsid w:val="00F12136"/>
    <w:rsid w:val="00F12AD3"/>
    <w:rsid w:val="00F2352F"/>
    <w:rsid w:val="00F35A75"/>
    <w:rsid w:val="00F41455"/>
    <w:rsid w:val="00F41BD2"/>
    <w:rsid w:val="00F52605"/>
    <w:rsid w:val="00F56C71"/>
    <w:rsid w:val="00F74B4C"/>
    <w:rsid w:val="00F97D50"/>
    <w:rsid w:val="00FA081E"/>
    <w:rsid w:val="00FA1109"/>
    <w:rsid w:val="00FB04BF"/>
    <w:rsid w:val="00FB2CCE"/>
    <w:rsid w:val="00FB4716"/>
    <w:rsid w:val="00FD1036"/>
    <w:rsid w:val="00FE4E1A"/>
    <w:rsid w:val="00FE59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F4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02F44"/>
    <w:pPr>
      <w:tabs>
        <w:tab w:val="center" w:pos="4513"/>
        <w:tab w:val="right" w:pos="9026"/>
      </w:tabs>
      <w:spacing w:after="0" w:line="240" w:lineRule="auto"/>
    </w:pPr>
    <w:rPr>
      <w:sz w:val="20"/>
      <w:szCs w:val="20"/>
    </w:rPr>
  </w:style>
  <w:style w:type="character" w:customStyle="1" w:styleId="HeaderChar">
    <w:name w:val="Header Char"/>
    <w:link w:val="Header"/>
    <w:uiPriority w:val="99"/>
    <w:semiHidden/>
    <w:rsid w:val="00502F44"/>
    <w:rPr>
      <w:rFonts w:cs="Times New Roman"/>
    </w:rPr>
  </w:style>
  <w:style w:type="paragraph" w:styleId="Footer">
    <w:name w:val="footer"/>
    <w:basedOn w:val="Normal"/>
    <w:link w:val="FooterChar"/>
    <w:uiPriority w:val="99"/>
    <w:semiHidden/>
    <w:rsid w:val="00502F44"/>
    <w:pPr>
      <w:tabs>
        <w:tab w:val="center" w:pos="4513"/>
        <w:tab w:val="right" w:pos="9026"/>
      </w:tabs>
      <w:spacing w:after="0" w:line="240" w:lineRule="auto"/>
    </w:pPr>
    <w:rPr>
      <w:sz w:val="20"/>
      <w:szCs w:val="20"/>
    </w:rPr>
  </w:style>
  <w:style w:type="character" w:customStyle="1" w:styleId="FooterChar">
    <w:name w:val="Footer Char"/>
    <w:link w:val="Footer"/>
    <w:uiPriority w:val="99"/>
    <w:semiHidden/>
    <w:rsid w:val="00502F44"/>
    <w:rPr>
      <w:rFonts w:cs="Times New Roman"/>
    </w:rPr>
  </w:style>
  <w:style w:type="paragraph" w:styleId="ListParagraph">
    <w:name w:val="List Paragraph"/>
    <w:basedOn w:val="Normal"/>
    <w:uiPriority w:val="99"/>
    <w:qFormat/>
    <w:rsid w:val="008A6FD5"/>
    <w:pPr>
      <w:ind w:left="720"/>
      <w:contextualSpacing/>
    </w:pPr>
  </w:style>
  <w:style w:type="character" w:styleId="Hyperlink">
    <w:name w:val="Hyperlink"/>
    <w:uiPriority w:val="99"/>
    <w:rsid w:val="001D00F5"/>
    <w:rPr>
      <w:rFonts w:cs="Times New Roman"/>
      <w:color w:val="0000FF"/>
      <w:u w:val="single"/>
    </w:rPr>
  </w:style>
  <w:style w:type="paragraph" w:styleId="BalloonText">
    <w:name w:val="Balloon Text"/>
    <w:basedOn w:val="Normal"/>
    <w:link w:val="BalloonTextChar"/>
    <w:uiPriority w:val="99"/>
    <w:semiHidden/>
    <w:rsid w:val="000276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27693"/>
    <w:rPr>
      <w:rFonts w:ascii="Tahoma" w:hAnsi="Tahoma" w:cs="Tahoma"/>
      <w:sz w:val="16"/>
      <w:szCs w:val="16"/>
    </w:rPr>
  </w:style>
  <w:style w:type="character" w:styleId="CommentReference">
    <w:name w:val="annotation reference"/>
    <w:uiPriority w:val="99"/>
    <w:semiHidden/>
    <w:unhideWhenUsed/>
    <w:rsid w:val="00AC46CD"/>
    <w:rPr>
      <w:sz w:val="16"/>
      <w:szCs w:val="16"/>
    </w:rPr>
  </w:style>
  <w:style w:type="paragraph" w:styleId="CommentText">
    <w:name w:val="annotation text"/>
    <w:basedOn w:val="Normal"/>
    <w:link w:val="CommentTextChar"/>
    <w:uiPriority w:val="99"/>
    <w:semiHidden/>
    <w:unhideWhenUsed/>
    <w:rsid w:val="00AC46CD"/>
    <w:rPr>
      <w:sz w:val="20"/>
      <w:szCs w:val="20"/>
    </w:rPr>
  </w:style>
  <w:style w:type="character" w:customStyle="1" w:styleId="CommentTextChar">
    <w:name w:val="Comment Text Char"/>
    <w:basedOn w:val="DefaultParagraphFont"/>
    <w:link w:val="CommentText"/>
    <w:uiPriority w:val="99"/>
    <w:semiHidden/>
    <w:rsid w:val="00AC46CD"/>
  </w:style>
  <w:style w:type="paragraph" w:styleId="CommentSubject">
    <w:name w:val="annotation subject"/>
    <w:basedOn w:val="CommentText"/>
    <w:next w:val="CommentText"/>
    <w:link w:val="CommentSubjectChar"/>
    <w:uiPriority w:val="99"/>
    <w:semiHidden/>
    <w:unhideWhenUsed/>
    <w:rsid w:val="00AC46CD"/>
    <w:rPr>
      <w:b/>
      <w:bCs/>
    </w:rPr>
  </w:style>
  <w:style w:type="character" w:customStyle="1" w:styleId="CommentSubjectChar">
    <w:name w:val="Comment Subject Char"/>
    <w:link w:val="CommentSubject"/>
    <w:uiPriority w:val="99"/>
    <w:semiHidden/>
    <w:rsid w:val="00AC46CD"/>
    <w:rPr>
      <w:b/>
      <w:bCs/>
    </w:rPr>
  </w:style>
  <w:style w:type="paragraph" w:styleId="DocumentMap">
    <w:name w:val="Document Map"/>
    <w:basedOn w:val="Normal"/>
    <w:link w:val="DocumentMapChar"/>
    <w:uiPriority w:val="99"/>
    <w:semiHidden/>
    <w:unhideWhenUsed/>
    <w:rsid w:val="005E3400"/>
    <w:rPr>
      <w:rFonts w:ascii="Tahoma" w:hAnsi="Tahoma" w:cs="Tahoma"/>
      <w:sz w:val="16"/>
      <w:szCs w:val="16"/>
    </w:rPr>
  </w:style>
  <w:style w:type="character" w:customStyle="1" w:styleId="DocumentMapChar">
    <w:name w:val="Document Map Char"/>
    <w:basedOn w:val="DefaultParagraphFont"/>
    <w:link w:val="DocumentMap"/>
    <w:uiPriority w:val="99"/>
    <w:semiHidden/>
    <w:rsid w:val="005E3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F4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02F44"/>
    <w:pPr>
      <w:tabs>
        <w:tab w:val="center" w:pos="4513"/>
        <w:tab w:val="right" w:pos="9026"/>
      </w:tabs>
      <w:spacing w:after="0" w:line="240" w:lineRule="auto"/>
    </w:pPr>
    <w:rPr>
      <w:sz w:val="20"/>
      <w:szCs w:val="20"/>
    </w:rPr>
  </w:style>
  <w:style w:type="character" w:customStyle="1" w:styleId="HeaderChar">
    <w:name w:val="Header Char"/>
    <w:link w:val="Header"/>
    <w:uiPriority w:val="99"/>
    <w:semiHidden/>
    <w:rsid w:val="00502F44"/>
    <w:rPr>
      <w:rFonts w:cs="Times New Roman"/>
    </w:rPr>
  </w:style>
  <w:style w:type="paragraph" w:styleId="Footer">
    <w:name w:val="footer"/>
    <w:basedOn w:val="Normal"/>
    <w:link w:val="FooterChar"/>
    <w:uiPriority w:val="99"/>
    <w:semiHidden/>
    <w:rsid w:val="00502F44"/>
    <w:pPr>
      <w:tabs>
        <w:tab w:val="center" w:pos="4513"/>
        <w:tab w:val="right" w:pos="9026"/>
      </w:tabs>
      <w:spacing w:after="0" w:line="240" w:lineRule="auto"/>
    </w:pPr>
    <w:rPr>
      <w:sz w:val="20"/>
      <w:szCs w:val="20"/>
    </w:rPr>
  </w:style>
  <w:style w:type="character" w:customStyle="1" w:styleId="FooterChar">
    <w:name w:val="Footer Char"/>
    <w:link w:val="Footer"/>
    <w:uiPriority w:val="99"/>
    <w:semiHidden/>
    <w:rsid w:val="00502F44"/>
    <w:rPr>
      <w:rFonts w:cs="Times New Roman"/>
    </w:rPr>
  </w:style>
  <w:style w:type="paragraph" w:styleId="ListParagraph">
    <w:name w:val="List Paragraph"/>
    <w:basedOn w:val="Normal"/>
    <w:uiPriority w:val="99"/>
    <w:qFormat/>
    <w:rsid w:val="008A6FD5"/>
    <w:pPr>
      <w:ind w:left="720"/>
      <w:contextualSpacing/>
    </w:pPr>
  </w:style>
  <w:style w:type="character" w:styleId="Hyperlink">
    <w:name w:val="Hyperlink"/>
    <w:uiPriority w:val="99"/>
    <w:rsid w:val="001D00F5"/>
    <w:rPr>
      <w:rFonts w:cs="Times New Roman"/>
      <w:color w:val="0000FF"/>
      <w:u w:val="single"/>
    </w:rPr>
  </w:style>
  <w:style w:type="paragraph" w:styleId="BalloonText">
    <w:name w:val="Balloon Text"/>
    <w:basedOn w:val="Normal"/>
    <w:link w:val="BalloonTextChar"/>
    <w:uiPriority w:val="99"/>
    <w:semiHidden/>
    <w:rsid w:val="000276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27693"/>
    <w:rPr>
      <w:rFonts w:ascii="Tahoma" w:hAnsi="Tahoma" w:cs="Tahoma"/>
      <w:sz w:val="16"/>
      <w:szCs w:val="16"/>
    </w:rPr>
  </w:style>
  <w:style w:type="character" w:styleId="CommentReference">
    <w:name w:val="annotation reference"/>
    <w:uiPriority w:val="99"/>
    <w:semiHidden/>
    <w:unhideWhenUsed/>
    <w:rsid w:val="00AC46CD"/>
    <w:rPr>
      <w:sz w:val="16"/>
      <w:szCs w:val="16"/>
    </w:rPr>
  </w:style>
  <w:style w:type="paragraph" w:styleId="CommentText">
    <w:name w:val="annotation text"/>
    <w:basedOn w:val="Normal"/>
    <w:link w:val="CommentTextChar"/>
    <w:uiPriority w:val="99"/>
    <w:semiHidden/>
    <w:unhideWhenUsed/>
    <w:rsid w:val="00AC46CD"/>
    <w:rPr>
      <w:sz w:val="20"/>
      <w:szCs w:val="20"/>
    </w:rPr>
  </w:style>
  <w:style w:type="character" w:customStyle="1" w:styleId="CommentTextChar">
    <w:name w:val="Comment Text Char"/>
    <w:basedOn w:val="DefaultParagraphFont"/>
    <w:link w:val="CommentText"/>
    <w:uiPriority w:val="99"/>
    <w:semiHidden/>
    <w:rsid w:val="00AC46CD"/>
  </w:style>
  <w:style w:type="paragraph" w:styleId="CommentSubject">
    <w:name w:val="annotation subject"/>
    <w:basedOn w:val="CommentText"/>
    <w:next w:val="CommentText"/>
    <w:link w:val="CommentSubjectChar"/>
    <w:uiPriority w:val="99"/>
    <w:semiHidden/>
    <w:unhideWhenUsed/>
    <w:rsid w:val="00AC46CD"/>
    <w:rPr>
      <w:b/>
      <w:bCs/>
    </w:rPr>
  </w:style>
  <w:style w:type="character" w:customStyle="1" w:styleId="CommentSubjectChar">
    <w:name w:val="Comment Subject Char"/>
    <w:link w:val="CommentSubject"/>
    <w:uiPriority w:val="99"/>
    <w:semiHidden/>
    <w:rsid w:val="00AC46CD"/>
    <w:rPr>
      <w:b/>
      <w:bCs/>
    </w:rPr>
  </w:style>
  <w:style w:type="paragraph" w:styleId="DocumentMap">
    <w:name w:val="Document Map"/>
    <w:basedOn w:val="Normal"/>
    <w:link w:val="DocumentMapChar"/>
    <w:uiPriority w:val="99"/>
    <w:semiHidden/>
    <w:unhideWhenUsed/>
    <w:rsid w:val="005E3400"/>
    <w:rPr>
      <w:rFonts w:ascii="Tahoma" w:hAnsi="Tahoma" w:cs="Tahoma"/>
      <w:sz w:val="16"/>
      <w:szCs w:val="16"/>
    </w:rPr>
  </w:style>
  <w:style w:type="character" w:customStyle="1" w:styleId="DocumentMapChar">
    <w:name w:val="Document Map Char"/>
    <w:basedOn w:val="DefaultParagraphFont"/>
    <w:link w:val="DocumentMap"/>
    <w:uiPriority w:val="99"/>
    <w:semiHidden/>
    <w:rsid w:val="005E34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89905">
      <w:bodyDiv w:val="1"/>
      <w:marLeft w:val="0"/>
      <w:marRight w:val="0"/>
      <w:marTop w:val="0"/>
      <w:marBottom w:val="0"/>
      <w:divBdr>
        <w:top w:val="none" w:sz="0" w:space="0" w:color="auto"/>
        <w:left w:val="none" w:sz="0" w:space="0" w:color="auto"/>
        <w:bottom w:val="none" w:sz="0" w:space="0" w:color="auto"/>
        <w:right w:val="none" w:sz="0" w:space="0" w:color="auto"/>
      </w:divBdr>
    </w:div>
    <w:div w:id="114252367">
      <w:bodyDiv w:val="1"/>
      <w:marLeft w:val="0"/>
      <w:marRight w:val="0"/>
      <w:marTop w:val="0"/>
      <w:marBottom w:val="0"/>
      <w:divBdr>
        <w:top w:val="none" w:sz="0" w:space="0" w:color="auto"/>
        <w:left w:val="none" w:sz="0" w:space="0" w:color="auto"/>
        <w:bottom w:val="none" w:sz="0" w:space="0" w:color="auto"/>
        <w:right w:val="none" w:sz="0" w:space="0" w:color="auto"/>
      </w:divBdr>
    </w:div>
    <w:div w:id="671026782">
      <w:bodyDiv w:val="1"/>
      <w:marLeft w:val="0"/>
      <w:marRight w:val="0"/>
      <w:marTop w:val="0"/>
      <w:marBottom w:val="0"/>
      <w:divBdr>
        <w:top w:val="none" w:sz="0" w:space="0" w:color="auto"/>
        <w:left w:val="none" w:sz="0" w:space="0" w:color="auto"/>
        <w:bottom w:val="none" w:sz="0" w:space="0" w:color="auto"/>
        <w:right w:val="none" w:sz="0" w:space="0" w:color="auto"/>
      </w:divBdr>
    </w:div>
    <w:div w:id="866678717">
      <w:bodyDiv w:val="1"/>
      <w:marLeft w:val="0"/>
      <w:marRight w:val="0"/>
      <w:marTop w:val="0"/>
      <w:marBottom w:val="0"/>
      <w:divBdr>
        <w:top w:val="none" w:sz="0" w:space="0" w:color="auto"/>
        <w:left w:val="none" w:sz="0" w:space="0" w:color="auto"/>
        <w:bottom w:val="none" w:sz="0" w:space="0" w:color="auto"/>
        <w:right w:val="none" w:sz="0" w:space="0" w:color="auto"/>
      </w:divBdr>
    </w:div>
    <w:div w:id="962805621">
      <w:bodyDiv w:val="1"/>
      <w:marLeft w:val="0"/>
      <w:marRight w:val="0"/>
      <w:marTop w:val="0"/>
      <w:marBottom w:val="0"/>
      <w:divBdr>
        <w:top w:val="none" w:sz="0" w:space="0" w:color="auto"/>
        <w:left w:val="none" w:sz="0" w:space="0" w:color="auto"/>
        <w:bottom w:val="none" w:sz="0" w:space="0" w:color="auto"/>
        <w:right w:val="none" w:sz="0" w:space="0" w:color="auto"/>
      </w:divBdr>
    </w:div>
    <w:div w:id="978074690">
      <w:bodyDiv w:val="1"/>
      <w:marLeft w:val="0"/>
      <w:marRight w:val="0"/>
      <w:marTop w:val="0"/>
      <w:marBottom w:val="0"/>
      <w:divBdr>
        <w:top w:val="none" w:sz="0" w:space="0" w:color="auto"/>
        <w:left w:val="none" w:sz="0" w:space="0" w:color="auto"/>
        <w:bottom w:val="none" w:sz="0" w:space="0" w:color="auto"/>
        <w:right w:val="none" w:sz="0" w:space="0" w:color="auto"/>
      </w:divBdr>
    </w:div>
    <w:div w:id="1008286650">
      <w:bodyDiv w:val="1"/>
      <w:marLeft w:val="0"/>
      <w:marRight w:val="0"/>
      <w:marTop w:val="0"/>
      <w:marBottom w:val="0"/>
      <w:divBdr>
        <w:top w:val="none" w:sz="0" w:space="0" w:color="auto"/>
        <w:left w:val="none" w:sz="0" w:space="0" w:color="auto"/>
        <w:bottom w:val="none" w:sz="0" w:space="0" w:color="auto"/>
        <w:right w:val="none" w:sz="0" w:space="0" w:color="auto"/>
      </w:divBdr>
    </w:div>
    <w:div w:id="1062754615">
      <w:bodyDiv w:val="1"/>
      <w:marLeft w:val="0"/>
      <w:marRight w:val="0"/>
      <w:marTop w:val="0"/>
      <w:marBottom w:val="0"/>
      <w:divBdr>
        <w:top w:val="none" w:sz="0" w:space="0" w:color="auto"/>
        <w:left w:val="none" w:sz="0" w:space="0" w:color="auto"/>
        <w:bottom w:val="none" w:sz="0" w:space="0" w:color="auto"/>
        <w:right w:val="none" w:sz="0" w:space="0" w:color="auto"/>
      </w:divBdr>
    </w:div>
    <w:div w:id="1118141399">
      <w:bodyDiv w:val="1"/>
      <w:marLeft w:val="0"/>
      <w:marRight w:val="0"/>
      <w:marTop w:val="0"/>
      <w:marBottom w:val="0"/>
      <w:divBdr>
        <w:top w:val="none" w:sz="0" w:space="0" w:color="auto"/>
        <w:left w:val="none" w:sz="0" w:space="0" w:color="auto"/>
        <w:bottom w:val="none" w:sz="0" w:space="0" w:color="auto"/>
        <w:right w:val="none" w:sz="0" w:space="0" w:color="auto"/>
      </w:divBdr>
    </w:div>
    <w:div w:id="1148206142">
      <w:bodyDiv w:val="1"/>
      <w:marLeft w:val="0"/>
      <w:marRight w:val="0"/>
      <w:marTop w:val="0"/>
      <w:marBottom w:val="0"/>
      <w:divBdr>
        <w:top w:val="none" w:sz="0" w:space="0" w:color="auto"/>
        <w:left w:val="none" w:sz="0" w:space="0" w:color="auto"/>
        <w:bottom w:val="none" w:sz="0" w:space="0" w:color="auto"/>
        <w:right w:val="none" w:sz="0" w:space="0" w:color="auto"/>
      </w:divBdr>
    </w:div>
    <w:div w:id="1288975606">
      <w:bodyDiv w:val="1"/>
      <w:marLeft w:val="0"/>
      <w:marRight w:val="0"/>
      <w:marTop w:val="0"/>
      <w:marBottom w:val="0"/>
      <w:divBdr>
        <w:top w:val="none" w:sz="0" w:space="0" w:color="auto"/>
        <w:left w:val="none" w:sz="0" w:space="0" w:color="auto"/>
        <w:bottom w:val="none" w:sz="0" w:space="0" w:color="auto"/>
        <w:right w:val="none" w:sz="0" w:space="0" w:color="auto"/>
      </w:divBdr>
    </w:div>
    <w:div w:id="1317149432">
      <w:bodyDiv w:val="1"/>
      <w:marLeft w:val="0"/>
      <w:marRight w:val="0"/>
      <w:marTop w:val="0"/>
      <w:marBottom w:val="0"/>
      <w:divBdr>
        <w:top w:val="none" w:sz="0" w:space="0" w:color="auto"/>
        <w:left w:val="none" w:sz="0" w:space="0" w:color="auto"/>
        <w:bottom w:val="none" w:sz="0" w:space="0" w:color="auto"/>
        <w:right w:val="none" w:sz="0" w:space="0" w:color="auto"/>
      </w:divBdr>
    </w:div>
    <w:div w:id="1485968361">
      <w:bodyDiv w:val="1"/>
      <w:marLeft w:val="0"/>
      <w:marRight w:val="0"/>
      <w:marTop w:val="0"/>
      <w:marBottom w:val="0"/>
      <w:divBdr>
        <w:top w:val="none" w:sz="0" w:space="0" w:color="auto"/>
        <w:left w:val="none" w:sz="0" w:space="0" w:color="auto"/>
        <w:bottom w:val="none" w:sz="0" w:space="0" w:color="auto"/>
        <w:right w:val="none" w:sz="0" w:space="0" w:color="auto"/>
      </w:divBdr>
    </w:div>
    <w:div w:id="1843661758">
      <w:marLeft w:val="0"/>
      <w:marRight w:val="0"/>
      <w:marTop w:val="0"/>
      <w:marBottom w:val="0"/>
      <w:divBdr>
        <w:top w:val="none" w:sz="0" w:space="0" w:color="auto"/>
        <w:left w:val="none" w:sz="0" w:space="0" w:color="auto"/>
        <w:bottom w:val="none" w:sz="0" w:space="0" w:color="auto"/>
        <w:right w:val="none" w:sz="0" w:space="0" w:color="auto"/>
      </w:divBdr>
    </w:div>
    <w:div w:id="1843661759">
      <w:marLeft w:val="0"/>
      <w:marRight w:val="0"/>
      <w:marTop w:val="0"/>
      <w:marBottom w:val="0"/>
      <w:divBdr>
        <w:top w:val="none" w:sz="0" w:space="0" w:color="auto"/>
        <w:left w:val="none" w:sz="0" w:space="0" w:color="auto"/>
        <w:bottom w:val="none" w:sz="0" w:space="0" w:color="auto"/>
        <w:right w:val="none" w:sz="0" w:space="0" w:color="auto"/>
      </w:divBdr>
    </w:div>
    <w:div w:id="1843661760">
      <w:marLeft w:val="0"/>
      <w:marRight w:val="0"/>
      <w:marTop w:val="0"/>
      <w:marBottom w:val="0"/>
      <w:divBdr>
        <w:top w:val="none" w:sz="0" w:space="0" w:color="auto"/>
        <w:left w:val="none" w:sz="0" w:space="0" w:color="auto"/>
        <w:bottom w:val="none" w:sz="0" w:space="0" w:color="auto"/>
        <w:right w:val="none" w:sz="0" w:space="0" w:color="auto"/>
      </w:divBdr>
    </w:div>
    <w:div w:id="1843661761">
      <w:marLeft w:val="0"/>
      <w:marRight w:val="0"/>
      <w:marTop w:val="0"/>
      <w:marBottom w:val="0"/>
      <w:divBdr>
        <w:top w:val="none" w:sz="0" w:space="0" w:color="auto"/>
        <w:left w:val="none" w:sz="0" w:space="0" w:color="auto"/>
        <w:bottom w:val="none" w:sz="0" w:space="0" w:color="auto"/>
        <w:right w:val="none" w:sz="0" w:space="0" w:color="auto"/>
      </w:divBdr>
    </w:div>
    <w:div w:id="1843661762">
      <w:marLeft w:val="0"/>
      <w:marRight w:val="0"/>
      <w:marTop w:val="0"/>
      <w:marBottom w:val="0"/>
      <w:divBdr>
        <w:top w:val="none" w:sz="0" w:space="0" w:color="auto"/>
        <w:left w:val="none" w:sz="0" w:space="0" w:color="auto"/>
        <w:bottom w:val="none" w:sz="0" w:space="0" w:color="auto"/>
        <w:right w:val="none" w:sz="0" w:space="0" w:color="auto"/>
      </w:divBdr>
    </w:div>
    <w:div w:id="1843661763">
      <w:marLeft w:val="0"/>
      <w:marRight w:val="0"/>
      <w:marTop w:val="0"/>
      <w:marBottom w:val="0"/>
      <w:divBdr>
        <w:top w:val="none" w:sz="0" w:space="0" w:color="auto"/>
        <w:left w:val="none" w:sz="0" w:space="0" w:color="auto"/>
        <w:bottom w:val="none" w:sz="0" w:space="0" w:color="auto"/>
        <w:right w:val="none" w:sz="0" w:space="0" w:color="auto"/>
      </w:divBdr>
    </w:div>
    <w:div w:id="1843661764">
      <w:marLeft w:val="0"/>
      <w:marRight w:val="0"/>
      <w:marTop w:val="0"/>
      <w:marBottom w:val="0"/>
      <w:divBdr>
        <w:top w:val="none" w:sz="0" w:space="0" w:color="auto"/>
        <w:left w:val="none" w:sz="0" w:space="0" w:color="auto"/>
        <w:bottom w:val="none" w:sz="0" w:space="0" w:color="auto"/>
        <w:right w:val="none" w:sz="0" w:space="0" w:color="auto"/>
      </w:divBdr>
    </w:div>
    <w:div w:id="201021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landregistry.gov.uk/campaigns/open-data-challeng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abel version="1.0">
  <element uid="id_unclassified"/>
  <element uid="id_newpolicy" value=""/>
</labe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FD8D9-07EE-4EA3-8642-474E7EAF0E30}">
  <ds:schemaRefs/>
</ds:datastoreItem>
</file>

<file path=customXml/itemProps2.xml><?xml version="1.0" encoding="utf-8"?>
<ds:datastoreItem xmlns:ds="http://schemas.openxmlformats.org/officeDocument/2006/customXml" ds:itemID="{9B7F5A3F-0B9D-4D17-91D4-9365B6ED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28190</CharactersWithSpaces>
  <SharedDoc>false</SharedDoc>
  <HLinks>
    <vt:vector size="12" baseType="variant">
      <vt:variant>
        <vt:i4>5701655</vt:i4>
      </vt:variant>
      <vt:variant>
        <vt:i4>3</vt:i4>
      </vt:variant>
      <vt:variant>
        <vt:i4>0</vt:i4>
      </vt:variant>
      <vt:variant>
        <vt:i4>5</vt:i4>
      </vt:variant>
      <vt:variant>
        <vt:lpwstr>http://www.landregistry.gov.uk/announcements/2013/land-registry-increases-the-amount-of-linked-data-available</vt:lpwstr>
      </vt:variant>
      <vt:variant>
        <vt:lpwstr/>
      </vt:variant>
      <vt:variant>
        <vt:i4>3</vt:i4>
      </vt:variant>
      <vt:variant>
        <vt:i4>0</vt:i4>
      </vt:variant>
      <vt:variant>
        <vt:i4>0</vt:i4>
      </vt:variant>
      <vt:variant>
        <vt:i4>5</vt:i4>
      </vt:variant>
      <vt:variant>
        <vt:lpwstr>http://www.landregistry.gov.uk/campaigns/open-data-challenge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rogcmlloyd</dc:creator>
  <cp:lastModifiedBy>MATT LLOYD</cp:lastModifiedBy>
  <cp:revision>2</cp:revision>
  <cp:lastPrinted>2014-01-13T15:33:00Z</cp:lastPrinted>
  <dcterms:created xsi:type="dcterms:W3CDTF">2014-01-27T11:51:00Z</dcterms:created>
  <dcterms:modified xsi:type="dcterms:W3CDTF">2014-01-27T11:51:00Z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31d97121-3ac7-4d0b-9faa-906e65779a77</vt:lpwstr>
  </property>
</Properties>
</file>