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Sequence Annotation System — Design &amp; Implementation Plan</w:t>
      </w:r>
    </w:p>
    <w:p>
      <w:pPr>
        <w:pStyle w:val="Heading1"/>
      </w:pPr>
      <w:r>
        <w:t>1. Context and Motivation</w:t>
      </w:r>
    </w:p>
    <w:p>
      <w:pPr>
        <w:pStyle w:val="Heading2"/>
      </w:pPr>
      <w:r>
        <w:t>The Problem</w:t>
      </w:r>
    </w:p>
    <w:p>
      <w:r>
        <w:rPr>
          <w:rFonts w:ascii="Calibri" w:hAnsi="Calibri"/>
          <w:b w:val="0"/>
          <w:i w:val="0"/>
          <w:sz w:val="22"/>
        </w:rPr>
        <w:t xml:space="preserve">When working with antibody or protein sequences in Datagrok, a user today can see the raw sequence rendered in the grid, scroll through aligned positions, view a WebLogo, and extract sub-regions by manually typing position ranges. But there is </w:t>
      </w:r>
      <w:r>
        <w:rPr>
          <w:rFonts w:ascii="Calibri" w:hAnsi="Calibri"/>
          <w:b/>
          <w:i w:val="0"/>
          <w:sz w:val="22"/>
        </w:rPr>
        <w:t>no structured way to say "these positions are CDR1"</w:t>
      </w:r>
      <w:r>
        <w:rPr>
          <w:rFonts w:ascii="Calibri" w:hAnsi="Calibri"/>
          <w:b w:val="0"/>
          <w:i w:val="0"/>
          <w:sz w:val="22"/>
        </w:rPr>
        <w:t>, no way to automatically flag sequence liabilities (deamidation hotspots, oxidation-prone residues), and no way to visually see region boundaries while scrolling through a long aligned sequence.</w:t>
      </w:r>
    </w:p>
    <w:p>
      <w:r>
        <w:rPr>
          <w:rFonts w:ascii="Calibri" w:hAnsi="Calibri"/>
          <w:b w:val="0"/>
          <w:i w:val="0"/>
          <w:sz w:val="22"/>
        </w:rPr>
        <w:t>For antibody engineering — the primary use-case — this is a significant gap. A scientist looking at a panel of antibody candidates needs to:</w:t>
      </w:r>
    </w:p>
    <w:p>
      <w:pPr>
        <w:pStyle w:val="ListBullet"/>
      </w:pPr>
      <w:r>
        <w:rPr>
          <w:rFonts w:ascii="Calibri" w:hAnsi="Calibri"/>
          <w:b w:val="0"/>
          <w:i w:val="0"/>
          <w:sz w:val="22"/>
        </w:rPr>
        <w:t>Know where the variable regions (VH/VL) are, and within them the framework (FR1–FR4) and complementarity-determining regions (CDR1–CDR3).</w:t>
      </w:r>
    </w:p>
    <w:p>
      <w:pPr>
        <w:pStyle w:val="ListBullet"/>
      </w:pPr>
      <w:r>
        <w:rPr>
          <w:rFonts w:ascii="Calibri" w:hAnsi="Calibri"/>
          <w:b w:val="0"/>
          <w:i w:val="0"/>
          <w:sz w:val="22"/>
        </w:rPr>
        <w:t>Spot sequence liabilities (NG deamidation, DG isomerization, Met oxidation, N-linked glycosylation motifs) that may cause manufacturing or stability issues.</w:t>
      </w:r>
    </w:p>
    <w:p>
      <w:pPr>
        <w:pStyle w:val="ListBullet"/>
      </w:pPr>
      <w:r>
        <w:rPr>
          <w:rFonts w:ascii="Calibri" w:hAnsi="Calibri"/>
          <w:b w:val="0"/>
          <w:i w:val="0"/>
          <w:sz w:val="22"/>
        </w:rPr>
        <w:t>Act on these annotations: extract a CDR, filter candidates by liability count, compare CDR3 loops across variants.</w:t>
      </w:r>
    </w:p>
    <w:p>
      <w:pPr>
        <w:pStyle w:val="Heading2"/>
      </w:pPr>
      <w:r>
        <w:t>What Exists Today</w:t>
      </w:r>
    </w:p>
    <w:p>
      <w:r>
        <w:rPr>
          <w:rFonts w:ascii="Calibri" w:hAnsi="Calibri"/>
          <w:b w:val="0"/>
          <w:i w:val="0"/>
          <w:sz w:val="22"/>
        </w:rPr>
        <w:t>The Bio package already has building blocks that we can extend: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Capability</w:t>
            </w:r>
          </w:p>
        </w:tc>
        <w:tc>
          <w:tcPr>
            <w:tcW w:type="dxa" w:w="2880"/>
          </w:tcPr>
          <w:p>
            <w:r/>
            <w:r>
              <w:rPr>
                <w:rFonts w:ascii="Calibri" w:hAnsi="Calibri"/>
                <w:b/>
                <w:i w:val="0"/>
                <w:sz w:val="20"/>
              </w:rPr>
              <w:t>Where</w:t>
            </w:r>
          </w:p>
        </w:tc>
        <w:tc>
          <w:tcPr>
            <w:tcW w:type="dxa" w:w="2880"/>
          </w:tcPr>
          <w:p>
            <w:r/>
            <w:r>
              <w:rPr>
                <w:rFonts w:ascii="Calibri" w:hAnsi="Calibri"/>
                <w:b/>
                <w:i w:val="0"/>
                <w:sz w:val="20"/>
              </w:rPr>
              <w:t>Status</w:t>
            </w:r>
          </w:p>
        </w:tc>
      </w:tr>
      <w:tr>
        <w:tc>
          <w:tcPr>
            <w:tcW w:type="dxa" w:w="2880"/>
          </w:tcPr>
          <w:p>
            <w:r/>
            <w:r>
              <w:rPr>
                <w:rFonts w:ascii="Calibri" w:hAnsi="Calibri"/>
                <w:b/>
                <w:i w:val="0"/>
                <w:sz w:val="20"/>
              </w:rPr>
              <w:t>Position naming</w:t>
            </w:r>
            <w:r>
              <w:rPr>
                <w:rFonts w:ascii="Calibri" w:hAnsi="Calibri"/>
                <w:b w:val="0"/>
                <w:i w:val="0"/>
                <w:sz w:val="20"/>
              </w:rPr>
              <w:t xml:space="preserve"> — arbitrary string labels per position</w:t>
            </w:r>
          </w:p>
        </w:tc>
        <w:tc>
          <w:tcPr>
            <w:tcW w:type="dxa" w:w="2880"/>
          </w:tcPr>
          <w:p>
            <w:r/>
            <w:r>
              <w:rPr>
                <w:rFonts w:ascii="Calibri" w:hAnsi="Calibri"/>
                <w:b w:val="0"/>
                <w:i w:val="0"/>
                <w:sz w:val="20"/>
              </w:rPr>
              <w:t>Column tag `.positionNames`, read by `ISeqHandler.posList` in [seq-handler.ts](libraries/bio/src/utils/macromolecule/seq-handler.ts)</w:t>
            </w:r>
          </w:p>
        </w:tc>
        <w:tc>
          <w:tcPr>
            <w:tcW w:type="dxa" w:w="2880"/>
          </w:tcPr>
          <w:p>
            <w:r/>
            <w:r>
              <w:rPr>
                <w:rFonts w:ascii="Calibri" w:hAnsi="Calibri"/>
                <w:b w:val="0"/>
                <w:i w:val="0"/>
                <w:sz w:val="20"/>
              </w:rPr>
              <w:t>Working, but only populated manually or by external tools</w:t>
            </w:r>
          </w:p>
        </w:tc>
      </w:tr>
      <w:tr>
        <w:tc>
          <w:tcPr>
            <w:tcW w:type="dxa" w:w="2880"/>
          </w:tcPr>
          <w:p>
            <w:r/>
            <w:r>
              <w:rPr>
                <w:rFonts w:ascii="Calibri" w:hAnsi="Calibri"/>
                <w:b/>
                <w:i w:val="0"/>
                <w:sz w:val="20"/>
              </w:rPr>
              <w:t>Region definitions</w:t>
            </w:r>
            <w:r>
              <w:rPr>
                <w:rFonts w:ascii="Calibri" w:hAnsi="Calibri"/>
                <w:b w:val="0"/>
                <w:i w:val="0"/>
                <w:sz w:val="20"/>
              </w:rPr>
              <w:t xml:space="preserve"> — named start/end spans</w:t>
            </w:r>
          </w:p>
        </w:tc>
        <w:tc>
          <w:tcPr>
            <w:tcW w:type="dxa" w:w="2880"/>
          </w:tcPr>
          <w:p>
            <w:r/>
            <w:r>
              <w:rPr>
                <w:rFonts w:ascii="Calibri" w:hAnsi="Calibri"/>
                <w:b w:val="0"/>
                <w:i w:val="0"/>
                <w:sz w:val="20"/>
              </w:rPr>
              <w:t>Column tag `.regions` (JSON array of `SeqRegion`), read by [get-region-func-editor.ts](src/utils/get-region-func-editor.ts)</w:t>
            </w:r>
          </w:p>
        </w:tc>
        <w:tc>
          <w:tcPr>
            <w:tcW w:type="dxa" w:w="2880"/>
          </w:tcPr>
          <w:p>
            <w:r/>
            <w:r>
              <w:rPr>
                <w:rFonts w:ascii="Calibri" w:hAnsi="Calibri"/>
                <w:b w:val="0"/>
                <w:i w:val="0"/>
                <w:sz w:val="20"/>
              </w:rPr>
              <w:t>Working, but only basic {name, description, start, end}</w:t>
            </w:r>
          </w:p>
        </w:tc>
      </w:tr>
      <w:tr>
        <w:tc>
          <w:tcPr>
            <w:tcW w:type="dxa" w:w="2880"/>
          </w:tcPr>
          <w:p>
            <w:r/>
            <w:r>
              <w:rPr>
                <w:rFonts w:ascii="Calibri" w:hAnsi="Calibri"/>
                <w:b/>
                <w:i w:val="0"/>
                <w:sz w:val="20"/>
              </w:rPr>
              <w:t>Region extraction</w:t>
            </w:r>
            <w:r>
              <w:rPr>
                <w:rFonts w:ascii="Calibri" w:hAnsi="Calibri"/>
                <w:b w:val="0"/>
                <w:i w:val="0"/>
                <w:sz w:val="20"/>
              </w:rPr>
              <w:t xml:space="preserve"> — cut a sub-sequence by position names</w:t>
            </w:r>
          </w:p>
        </w:tc>
        <w:tc>
          <w:tcPr>
            <w:tcW w:type="dxa" w:w="2880"/>
          </w:tcPr>
          <w:p>
            <w:r/>
            <w:r>
              <w:rPr>
                <w:rFonts w:ascii="Calibri" w:hAnsi="Calibri"/>
                <w:b w:val="0"/>
                <w:i w:val="0"/>
                <w:sz w:val="20"/>
              </w:rPr>
              <w:t>`ISeqHandler.getRegion()` in [seq-handler.ts](libraries/bio/src/utils/macromolecule/seq-handler.ts), UI in [get-region.ts](src/utils/get-region.ts)</w:t>
            </w:r>
          </w:p>
        </w:tc>
        <w:tc>
          <w:tcPr>
            <w:tcW w:type="dxa" w:w="2880"/>
          </w:tcPr>
          <w:p>
            <w:r/>
            <w:r>
              <w:rPr>
                <w:rFonts w:ascii="Calibri" w:hAnsi="Calibri"/>
                <w:b w:val="0"/>
                <w:i w:val="0"/>
                <w:sz w:val="20"/>
              </w:rPr>
              <w:t>Working</w:t>
            </w:r>
          </w:p>
        </w:tc>
      </w:tr>
      <w:tr>
        <w:tc>
          <w:tcPr>
            <w:tcW w:type="dxa" w:w="2880"/>
          </w:tcPr>
          <w:p>
            <w:r/>
            <w:r>
              <w:rPr>
                <w:rFonts w:ascii="Calibri" w:hAnsi="Calibri"/>
                <w:b/>
                <w:i w:val="0"/>
                <w:sz w:val="20"/>
              </w:rPr>
              <w:t>VD Regions viewer</w:t>
            </w:r>
            <w:r>
              <w:rPr>
                <w:rFonts w:ascii="Calibri" w:hAnsi="Calibri"/>
                <w:b w:val="0"/>
                <w:i w:val="0"/>
                <w:sz w:val="20"/>
              </w:rPr>
              <w:t xml:space="preserve"> — grid of WebLogos per FR/CDR</w:t>
            </w:r>
          </w:p>
        </w:tc>
        <w:tc>
          <w:tcPr>
            <w:tcW w:type="dxa" w:w="2880"/>
          </w:tcPr>
          <w:p>
            <w:r/>
            <w:r>
              <w:rPr>
                <w:rFonts w:ascii="Calibri" w:hAnsi="Calibri"/>
                <w:b w:val="0"/>
                <w:i w:val="0"/>
                <w:sz w:val="20"/>
              </w:rPr>
              <w:t>[vd-regions-viewer.ts](src/viewers/vd-regions-viewer.ts) using `VdRegion` interface from [vd-regions.ts](libraries/bio/src/viewers/vd-regions.ts)</w:t>
            </w:r>
          </w:p>
        </w:tc>
        <w:tc>
          <w:tcPr>
            <w:tcW w:type="dxa" w:w="2880"/>
          </w:tcPr>
          <w:p>
            <w:r/>
            <w:r>
              <w:rPr>
                <w:rFonts w:ascii="Calibri" w:hAnsi="Calibri"/>
                <w:b w:val="0"/>
                <w:i w:val="0"/>
                <w:sz w:val="20"/>
              </w:rPr>
              <w:t>Working, but requires manual VdRegion data; IMGT region defs are commented out (lines 27-48)</w:t>
            </w:r>
          </w:p>
        </w:tc>
      </w:tr>
      <w:tr>
        <w:tc>
          <w:tcPr>
            <w:tcW w:type="dxa" w:w="2880"/>
          </w:tcPr>
          <w:p>
            <w:r/>
            <w:r>
              <w:rPr>
                <w:rFonts w:ascii="Calibri" w:hAnsi="Calibri"/>
                <w:b/>
                <w:i w:val="0"/>
                <w:sz w:val="20"/>
              </w:rPr>
              <w:t>MSA scrolling header</w:t>
            </w:r>
            <w:r>
              <w:rPr>
                <w:rFonts w:ascii="Calibri" w:hAnsi="Calibri"/>
                <w:b w:val="0"/>
                <w:i w:val="0"/>
                <w:sz w:val="20"/>
              </w:rPr>
              <w:t xml:space="preserve"> — WebLogo + conservation tracks above grid</w:t>
            </w:r>
          </w:p>
        </w:tc>
        <w:tc>
          <w:tcPr>
            <w:tcW w:type="dxa" w:w="2880"/>
          </w:tcPr>
          <w:p>
            <w:r/>
            <w:r>
              <w:rPr>
                <w:rFonts w:ascii="Calibri" w:hAnsi="Calibri"/>
                <w:b w:val="0"/>
                <w:i w:val="0"/>
                <w:sz w:val="20"/>
              </w:rPr>
              <w:t>[sequence-scrolling-widget.ts](src/widgets/sequence-scrolling-widget.ts), track base class `MSAHeaderTrack` in [sequence-position-scroller.ts](libraries/bio/src/utils/sequence-position-scroller.ts)</w:t>
            </w:r>
          </w:p>
        </w:tc>
        <w:tc>
          <w:tcPr>
            <w:tcW w:type="dxa" w:w="2880"/>
          </w:tcPr>
          <w:p>
            <w:r/>
            <w:r>
              <w:rPr>
                <w:rFonts w:ascii="Calibri" w:hAnsi="Calibri"/>
                <w:b w:val="0"/>
                <w:i w:val="0"/>
                <w:sz w:val="20"/>
              </w:rPr>
              <w:t>Working; extensible via new track subclasses</w:t>
            </w:r>
          </w:p>
        </w:tc>
      </w:tr>
      <w:tr>
        <w:tc>
          <w:tcPr>
            <w:tcW w:type="dxa" w:w="2880"/>
          </w:tcPr>
          <w:p>
            <w:r/>
            <w:r>
              <w:rPr>
                <w:rFonts w:ascii="Calibri" w:hAnsi="Calibri"/>
                <w:b/>
                <w:i w:val="0"/>
                <w:sz w:val="20"/>
              </w:rPr>
              <w:t>Cell renderer</w:t>
            </w:r>
            <w:r>
              <w:rPr>
                <w:rFonts w:ascii="Calibri" w:hAnsi="Calibri"/>
                <w:b w:val="0"/>
                <w:i w:val="0"/>
                <w:sz w:val="20"/>
              </w:rPr>
              <w:t xml:space="preserve"> — monomer-by-monomer rendering with color coding</w:t>
            </w:r>
          </w:p>
        </w:tc>
        <w:tc>
          <w:tcPr>
            <w:tcW w:type="dxa" w:w="2880"/>
          </w:tcPr>
          <w:p>
            <w:r/>
            <w:r>
              <w:rPr>
                <w:rFonts w:ascii="Calibri" w:hAnsi="Calibri"/>
                <w:b w:val="0"/>
                <w:i w:val="0"/>
                <w:sz w:val="20"/>
              </w:rPr>
              <w:t>`MonomerPlacer` in [cell-renderer-monomer-placer.ts](libraries/bio/src/utils/cell-renderer-monomer-placer.ts), drawing via `printLeftOrCentered()` in [cell-renderer.ts](libraries/bio/src/utils/cell-renderer.ts)</w:t>
            </w:r>
          </w:p>
        </w:tc>
        <w:tc>
          <w:tcPr>
            <w:tcW w:type="dxa" w:w="2880"/>
          </w:tcPr>
          <w:p>
            <w:r/>
            <w:r>
              <w:rPr>
                <w:rFonts w:ascii="Calibri" w:hAnsi="Calibri"/>
                <w:b w:val="0"/>
                <w:i w:val="0"/>
                <w:sz w:val="20"/>
              </w:rPr>
              <w:t>Working; could accept per-position background colors</w:t>
            </w:r>
          </w:p>
        </w:tc>
      </w:tr>
      <w:tr>
        <w:tc>
          <w:tcPr>
            <w:tcW w:type="dxa" w:w="2880"/>
          </w:tcPr>
          <w:p>
            <w:r/>
            <w:r>
              <w:rPr>
                <w:rFonts w:ascii="Calibri" w:hAnsi="Calibri"/>
                <w:b/>
                <w:i w:val="0"/>
                <w:sz w:val="20"/>
              </w:rPr>
              <w:t>Column property panel</w:t>
            </w:r>
            <w:r>
              <w:rPr>
                <w:rFonts w:ascii="Calibri" w:hAnsi="Calibri"/>
                <w:b w:val="0"/>
                <w:i w:val="0"/>
                <w:sz w:val="20"/>
              </w:rPr>
              <w:t xml:space="preserve"> — font, color, reference seq settings</w:t>
            </w:r>
          </w:p>
        </w:tc>
        <w:tc>
          <w:tcPr>
            <w:tcW w:type="dxa" w:w="2880"/>
          </w:tcPr>
          <w:p>
            <w:r/>
            <w:r>
              <w:rPr>
                <w:rFonts w:ascii="Calibri" w:hAnsi="Calibri"/>
                <w:b w:val="0"/>
                <w:i w:val="0"/>
                <w:sz w:val="20"/>
              </w:rPr>
              <w:t>[representations.ts](src/widgets/representations.ts)</w:t>
            </w:r>
          </w:p>
        </w:tc>
        <w:tc>
          <w:tcPr>
            <w:tcW w:type="dxa" w:w="2880"/>
          </w:tcPr>
          <w:p>
            <w:r/>
            <w:r>
              <w:rPr>
                <w:rFonts w:ascii="Calibri" w:hAnsi="Calibri"/>
                <w:b w:val="0"/>
                <w:i w:val="0"/>
                <w:sz w:val="20"/>
              </w:rPr>
              <w:t>Working; extensible with new accordion panes</w:t>
            </w:r>
          </w:p>
        </w:tc>
      </w:tr>
    </w:tbl>
    <w:p>
      <w:pPr>
        <w:pStyle w:val="Heading2"/>
      </w:pPr>
      <w:r>
        <w:t>What's Missing</w:t>
      </w:r>
    </w:p>
    <w:p>
      <w:pPr>
        <w:pStyle w:val="ListNumber"/>
      </w:pPr>
      <w:r>
        <w:rPr>
          <w:rFonts w:ascii="Calibri" w:hAnsi="Calibri"/>
          <w:b/>
          <w:i w:val="0"/>
          <w:sz w:val="22"/>
        </w:rPr>
        <w:t>No antibody numbering scheme support</w:t>
      </w:r>
      <w:r>
        <w:rPr>
          <w:rFonts w:ascii="Calibri" w:hAnsi="Calibri"/>
          <w:b w:val="0"/>
          <w:i w:val="0"/>
          <w:sz w:val="22"/>
        </w:rPr>
        <w:t xml:space="preserve"> — no way to assign IMGT/Kabat/Chothia/AHo numbers to positions automatically.</w:t>
      </w:r>
    </w:p>
    <w:p>
      <w:pPr>
        <w:pStyle w:val="ListNumber"/>
      </w:pPr>
      <w:r>
        <w:rPr>
          <w:rFonts w:ascii="Calibri" w:hAnsi="Calibri"/>
          <w:b/>
          <w:i w:val="0"/>
          <w:sz w:val="22"/>
        </w:rPr>
        <w:t>No liability scanning</w:t>
      </w:r>
      <w:r>
        <w:rPr>
          <w:rFonts w:ascii="Calibri" w:hAnsi="Calibri"/>
          <w:b w:val="0"/>
          <w:i w:val="0"/>
          <w:sz w:val="22"/>
        </w:rPr>
        <w:t xml:space="preserve"> — no built-in rules for detecting deamidation, oxidation, isomerization, glycosylation motifs.</w:t>
      </w:r>
    </w:p>
    <w:p>
      <w:pPr>
        <w:pStyle w:val="ListNumber"/>
      </w:pPr>
      <w:r>
        <w:rPr>
          <w:rFonts w:ascii="Calibri" w:hAnsi="Calibri"/>
          <w:b/>
          <w:i w:val="0"/>
          <w:sz w:val="22"/>
        </w:rPr>
        <w:t>No visual annotation in the renderer</w:t>
      </w:r>
      <w:r>
        <w:rPr>
          <w:rFonts w:ascii="Calibri" w:hAnsi="Calibri"/>
          <w:b w:val="0"/>
          <w:i w:val="0"/>
          <w:sz w:val="22"/>
        </w:rPr>
        <w:t xml:space="preserve"> — no colored region bands, no liability markers in the grid cells.</w:t>
      </w:r>
    </w:p>
    <w:p>
      <w:pPr>
        <w:pStyle w:val="ListNumber"/>
      </w:pPr>
      <w:r>
        <w:rPr>
          <w:rFonts w:ascii="Calibri" w:hAnsi="Calibri"/>
          <w:b/>
          <w:i w:val="0"/>
          <w:sz w:val="22"/>
        </w:rPr>
        <w:t>No annotation track in the MSA header</w:t>
      </w:r>
      <w:r>
        <w:rPr>
          <w:rFonts w:ascii="Calibri" w:hAnsi="Calibri"/>
          <w:b w:val="0"/>
          <w:i w:val="0"/>
          <w:sz w:val="22"/>
        </w:rPr>
        <w:t xml:space="preserve"> — no way to see region boundaries while scrolling.</w:t>
      </w:r>
    </w:p>
    <w:p>
      <w:pPr>
        <w:pStyle w:val="ListNumber"/>
      </w:pPr>
      <w:r>
        <w:rPr>
          <w:rFonts w:ascii="Calibri" w:hAnsi="Calibri"/>
          <w:b/>
          <w:i w:val="0"/>
          <w:sz w:val="22"/>
        </w:rPr>
        <w:t>No annotation management UI</w:t>
      </w:r>
      <w:r>
        <w:rPr>
          <w:rFonts w:ascii="Calibri" w:hAnsi="Calibri"/>
          <w:b w:val="0"/>
          <w:i w:val="0"/>
          <w:sz w:val="22"/>
        </w:rPr>
        <w:t xml:space="preserve"> — no way to add, edit, remove, or toggle annotations.</w:t>
      </w:r>
    </w:p>
    <w:p>
      <w:pPr>
        <w:pStyle w:val="ListNumber"/>
      </w:pPr>
      <w:r>
        <w:rPr>
          <w:rFonts w:ascii="Calibri" w:hAnsi="Calibri"/>
          <w:b/>
          <w:i w:val="0"/>
          <w:sz w:val="22"/>
        </w:rPr>
        <w:t>No annotation-driven actions</w:t>
      </w:r>
      <w:r>
        <w:rPr>
          <w:rFonts w:ascii="Calibri" w:hAnsi="Calibri"/>
          <w:b w:val="0"/>
          <w:i w:val="0"/>
          <w:sz w:val="22"/>
        </w:rPr>
        <w:t xml:space="preserve"> — no "extract this CDR" button from an annotation, no "filter by liability count".</w:t>
      </w:r>
    </w:p>
    <w:p>
      <w:pPr>
        <w:pStyle w:val="Heading1"/>
      </w:pPr>
      <w:r>
        <w:t>2. Data Model</w:t>
      </w:r>
    </w:p>
    <w:p>
      <w:pPr>
        <w:pStyle w:val="Heading2"/>
      </w:pPr>
      <w:r>
        <w:t>2.1 Design Principles</w:t>
      </w:r>
    </w:p>
    <w:p>
      <w:pPr>
        <w:pStyle w:val="ListBullet"/>
      </w:pPr>
      <w:r>
        <w:rPr>
          <w:rFonts w:ascii="Calibri" w:hAnsi="Calibri"/>
          <w:b/>
          <w:i w:val="0"/>
          <w:sz w:val="22"/>
        </w:rPr>
        <w:t>Column-level annotations</w:t>
      </w:r>
      <w:r>
        <w:rPr>
          <w:rFonts w:ascii="Calibri" w:hAnsi="Calibri"/>
          <w:b w:val="0"/>
          <w:i w:val="0"/>
          <w:sz w:val="22"/>
        </w:rPr>
        <w:t xml:space="preserve"> for things that apply uniformly to all rows (e.g., "CDR1 is positions 27-38 in IMGT numbering"). Stored as </w:t>
      </w:r>
      <w:r>
        <w:rPr>
          <w:rFonts w:ascii="Calibri" w:hAnsi="Calibri"/>
          <w:b/>
          <w:i w:val="0"/>
          <w:sz w:val="22"/>
        </w:rPr>
        <w:t>column tags</w:t>
      </w:r>
      <w:r>
        <w:rPr>
          <w:rFonts w:ascii="Calibri" w:hAnsi="Calibri"/>
          <w:b w:val="0"/>
          <w:i w:val="0"/>
          <w:sz w:val="22"/>
        </w:rPr>
        <w:t xml:space="preserve"> so they serialize with projects automatically.</w:t>
      </w:r>
    </w:p>
    <w:p>
      <w:pPr>
        <w:pStyle w:val="ListBullet"/>
      </w:pPr>
      <w:r>
        <w:rPr>
          <w:rFonts w:ascii="Calibri" w:hAnsi="Calibri"/>
          <w:b/>
          <w:i w:val="0"/>
          <w:sz w:val="22"/>
        </w:rPr>
        <w:t>Row-level annotations</w:t>
      </w:r>
      <w:r>
        <w:rPr>
          <w:rFonts w:ascii="Calibri" w:hAnsi="Calibri"/>
          <w:b w:val="0"/>
          <w:i w:val="0"/>
          <w:sz w:val="22"/>
        </w:rPr>
        <w:t xml:space="preserve"> for per-sequence findings (e.g., "row 7 has an NG deamidation motif at position 52"). Stored as a </w:t>
      </w:r>
      <w:r>
        <w:rPr>
          <w:rFonts w:ascii="Calibri" w:hAnsi="Calibri"/>
          <w:b/>
          <w:i w:val="0"/>
          <w:sz w:val="22"/>
        </w:rPr>
        <w:t>parallel string column</w:t>
      </w:r>
      <w:r>
        <w:rPr>
          <w:rFonts w:ascii="Calibri" w:hAnsi="Calibri"/>
          <w:b w:val="0"/>
          <w:i w:val="0"/>
          <w:sz w:val="22"/>
        </w:rPr>
        <w:t xml:space="preserve"> containing JSON.</w:t>
      </w:r>
    </w:p>
    <w:p>
      <w:pPr>
        <w:pStyle w:val="ListBullet"/>
      </w:pPr>
      <w:r>
        <w:rPr>
          <w:rFonts w:ascii="Calibri" w:hAnsi="Calibri"/>
          <w:b/>
          <w:i w:val="0"/>
          <w:sz w:val="22"/>
        </w:rPr>
        <w:t>Backward compatible</w:t>
      </w:r>
      <w:r>
        <w:rPr>
          <w:rFonts w:ascii="Calibri" w:hAnsi="Calibri"/>
          <w:b w:val="0"/>
          <w:i w:val="0"/>
          <w:sz w:val="22"/>
        </w:rPr>
        <w:t xml:space="preserve"> with the existing </w:t>
      </w:r>
      <w:r>
        <w:rPr>
          <w:rFonts w:ascii="Consolas" w:hAnsi="Consolas"/>
          <w:b w:val="0"/>
          <w:i w:val="0"/>
          <w:color w:val="505050"/>
          <w:sz w:val="20"/>
        </w:rPr>
        <w:t>.regions</w:t>
      </w:r>
      <w:r>
        <w:rPr>
          <w:rFonts w:ascii="Calibri" w:hAnsi="Calibri"/>
          <w:b w:val="0"/>
          <w:i w:val="0"/>
          <w:sz w:val="22"/>
        </w:rPr>
        <w:t xml:space="preserve"> tag — old data still works, new features are additive.</w:t>
      </w:r>
    </w:p>
    <w:p>
      <w:pPr>
        <w:pStyle w:val="Heading2"/>
      </w:pPr>
      <w:r>
        <w:t>2.2 Core Types</w:t>
      </w:r>
    </w:p>
    <w:p>
      <w:r>
        <w:rPr>
          <w:rFonts w:ascii="Calibri" w:hAnsi="Calibri"/>
          <w:b w:val="0"/>
          <w:i w:val="0"/>
          <w:sz w:val="22"/>
        </w:rPr>
        <w:t xml:space="preserve">New file: </w:t>
      </w:r>
      <w:r>
        <w:rPr>
          <w:rFonts w:ascii="Consolas" w:hAnsi="Consolas"/>
          <w:b w:val="0"/>
          <w:i w:val="0"/>
          <w:color w:val="505050"/>
          <w:sz w:val="20"/>
        </w:rPr>
        <w:t>libraries/bio/src/utils/macromolecule/annotations.ts</w:t>
      </w:r>
    </w:p>
    <w:p>
      <w:pPr>
        <w:spacing w:before="80" w:after="80"/>
        <w:ind w:left="432"/>
      </w:pPr>
      <w:r>
        <w:rPr>
          <w:rFonts w:ascii="Consolas" w:hAnsi="Consolas"/>
          <w:b w:val="0"/>
          <w:i w:val="0"/>
          <w:color w:val="505050"/>
          <w:sz w:val="18"/>
        </w:rPr>
        <w:t>/** Visual mark type */</w:t>
        <w:br/>
        <w:t>export enum AnnotationVisualType {</w:t>
        <w:br/>
        <w:t xml:space="preserve">  Region = 'region',   // Contiguous span (e.g., CDR1)</w:t>
        <w:br/>
        <w:t xml:space="preserve">  Point = 'point',     // Single position (e.g., oxidation-prone Met)</w:t>
        <w:br/>
        <w:t xml:space="preserve">  Motif = 'motif',     // 2-3 consecutive positions (e.g., NG deamidation)</w:t>
        <w:br/>
        <w:t>}</w:t>
        <w:br/>
        <w:br/>
        <w:t>/** Grouping category */</w:t>
        <w:br/>
        <w:t>export enum AnnotationCategory {</w:t>
        <w:br/>
        <w:t xml:space="preserve">  Structure = 'structure',   // FR/CDR regions</w:t>
        <w:br/>
        <w:t xml:space="preserve">  Liability = 'liability',   // Sequence liabilities</w:t>
        <w:br/>
        <w:t xml:space="preserve">  PTM = 'ptm',               // Post-translational modifications</w:t>
        <w:br/>
        <w:t xml:space="preserve">  Custom = 'custom',         // User-defined</w:t>
        <w:br/>
        <w:t>}</w:t>
        <w:br/>
        <w:br/>
        <w:t>/** Severity for liabilities */</w:t>
        <w:br/>
        <w:t>export enum LiabilitySeverity {</w:t>
        <w:br/>
        <w:t xml:space="preserve">  High = 'high',</w:t>
        <w:br/>
        <w:t xml:space="preserve">  Medium = 'medium',</w:t>
        <w:br/>
        <w:t xml:space="preserve">  Low = 'low',</w:t>
        <w:br/>
        <w:t xml:space="preserve">  Info = 'info',</w:t>
        <w:br/>
        <w:t>}</w:t>
        <w:br/>
        <w:br/>
        <w:t>/**</w:t>
        <w:br/>
        <w:t xml:space="preserve"> * A single annotation definition attached to a column.</w:t>
        <w:br/>
        <w:t xml:space="preserve"> * Extends the existing SeqRegion concept with visual/categorical metadata.</w:t>
        <w:br/>
        <w:t xml:space="preserve"> */</w:t>
        <w:br/>
        <w:t>export interface SeqAnnotation {</w:t>
        <w:br/>
        <w:t xml:space="preserve">  id: string;                              // Unique within column</w:t>
        <w:br/>
        <w:t xml:space="preserve">  name: string;                            // "CDR1", "Deamidation (NG)"</w:t>
        <w:br/>
        <w:t xml:space="preserve">  description?: string;</w:t>
        <w:br/>
        <w:t xml:space="preserve">  start: string | null;                    // Position name (null for row-level-only)</w:t>
        <w:br/>
        <w:t xml:space="preserve">  end: string | null;                      // Position name (null for point/row-level)</w:t>
        <w:br/>
        <w:t xml:space="preserve">  visualType: AnnotationVisualType;</w:t>
        <w:br/>
        <w:t xml:space="preserve">  category: AnnotationCategory;</w:t>
        <w:br/>
        <w:t xml:space="preserve">  color?: string;                          // CSS color; defaults derived from category</w:t>
        <w:br/>
        <w:t xml:space="preserve">  severity?: LiabilitySeverity;</w:t>
        <w:br/>
        <w:t xml:space="preserve">  motifPattern?: string;                   // Regex for liability scanning</w:t>
        <w:br/>
        <w:t xml:space="preserve">  sourceScheme?: string;                   // "IMGT", "Kabat", etc.</w:t>
        <w:br/>
        <w:t xml:space="preserve">  autoGenerated?: boolean;</w:t>
        <w:br/>
        <w:t>}</w:t>
        <w:br/>
        <w:br/>
        <w:t>/** A single hit in a specific row */</w:t>
        <w:br/>
        <w:t>export interface SeqAnnotationHit {</w:t>
        <w:br/>
        <w:t xml:space="preserve">  annotationId: string;                    // References SeqAnnotation.id</w:t>
        <w:br/>
        <w:t xml:space="preserve">  positionIndex: number;                   // 0-based index in the row's sequence</w:t>
        <w:br/>
        <w:t xml:space="preserve">  positionName?: string;                   // From positionNames (for display)</w:t>
        <w:br/>
        <w:t xml:space="preserve">  matchedMonomers: string;                 // The actual residues matched</w:t>
        <w:br/>
        <w:t xml:space="preserve">  score?: number;</w:t>
        <w:br/>
        <w:t>}</w:t>
        <w:br/>
        <w:br/>
        <w:t>/** Stored per-row as JSON array in the companion annotation column */</w:t>
        <w:br/>
        <w:t>export type RowAnnotationData = SeqAnnotationHit[];</w:t>
      </w:r>
    </w:p>
    <w:p>
      <w:pPr>
        <w:pStyle w:val="Heading2"/>
      </w:pPr>
      <w:r>
        <w:t>2.3 Storage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What</w:t>
            </w:r>
          </w:p>
        </w:tc>
        <w:tc>
          <w:tcPr>
            <w:tcW w:type="dxa" w:w="2160"/>
          </w:tcPr>
          <w:p>
            <w:r/>
            <w:r>
              <w:rPr>
                <w:rFonts w:ascii="Calibri" w:hAnsi="Calibri"/>
                <w:b/>
                <w:i w:val="0"/>
                <w:sz w:val="20"/>
              </w:rPr>
              <w:t>Where</w:t>
            </w:r>
          </w:p>
        </w:tc>
        <w:tc>
          <w:tcPr>
            <w:tcW w:type="dxa" w:w="2160"/>
          </w:tcPr>
          <w:p>
            <w:r/>
            <w:r>
              <w:rPr>
                <w:rFonts w:ascii="Calibri" w:hAnsi="Calibri"/>
                <w:b/>
                <w:i w:val="0"/>
                <w:sz w:val="20"/>
              </w:rPr>
              <w:t>Tag/Column Name</w:t>
            </w:r>
          </w:p>
        </w:tc>
        <w:tc>
          <w:tcPr>
            <w:tcW w:type="dxa" w:w="2160"/>
          </w:tcPr>
          <w:p>
            <w:r/>
            <w:r>
              <w:rPr>
                <w:rFonts w:ascii="Calibri" w:hAnsi="Calibri"/>
                <w:b/>
                <w:i w:val="0"/>
                <w:sz w:val="20"/>
              </w:rPr>
              <w:t>Format</w:t>
            </w:r>
          </w:p>
        </w:tc>
      </w:tr>
      <w:tr>
        <w:tc>
          <w:tcPr>
            <w:tcW w:type="dxa" w:w="2160"/>
          </w:tcPr>
          <w:p>
            <w:r/>
            <w:r>
              <w:rPr>
                <w:rFonts w:ascii="Calibri" w:hAnsi="Calibri"/>
                <w:b w:val="0"/>
                <w:i w:val="0"/>
                <w:sz w:val="20"/>
              </w:rPr>
              <w:t>Column-level annotations</w:t>
            </w:r>
          </w:p>
        </w:tc>
        <w:tc>
          <w:tcPr>
            <w:tcW w:type="dxa" w:w="2160"/>
          </w:tcPr>
          <w:p>
            <w:r/>
            <w:r>
              <w:rPr>
                <w:rFonts w:ascii="Calibri" w:hAnsi="Calibri"/>
                <w:b w:val="0"/>
                <w:i w:val="0"/>
                <w:sz w:val="20"/>
              </w:rPr>
              <w:t>Column tag</w:t>
            </w:r>
          </w:p>
        </w:tc>
        <w:tc>
          <w:tcPr>
            <w:tcW w:type="dxa" w:w="2160"/>
          </w:tcPr>
          <w:p>
            <w:r/>
            <w:r>
              <w:rPr>
                <w:rFonts w:ascii="Calibri" w:hAnsi="Calibri"/>
                <w:b w:val="0"/>
                <w:i w:val="0"/>
                <w:sz w:val="20"/>
              </w:rPr>
              <w:t>`.annotations`</w:t>
            </w:r>
          </w:p>
        </w:tc>
        <w:tc>
          <w:tcPr>
            <w:tcW w:type="dxa" w:w="2160"/>
          </w:tcPr>
          <w:p>
            <w:r/>
            <w:r>
              <w:rPr>
                <w:rFonts w:ascii="Calibri" w:hAnsi="Calibri"/>
                <w:b w:val="0"/>
                <w:i w:val="0"/>
                <w:sz w:val="20"/>
              </w:rPr>
              <w:t>JSON array of `SeqAnnotation`</w:t>
            </w:r>
          </w:p>
        </w:tc>
      </w:tr>
      <w:tr>
        <w:tc>
          <w:tcPr>
            <w:tcW w:type="dxa" w:w="2160"/>
          </w:tcPr>
          <w:p>
            <w:r/>
            <w:r>
              <w:rPr>
                <w:rFonts w:ascii="Calibri" w:hAnsi="Calibri"/>
                <w:b w:val="0"/>
                <w:i w:val="0"/>
                <w:sz w:val="20"/>
              </w:rPr>
              <w:t>Row-level annotation hits</w:t>
            </w:r>
          </w:p>
        </w:tc>
        <w:tc>
          <w:tcPr>
            <w:tcW w:type="dxa" w:w="2160"/>
          </w:tcPr>
          <w:p>
            <w:r/>
            <w:r>
              <w:rPr>
                <w:rFonts w:ascii="Calibri" w:hAnsi="Calibri"/>
                <w:b w:val="0"/>
                <w:i w:val="0"/>
                <w:sz w:val="20"/>
              </w:rPr>
              <w:t>Companion string column</w:t>
            </w:r>
          </w:p>
        </w:tc>
        <w:tc>
          <w:tcPr>
            <w:tcW w:type="dxa" w:w="2160"/>
          </w:tcPr>
          <w:p>
            <w:r/>
            <w:r>
              <w:rPr>
                <w:rFonts w:ascii="Calibri" w:hAnsi="Calibri"/>
                <w:b w:val="0"/>
                <w:i w:val="0"/>
                <w:sz w:val="20"/>
              </w:rPr>
              <w:t>`${colName}_annotations`</w:t>
            </w:r>
          </w:p>
        </w:tc>
        <w:tc>
          <w:tcPr>
            <w:tcW w:type="dxa" w:w="2160"/>
          </w:tcPr>
          <w:p>
            <w:r/>
            <w:r>
              <w:rPr>
                <w:rFonts w:ascii="Calibri" w:hAnsi="Calibri"/>
                <w:b w:val="0"/>
                <w:i w:val="0"/>
                <w:sz w:val="20"/>
              </w:rPr>
              <w:t>JSON array of `SeqAnnotationHit` per row</w:t>
            </w:r>
          </w:p>
        </w:tc>
      </w:tr>
      <w:tr>
        <w:tc>
          <w:tcPr>
            <w:tcW w:type="dxa" w:w="2160"/>
          </w:tcPr>
          <w:p>
            <w:r/>
            <w:r>
              <w:rPr>
                <w:rFonts w:ascii="Calibri" w:hAnsi="Calibri"/>
                <w:b w:val="0"/>
                <w:i w:val="0"/>
                <w:sz w:val="20"/>
              </w:rPr>
              <w:t>Numbering scheme name</w:t>
            </w:r>
          </w:p>
        </w:tc>
        <w:tc>
          <w:tcPr>
            <w:tcW w:type="dxa" w:w="2160"/>
          </w:tcPr>
          <w:p>
            <w:r/>
            <w:r>
              <w:rPr>
                <w:rFonts w:ascii="Calibri" w:hAnsi="Calibri"/>
                <w:b w:val="0"/>
                <w:i w:val="0"/>
                <w:sz w:val="20"/>
              </w:rPr>
              <w:t>Column tag</w:t>
            </w:r>
          </w:p>
        </w:tc>
        <w:tc>
          <w:tcPr>
            <w:tcW w:type="dxa" w:w="2160"/>
          </w:tcPr>
          <w:p>
            <w:r/>
            <w:r>
              <w:rPr>
                <w:rFonts w:ascii="Calibri" w:hAnsi="Calibri"/>
                <w:b w:val="0"/>
                <w:i w:val="0"/>
                <w:sz w:val="20"/>
              </w:rPr>
              <w:t>`.numberingScheme`</w:t>
            </w:r>
          </w:p>
        </w:tc>
        <w:tc>
          <w:tcPr>
            <w:tcW w:type="dxa" w:w="2160"/>
          </w:tcPr>
          <w:p>
            <w:r/>
            <w:r>
              <w:rPr>
                <w:rFonts w:ascii="Calibri" w:hAnsi="Calibri"/>
                <w:b w:val="0"/>
                <w:i w:val="0"/>
                <w:sz w:val="20"/>
              </w:rPr>
              <w:t>String: `"IMGT"`, `"Kabat"`, etc.</w:t>
            </w:r>
          </w:p>
        </w:tc>
      </w:tr>
      <w:tr>
        <w:tc>
          <w:tcPr>
            <w:tcW w:type="dxa" w:w="2160"/>
          </w:tcPr>
          <w:p>
            <w:r/>
            <w:r>
              <w:rPr>
                <w:rFonts w:ascii="Calibri" w:hAnsi="Calibri"/>
                <w:b w:val="0"/>
                <w:i w:val="0"/>
                <w:sz w:val="20"/>
              </w:rPr>
              <w:t>Position names (from numbering)</w:t>
            </w:r>
          </w:p>
        </w:tc>
        <w:tc>
          <w:tcPr>
            <w:tcW w:type="dxa" w:w="2160"/>
          </w:tcPr>
          <w:p>
            <w:r/>
            <w:r>
              <w:rPr>
                <w:rFonts w:ascii="Calibri" w:hAnsi="Calibri"/>
                <w:b w:val="0"/>
                <w:i w:val="0"/>
                <w:sz w:val="20"/>
              </w:rPr>
              <w:t>Column tag</w:t>
            </w:r>
          </w:p>
        </w:tc>
        <w:tc>
          <w:tcPr>
            <w:tcW w:type="dxa" w:w="2160"/>
          </w:tcPr>
          <w:p>
            <w:r/>
            <w:r>
              <w:rPr>
                <w:rFonts w:ascii="Calibri" w:hAnsi="Calibri"/>
                <w:b w:val="0"/>
                <w:i w:val="0"/>
                <w:sz w:val="20"/>
              </w:rPr>
              <w:t>`.positionNames`</w:t>
            </w:r>
          </w:p>
        </w:tc>
        <w:tc>
          <w:tcPr>
            <w:tcW w:type="dxa" w:w="2160"/>
          </w:tcPr>
          <w:p>
            <w:r/>
            <w:r>
              <w:rPr>
                <w:rFonts w:ascii="Calibri" w:hAnsi="Calibri"/>
                <w:b w:val="0"/>
                <w:i w:val="0"/>
                <w:sz w:val="20"/>
              </w:rPr>
              <w:t>Comma-separated strings (existing tag)</w:t>
            </w:r>
          </w:p>
        </w:tc>
      </w:tr>
      <w:tr>
        <w:tc>
          <w:tcPr>
            <w:tcW w:type="dxa" w:w="2160"/>
          </w:tcPr>
          <w:p>
            <w:r/>
            <w:r>
              <w:rPr>
                <w:rFonts w:ascii="Calibri" w:hAnsi="Calibri"/>
                <w:b w:val="0"/>
                <w:i w:val="0"/>
                <w:sz w:val="20"/>
              </w:rPr>
              <w:t>Back-reference to companion column</w:t>
            </w:r>
          </w:p>
        </w:tc>
        <w:tc>
          <w:tcPr>
            <w:tcW w:type="dxa" w:w="2160"/>
          </w:tcPr>
          <w:p>
            <w:r/>
            <w:r>
              <w:rPr>
                <w:rFonts w:ascii="Calibri" w:hAnsi="Calibri"/>
                <w:b w:val="0"/>
                <w:i w:val="0"/>
                <w:sz w:val="20"/>
              </w:rPr>
              <w:t>Column tag</w:t>
            </w:r>
          </w:p>
        </w:tc>
        <w:tc>
          <w:tcPr>
            <w:tcW w:type="dxa" w:w="2160"/>
          </w:tcPr>
          <w:p>
            <w:r/>
            <w:r>
              <w:rPr>
                <w:rFonts w:ascii="Calibri" w:hAnsi="Calibri"/>
                <w:b w:val="0"/>
                <w:i w:val="0"/>
                <w:sz w:val="20"/>
              </w:rPr>
              <w:t>`.annotationColumnName`</w:t>
            </w:r>
          </w:p>
        </w:tc>
        <w:tc>
          <w:tcPr>
            <w:tcW w:type="dxa" w:w="2160"/>
          </w:tcPr>
          <w:p>
            <w:r/>
            <w:r>
              <w:rPr>
                <w:rFonts w:ascii="Calibri" w:hAnsi="Calibri"/>
                <w:b w:val="0"/>
                <w:i w:val="0"/>
                <w:sz w:val="20"/>
              </w:rPr>
              <w:t>Column name string</w:t>
            </w:r>
          </w:p>
        </w:tc>
      </w:tr>
    </w:tbl>
    <w:p>
      <w:r>
        <w:rPr>
          <w:rFonts w:ascii="Calibri" w:hAnsi="Calibri"/>
          <w:b/>
          <w:i w:val="0"/>
          <w:sz w:val="22"/>
        </w:rPr>
        <w:t>Backward compatibility</w:t>
      </w:r>
      <w:r>
        <w:rPr>
          <w:rFonts w:ascii="Calibri" w:hAnsi="Calibri"/>
          <w:b w:val="0"/>
          <w:i w:val="0"/>
          <w:sz w:val="22"/>
        </w:rPr>
        <w:t xml:space="preserve">: When reading annotations, check </w:t>
      </w:r>
      <w:r>
        <w:rPr>
          <w:rFonts w:ascii="Consolas" w:hAnsi="Consolas"/>
          <w:b w:val="0"/>
          <w:i w:val="0"/>
          <w:color w:val="505050"/>
          <w:sz w:val="20"/>
        </w:rPr>
        <w:t>.annotations</w:t>
      </w:r>
      <w:r>
        <w:rPr>
          <w:rFonts w:ascii="Calibri" w:hAnsi="Calibri"/>
          <w:b w:val="0"/>
          <w:i w:val="0"/>
          <w:sz w:val="22"/>
        </w:rPr>
        <w:t xml:space="preserve"> first; if absent, fall back to </w:t>
      </w:r>
      <w:r>
        <w:rPr>
          <w:rFonts w:ascii="Consolas" w:hAnsi="Consolas"/>
          <w:b w:val="0"/>
          <w:i w:val="0"/>
          <w:color w:val="505050"/>
          <w:sz w:val="20"/>
        </w:rPr>
        <w:t>.regions</w:t>
      </w:r>
      <w:r>
        <w:rPr>
          <w:rFonts w:ascii="Calibri" w:hAnsi="Calibri"/>
          <w:b w:val="0"/>
          <w:i w:val="0"/>
          <w:sz w:val="22"/>
        </w:rPr>
        <w:t xml:space="preserve"> and convert. When writing </w:t>
      </w:r>
      <w:r>
        <w:rPr>
          <w:rFonts w:ascii="Consolas" w:hAnsi="Consolas"/>
          <w:b w:val="0"/>
          <w:i w:val="0"/>
          <w:color w:val="505050"/>
          <w:sz w:val="20"/>
        </w:rPr>
        <w:t>.annotations</w:t>
      </w:r>
      <w:r>
        <w:rPr>
          <w:rFonts w:ascii="Calibri" w:hAnsi="Calibri"/>
          <w:b w:val="0"/>
          <w:i w:val="0"/>
          <w:sz w:val="22"/>
        </w:rPr>
        <w:t xml:space="preserve">, also update </w:t>
      </w:r>
      <w:r>
        <w:rPr>
          <w:rFonts w:ascii="Consolas" w:hAnsi="Consolas"/>
          <w:b w:val="0"/>
          <w:i w:val="0"/>
          <w:color w:val="505050"/>
          <w:sz w:val="20"/>
        </w:rPr>
        <w:t>.regions</w:t>
      </w:r>
      <w:r>
        <w:rPr>
          <w:rFonts w:ascii="Calibri" w:hAnsi="Calibri"/>
          <w:b w:val="0"/>
          <w:i w:val="0"/>
          <w:sz w:val="22"/>
        </w:rPr>
        <w:t xml:space="preserve"> with the structure-category entries (so </w:t>
      </w:r>
      <w:r>
        <w:rPr>
          <w:rFonts w:ascii="Consolas" w:hAnsi="Consolas"/>
          <w:b w:val="0"/>
          <w:i w:val="0"/>
          <w:color w:val="505050"/>
          <w:sz w:val="20"/>
        </w:rPr>
        <w:t>GetRegionFuncEditor</w:t>
      </w:r>
      <w:r>
        <w:rPr>
          <w:rFonts w:ascii="Calibri" w:hAnsi="Calibri"/>
          <w:b w:val="0"/>
          <w:i w:val="0"/>
          <w:sz w:val="22"/>
        </w:rPr>
        <w:t xml:space="preserve"> continues to work).</w:t>
      </w:r>
    </w:p>
    <w:p>
      <w:pPr>
        <w:pStyle w:val="Heading2"/>
      </w:pPr>
      <w:r>
        <w:t>2.4 New Constants</w:t>
      </w:r>
    </w:p>
    <w:p>
      <w:r>
        <w:rPr>
          <w:rFonts w:ascii="Calibri" w:hAnsi="Calibri"/>
          <w:b w:val="0"/>
          <w:i w:val="0"/>
          <w:sz w:val="22"/>
        </w:rPr>
        <w:t xml:space="preserve">Add to </w:t>
      </w:r>
      <w:r>
        <w:rPr>
          <w:rFonts w:ascii="Consolas" w:hAnsi="Consolas"/>
          <w:b w:val="0"/>
          <w:i w:val="0"/>
          <w:color w:val="505050"/>
          <w:sz w:val="20"/>
        </w:rPr>
        <w:t>TAGS</w:t>
      </w:r>
      <w:r>
        <w:rPr>
          <w:rFonts w:ascii="Calibri" w:hAnsi="Calibri"/>
          <w:b w:val="0"/>
          <w:i w:val="0"/>
          <w:sz w:val="22"/>
        </w:rPr>
        <w:t xml:space="preserve"> enum in </w:t>
      </w:r>
      <w:r>
        <w:rPr>
          <w:rFonts w:ascii="Consolas" w:hAnsi="Consolas"/>
          <w:b w:val="0"/>
          <w:i w:val="0"/>
          <w:color w:val="505050"/>
          <w:sz w:val="20"/>
        </w:rPr>
        <w:t>libraries/bio/src/utils/macromolecule/consts.ts</w:t>
      </w:r>
      <w:r>
        <w:rPr>
          <w:rFonts w:ascii="Calibri" w:hAnsi="Calibri"/>
          <w:b w:val="0"/>
          <w:i w:val="0"/>
          <w:sz w:val="22"/>
        </w:rPr>
        <w:t>:</w:t>
      </w:r>
    </w:p>
    <w:p>
      <w:pPr>
        <w:spacing w:before="80" w:after="80"/>
        <w:ind w:left="432"/>
      </w:pPr>
      <w:r>
        <w:rPr>
          <w:rFonts w:ascii="Consolas" w:hAnsi="Consolas"/>
          <w:b w:val="0"/>
          <w:i w:val="0"/>
          <w:color w:val="505050"/>
          <w:sz w:val="18"/>
        </w:rPr>
        <w:t>annotations = '.annotations',</w:t>
        <w:br/>
        <w:t>numberingScheme = '.numberingScheme',</w:t>
        <w:br/>
        <w:t>annotationColumnName = '.annotationColumnName',</w:t>
      </w:r>
    </w:p>
    <w:p>
      <w:pPr>
        <w:pStyle w:val="Heading1"/>
      </w:pPr>
      <w:r>
        <w:t>3. Antibody Numbering Schemes</w:t>
      </w:r>
    </w:p>
    <w:p>
      <w:pPr>
        <w:pStyle w:val="Heading2"/>
      </w:pPr>
      <w:r>
        <w:t>3.1 The Problem</w:t>
      </w:r>
    </w:p>
    <w:p>
      <w:r>
        <w:rPr>
          <w:rFonts w:ascii="Calibri" w:hAnsi="Calibri"/>
          <w:b w:val="0"/>
          <w:i w:val="0"/>
          <w:sz w:val="22"/>
        </w:rPr>
        <w:t>Antibody variable region sequences don't have a natural position numbering. Different numbering schemes (IMGT, Kabat, Chothia, AHo, Martin) assign different numbers to the same physical residue. Each scheme also defines different CDR boundaries. Accurate numbering requires alignment against germline databases.</w:t>
      </w:r>
    </w:p>
    <w:p>
      <w:pPr>
        <w:pStyle w:val="Heading2"/>
      </w:pPr>
      <w:r>
        <w:t>3.2 Approach: TypeScript-First with Python Fallback</w:t>
      </w:r>
    </w:p>
    <w:p>
      <w:r>
        <w:rPr>
          <w:rFonts w:ascii="Calibri" w:hAnsi="Calibri"/>
          <w:b/>
          <w:i w:val="0"/>
          <w:sz w:val="22"/>
        </w:rPr>
        <w:t>Primary approach — TypeScript heuristic numbering</w:t>
      </w:r>
      <w:r>
        <w:rPr>
          <w:rFonts w:ascii="Calibri" w:hAnsi="Calibri"/>
          <w:b w:val="0"/>
          <w:i w:val="0"/>
          <w:sz w:val="22"/>
        </w:rPr>
        <w:t>:</w:t>
      </w:r>
    </w:p>
    <w:p>
      <w:r>
        <w:rPr>
          <w:rFonts w:ascii="Calibri" w:hAnsi="Calibri"/>
          <w:b w:val="0"/>
          <w:i w:val="0"/>
          <w:sz w:val="22"/>
        </w:rPr>
        <w:t>Implement a lightweight antibody numbering engine in TypeScript that works client-side without any server dependencies. The approach:</w:t>
      </w:r>
    </w:p>
    <w:p>
      <w:pPr>
        <w:pStyle w:val="ListNumber"/>
      </w:pPr>
      <w:r>
        <w:rPr>
          <w:rFonts w:ascii="Calibri" w:hAnsi="Calibri"/>
          <w:b/>
          <w:i w:val="0"/>
          <w:sz w:val="22"/>
        </w:rPr>
        <w:t>Chain type detection</w:t>
      </w:r>
      <w:r>
        <w:rPr>
          <w:rFonts w:ascii="Calibri" w:hAnsi="Calibri"/>
          <w:b w:val="0"/>
          <w:i w:val="0"/>
          <w:sz w:val="22"/>
        </w:rPr>
        <w:t>: Identify VH vs VL (kappa/lambda) using conserved residue signatures:</w:t>
      </w:r>
    </w:p>
    <w:p>
      <w:pPr>
        <w:pStyle w:val="ListBullet"/>
      </w:pPr>
      <w:r>
        <w:rPr>
          <w:rFonts w:ascii="Calibri" w:hAnsi="Calibri"/>
          <w:b w:val="0"/>
          <w:i w:val="0"/>
          <w:sz w:val="22"/>
        </w:rPr>
        <w:t>Conserved Cys at positions ~23 and ~104 (IMGT) — present in all chains</w:t>
      </w:r>
    </w:p>
    <w:p>
      <w:pPr>
        <w:pStyle w:val="ListBullet"/>
      </w:pPr>
      <w:r>
        <w:rPr>
          <w:rFonts w:ascii="Calibri" w:hAnsi="Calibri"/>
          <w:b w:val="0"/>
          <w:i w:val="0"/>
          <w:sz w:val="22"/>
        </w:rPr>
        <w:t>Conserved Trp at position ~41 (IMGT) — present in all chains</w:t>
      </w:r>
    </w:p>
    <w:p>
      <w:pPr>
        <w:pStyle w:val="ListBullet"/>
      </w:pPr>
      <w:r>
        <w:rPr>
          <w:rFonts w:ascii="Calibri" w:hAnsi="Calibri"/>
          <w:b w:val="0"/>
          <w:i w:val="0"/>
          <w:sz w:val="22"/>
        </w:rPr>
        <w:t>VH-specific: conserved Trp at ~118 (IMGT FR4)</w:t>
      </w:r>
    </w:p>
    <w:p>
      <w:pPr>
        <w:pStyle w:val="ListBullet"/>
      </w:pPr>
      <w:r>
        <w:rPr>
          <w:rFonts w:ascii="Calibri" w:hAnsi="Calibri"/>
          <w:b w:val="0"/>
          <w:i w:val="0"/>
          <w:sz w:val="22"/>
        </w:rPr>
        <w:t>VK vs VL: distinguished by conserved residue patterns at specific positions</w:t>
      </w:r>
    </w:p>
    <w:p>
      <w:pPr>
        <w:pStyle w:val="ListNumber"/>
      </w:pPr>
      <w:r>
        <w:rPr>
          <w:rFonts w:ascii="Calibri" w:hAnsi="Calibri"/>
          <w:b/>
          <w:i w:val="0"/>
          <w:sz w:val="22"/>
        </w:rPr>
        <w:t>Position assignment</w:t>
      </w:r>
      <w:r>
        <w:rPr>
          <w:rFonts w:ascii="Calibri" w:hAnsi="Calibri"/>
          <w:b w:val="0"/>
          <w:i w:val="0"/>
          <w:sz w:val="22"/>
        </w:rPr>
        <w:t xml:space="preserve">: Use pairwise alignment (the existing </w:t>
      </w:r>
      <w:r>
        <w:rPr>
          <w:rFonts w:ascii="Consolas" w:hAnsi="Consolas"/>
          <w:b w:val="0"/>
          <w:i w:val="0"/>
          <w:color w:val="505050"/>
          <w:sz w:val="20"/>
        </w:rPr>
        <w:t>SequenceAlignment</w:t>
      </w:r>
      <w:r>
        <w:rPr>
          <w:rFonts w:ascii="Calibri" w:hAnsi="Calibri"/>
          <w:b w:val="0"/>
          <w:i w:val="0"/>
          <w:sz w:val="22"/>
        </w:rPr>
        <w:t xml:space="preserve"> class in </w:t>
      </w:r>
      <w:r>
        <w:rPr>
          <w:rFonts w:ascii="Calibri" w:hAnsi="Calibri"/>
          <w:b w:val="0"/>
          <w:i w:val="0"/>
          <w:color w:val="0066CC"/>
          <w:sz w:val="22"/>
        </w:rPr>
        <w:t>seq_align.ts</w:t>
      </w:r>
      <w:r>
        <w:rPr>
          <w:rFonts w:ascii="Calibri" w:hAnsi="Calibri"/>
          <w:b w:val="0"/>
          <w:i w:val="0"/>
          <w:sz w:val="22"/>
        </w:rPr>
        <w:t xml:space="preserve"> with BLOSUM matrices) to align the query sequence against curated germline reference sequences. The alignment maps query positions to scheme-numbered positions.</w:t>
      </w:r>
    </w:p>
    <w:p>
      <w:pPr>
        <w:pStyle w:val="ListNumber"/>
      </w:pPr>
      <w:r>
        <w:rPr>
          <w:rFonts w:ascii="Calibri" w:hAnsi="Calibri"/>
          <w:b/>
          <w:i w:val="0"/>
          <w:sz w:val="22"/>
        </w:rPr>
        <w:t>Germline references</w:t>
      </w:r>
      <w:r>
        <w:rPr>
          <w:rFonts w:ascii="Calibri" w:hAnsi="Calibri"/>
          <w:b w:val="0"/>
          <w:i w:val="0"/>
          <w:sz w:val="22"/>
        </w:rPr>
        <w:t>: Bundle a small set of representative germline sequences (IGHV, IGKV, IGLV families) with pre-assigned IMGT numbers. This is ~50-100 sequences, stored as a JSON data file.</w:t>
      </w:r>
    </w:p>
    <w:p>
      <w:pPr>
        <w:pStyle w:val="ListNumber"/>
      </w:pPr>
      <w:r>
        <w:rPr>
          <w:rFonts w:ascii="Calibri" w:hAnsi="Calibri"/>
          <w:b/>
          <w:i w:val="0"/>
          <w:sz w:val="22"/>
        </w:rPr>
        <w:t>CDR boundary detection</w:t>
      </w:r>
      <w:r>
        <w:rPr>
          <w:rFonts w:ascii="Calibri" w:hAnsi="Calibri"/>
          <w:b w:val="0"/>
          <w:i w:val="0"/>
          <w:sz w:val="22"/>
        </w:rPr>
        <w:t>: After IMGT numbering is assigned, CDR boundaries follow directly from the static region definitions (Section 3.3). For other schemes (Kabat, Chothia), apply well-known position mapping rules between IMGT and the target scheme.</w:t>
      </w:r>
    </w:p>
    <w:p>
      <w:r>
        <w:rPr>
          <w:rFonts w:ascii="Calibri" w:hAnsi="Calibri"/>
          <w:b/>
          <w:i w:val="0"/>
          <w:sz w:val="22"/>
        </w:rPr>
        <w:t>Secondary approach — Python script fallback</w:t>
      </w:r>
      <w:r>
        <w:rPr>
          <w:rFonts w:ascii="Calibri" w:hAnsi="Calibri"/>
          <w:b w:val="0"/>
          <w:i w:val="0"/>
          <w:sz w:val="22"/>
        </w:rPr>
        <w:t xml:space="preserve"> (for higher accuracy):</w:t>
      </w:r>
    </w:p>
    <w:p>
      <w:r>
        <w:rPr>
          <w:rFonts w:ascii="Calibri" w:hAnsi="Calibri"/>
          <w:b w:val="0"/>
          <w:i w:val="0"/>
          <w:sz w:val="22"/>
        </w:rPr>
        <w:t xml:space="preserve">For users needing production-grade numbering (e.g., handling unusual frameworks, non-human species), provide a Python script that calls ANARCI via Datagrok's scripting infrastructure. This runs server-side but doesn't require Docker — just </w:t>
      </w:r>
      <w:r>
        <w:rPr>
          <w:rFonts w:ascii="Consolas" w:hAnsi="Consolas"/>
          <w:b w:val="0"/>
          <w:i w:val="0"/>
          <w:color w:val="505050"/>
          <w:sz w:val="20"/>
        </w:rPr>
        <w:t>pip install anarci</w:t>
      </w:r>
      <w:r>
        <w:rPr>
          <w:rFonts w:ascii="Calibri" w:hAnsi="Calibri"/>
          <w:b w:val="0"/>
          <w:i w:val="0"/>
          <w:sz w:val="22"/>
        </w:rPr>
        <w:t xml:space="preserve"> on the Datagrok server.</w:t>
      </w:r>
    </w:p>
    <w:p>
      <w:r>
        <w:rPr>
          <w:rFonts w:ascii="Calibri" w:hAnsi="Calibri"/>
          <w:b w:val="0"/>
          <w:i w:val="0"/>
          <w:sz w:val="22"/>
        </w:rPr>
        <w:t xml:space="preserve">New file: </w:t>
      </w:r>
      <w:r>
        <w:rPr>
          <w:rFonts w:ascii="Consolas" w:hAnsi="Consolas"/>
          <w:b w:val="0"/>
          <w:i w:val="0"/>
          <w:color w:val="505050"/>
          <w:sz w:val="20"/>
        </w:rPr>
        <w:t>scripts/number_antibody.py</w:t>
      </w:r>
    </w:p>
    <w:p>
      <w:pPr>
        <w:spacing w:before="80" w:after="80"/>
        <w:ind w:left="432"/>
      </w:pPr>
      <w:r>
        <w:rPr>
          <w:rFonts w:ascii="Consolas" w:hAnsi="Consolas"/>
          <w:b w:val="0"/>
          <w:i w:val="0"/>
          <w:color w:val="505050"/>
          <w:sz w:val="18"/>
        </w:rPr>
        <w:t>#name: Number Antibody Sequences</w:t>
        <w:br/>
        <w:t>#language: python</w:t>
        <w:br/>
        <w:t>#input: dataframe df</w:t>
        <w:br/>
        <w:t>#input: column seqCol {semType: Macromolecule}</w:t>
        <w:br/>
        <w:t>#input: string scheme {choices: ["IMGT", "Kabat", "Chothia", "AHo"]}</w:t>
        <w:br/>
        <w:t>#output: dataframe result</w:t>
        <w:br/>
        <w:t>from anarci import anarci</w:t>
        <w:br/>
        <w:t># ... process sequences, return numbered positions</w:t>
      </w:r>
    </w:p>
    <w:p>
      <w:pPr>
        <w:pStyle w:val="Heading2"/>
      </w:pPr>
      <w:r>
        <w:t>3.3 Static Region Definitions</w:t>
      </w:r>
    </w:p>
    <w:p>
      <w:r>
        <w:rPr>
          <w:rFonts w:ascii="Calibri" w:hAnsi="Calibri"/>
          <w:b w:val="0"/>
          <w:i w:val="0"/>
          <w:sz w:val="22"/>
        </w:rPr>
        <w:t xml:space="preserve">New file: </w:t>
      </w:r>
      <w:r>
        <w:rPr>
          <w:rFonts w:ascii="Consolas" w:hAnsi="Consolas"/>
          <w:b w:val="0"/>
          <w:i w:val="0"/>
          <w:color w:val="505050"/>
          <w:sz w:val="20"/>
        </w:rPr>
        <w:t>libraries/bio/src/utils/macromolecule/numbering-schemes.ts</w:t>
      </w:r>
    </w:p>
    <w:p>
      <w:r>
        <w:rPr>
          <w:rFonts w:ascii="Calibri" w:hAnsi="Calibri"/>
          <w:b w:val="0"/>
          <w:i w:val="0"/>
          <w:sz w:val="22"/>
        </w:rPr>
        <w:t xml:space="preserve">Contains the standard FR/CDR boundaries for each scheme and chain type. This is the data currently commented out in </w:t>
      </w:r>
      <w:r>
        <w:rPr>
          <w:rFonts w:ascii="Calibri" w:hAnsi="Calibri"/>
          <w:b w:val="0"/>
          <w:i w:val="0"/>
          <w:color w:val="0066CC"/>
          <w:sz w:val="22"/>
        </w:rPr>
        <w:t>vd-regions-viewer.ts:27-48</w:t>
      </w:r>
      <w:r>
        <w:rPr>
          <w:rFonts w:ascii="Calibri" w:hAnsi="Calibri"/>
          <w:b w:val="0"/>
          <w:i w:val="0"/>
          <w:sz w:val="22"/>
        </w:rPr>
        <w:t>:</w:t>
      </w:r>
    </w:p>
    <w:p>
      <w:pPr>
        <w:spacing w:before="80" w:after="80"/>
        <w:ind w:left="432"/>
      </w:pPr>
      <w:r>
        <w:rPr>
          <w:rFonts w:ascii="Consolas" w:hAnsi="Consolas"/>
          <w:b w:val="0"/>
          <w:i w:val="0"/>
          <w:color w:val="505050"/>
          <w:sz w:val="18"/>
        </w:rPr>
        <w:t>export enum NumberingScheme { IMGT = 'IMGT', Kabat = 'Kabat', Chothia = 'Chothia', AHo = 'AHo' }</w:t>
        <w:br/>
        <w:t>export enum ChainType { Heavy = 'Heavy', Light_Kappa = 'Light_Kappa', Light_Lambda = 'Light_Lambda' }</w:t>
        <w:br/>
        <w:br/>
        <w:t>export interface SchemeRegionDef {</w:t>
        <w:br/>
        <w:t xml:space="preserve">  name: string;           // "FR1", "CDR1", etc.</w:t>
        <w:br/>
        <w:t xml:space="preserve">  type: 'FR' | 'CDR';</w:t>
        <w:br/>
        <w:t xml:space="preserve">  startPosition: string;  // Position name in the scheme</w:t>
        <w:br/>
        <w:t xml:space="preserve">  endPosition: string;</w:t>
        <w:br/>
        <w:t xml:space="preserve">  chainType: ChainType;</w:t>
        <w:br/>
        <w:t>}</w:t>
        <w:br/>
        <w:br/>
        <w:t>export const IMGT_REGIONS: Record&lt;ChainType, SchemeRegionDef[]&gt; = {</w:t>
        <w:br/>
        <w:t xml:space="preserve">  [ChainType.Heavy]: [</w:t>
        <w:br/>
        <w:t xml:space="preserve">    { name: 'FR1',  type: 'FR',  startPosition: '1',   endPosition: '26',  chainType: ChainType.Heavy },</w:t>
        <w:br/>
        <w:t xml:space="preserve">    { name: 'CDR1', type: 'CDR', startPosition: '27',  endPosition: '38',  chainType: ChainType.Heavy },</w:t>
        <w:br/>
        <w:t xml:space="preserve">    { name: 'FR2',  type: 'FR',  startPosition: '39',  endPosition: '55',  chainType: ChainType.Heavy },</w:t>
        <w:br/>
        <w:t xml:space="preserve">    { name: 'CDR2', type: 'CDR', startPosition: '56',  endPosition: '65',  chainType: ChainType.Heavy },</w:t>
        <w:br/>
        <w:t xml:space="preserve">    { name: 'FR3',  type: 'FR',  startPosition: '66',  endPosition: '104', chainType: ChainType.Heavy },</w:t>
        <w:br/>
        <w:t xml:space="preserve">    { name: 'CDR3', type: 'CDR', startPosition: '105', endPosition: '117', chainType: ChainType.Heavy },</w:t>
        <w:br/>
        <w:t xml:space="preserve">    { name: 'FR4',  type: 'FR',  startPosition: '118', endPosition: '128', chainType: ChainType.Heavy },</w:t>
        <w:br/>
        <w:t xml:space="preserve">  ],</w:t>
        <w:br/>
        <w:t xml:space="preserve">  // ... Light_Kappa, Light_Lambda with their respective boundaries</w:t>
        <w:br/>
        <w:t>};</w:t>
        <w:br/>
        <w:t>// Similar for KABAT_REGIONS, CHOTHIA_REGIONS, AHO_REGIONS</w:t>
      </w:r>
    </w:p>
    <w:p>
      <w:pPr>
        <w:pStyle w:val="Heading2"/>
      </w:pPr>
      <w:r>
        <w:t>3.4 Integration Flow</w:t>
      </w:r>
    </w:p>
    <w:p>
      <w:pPr>
        <w:spacing w:before="80" w:after="80"/>
        <w:ind w:left="432"/>
      </w:pPr>
      <w:r>
        <w:rPr>
          <w:rFonts w:ascii="Consolas" w:hAnsi="Consolas"/>
          <w:b w:val="0"/>
          <w:i w:val="0"/>
          <w:color w:val="505050"/>
          <w:sz w:val="18"/>
        </w:rPr>
        <w:t>User: "Apply Numbering Scheme" dialog</w:t>
        <w:br/>
        <w:t xml:space="preserve">  → Select column + scheme (or "Auto-detect") + engine (TypeScript / Python)</w:t>
        <w:br/>
        <w:t xml:space="preserve">  → TypeScript path:</w:t>
        <w:br/>
        <w:t xml:space="preserve">      → Align query sequences against bundled germline references</w:t>
        <w:br/>
        <w:t xml:space="preserve">      → Determine chain type from conserved residue patterns</w:t>
        <w:br/>
        <w:t xml:space="preserve">      → Map alignment positions to IMGT numbers</w:t>
        <w:br/>
        <w:t xml:space="preserve">      → (If non-IMGT scheme selected, apply IMGT → target scheme mapping)</w:t>
        <w:br/>
        <w:t xml:space="preserve">  → Python path (fallback):</w:t>
        <w:br/>
        <w:t xml:space="preserve">      → Call number_antibody.py script via grok.functions.call()</w:t>
        <w:br/>
        <w:t xml:space="preserve">      → Script runs ANARCI server-side</w:t>
        <w:br/>
        <w:t xml:space="preserve">  → Set column tag .positionNames with scheme-specific position names</w:t>
        <w:br/>
        <w:t xml:space="preserve">  → Set column tag .numberingScheme</w:t>
        <w:br/>
        <w:t xml:space="preserve">  → Look up static region defs for the detected scheme + chain type</w:t>
        <w:br/>
        <w:t xml:space="preserve">  → Convert to SeqAnnotation[] and store in .annotations tag</w:t>
        <w:br/>
        <w:t xml:space="preserve">  → VdRegionsViewer auto-refreshes from .annotations</w:t>
        <w:br/>
        <w:t xml:space="preserve">  → Cell renderer picks up region colors</w:t>
      </w:r>
    </w:p>
    <w:p>
      <w:pPr>
        <w:pStyle w:val="Heading1"/>
      </w:pPr>
      <w:r>
        <w:t>4. Liability Detection</w:t>
      </w:r>
    </w:p>
    <w:p>
      <w:pPr>
        <w:pStyle w:val="Heading2"/>
      </w:pPr>
      <w:r>
        <w:t>4.1 Approach: Client-Side Rule Engine</w:t>
      </w:r>
    </w:p>
    <w:p>
      <w:r>
        <w:rPr>
          <w:rFonts w:ascii="Calibri" w:hAnsi="Calibri"/>
          <w:b w:val="0"/>
          <w:i w:val="0"/>
          <w:sz w:val="22"/>
        </w:rPr>
        <w:t>Liability patterns are simple regex motifs over single-letter amino acid sequences. No need for server-side computation. A TypeScript scanner iterates over rows, applies regex patterns, and records hits.</w:t>
      </w:r>
    </w:p>
    <w:p>
      <w:pPr>
        <w:pStyle w:val="Heading2"/>
      </w:pPr>
      <w:r>
        <w:t>4.2 Built-in Rules</w:t>
      </w:r>
    </w:p>
    <w:p>
      <w:r>
        <w:rPr>
          <w:rFonts w:ascii="Calibri" w:hAnsi="Calibri"/>
          <w:b w:val="0"/>
          <w:i w:val="0"/>
          <w:sz w:val="22"/>
        </w:rPr>
        <w:t xml:space="preserve">New file: </w:t>
      </w:r>
      <w:r>
        <w:rPr>
          <w:rFonts w:ascii="Consolas" w:hAnsi="Consolas"/>
          <w:b w:val="0"/>
          <w:i w:val="0"/>
          <w:color w:val="505050"/>
          <w:sz w:val="20"/>
        </w:rPr>
        <w:t>src/utils/annotations/liability-scanner.ts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Rule ID</w:t>
            </w:r>
          </w:p>
        </w:tc>
        <w:tc>
          <w:tcPr>
            <w:tcW w:type="dxa" w:w="1440"/>
          </w:tcPr>
          <w:p>
            <w:r/>
            <w:r>
              <w:rPr>
                <w:rFonts w:ascii="Calibri" w:hAnsi="Calibri"/>
                <w:b/>
                <w:i w:val="0"/>
                <w:sz w:val="20"/>
              </w:rPr>
              <w:t>Name</w:t>
            </w:r>
          </w:p>
        </w:tc>
        <w:tc>
          <w:tcPr>
            <w:tcW w:type="dxa" w:w="1440"/>
          </w:tcPr>
          <w:p>
            <w:r/>
            <w:r>
              <w:rPr>
                <w:rFonts w:ascii="Calibri" w:hAnsi="Calibri"/>
                <w:b/>
                <w:i w:val="0"/>
                <w:sz w:val="20"/>
              </w:rPr>
              <w:t>Pattern</w:t>
            </w:r>
          </w:p>
        </w:tc>
        <w:tc>
          <w:tcPr>
            <w:tcW w:type="dxa" w:w="1440"/>
          </w:tcPr>
          <w:p>
            <w:r/>
            <w:r>
              <w:rPr>
                <w:rFonts w:ascii="Calibri" w:hAnsi="Calibri"/>
                <w:b/>
                <w:i w:val="0"/>
                <w:sz w:val="20"/>
              </w:rPr>
              <w:t>Length</w:t>
            </w:r>
          </w:p>
        </w:tc>
        <w:tc>
          <w:tcPr>
            <w:tcW w:type="dxa" w:w="1440"/>
          </w:tcPr>
          <w:p>
            <w:r/>
            <w:r>
              <w:rPr>
                <w:rFonts w:ascii="Calibri" w:hAnsi="Calibri"/>
                <w:b/>
                <w:i w:val="0"/>
                <w:sz w:val="20"/>
              </w:rPr>
              <w:t>Severity</w:t>
            </w:r>
          </w:p>
        </w:tc>
        <w:tc>
          <w:tcPr>
            <w:tcW w:type="dxa" w:w="1440"/>
          </w:tcPr>
          <w:p>
            <w:r/>
            <w:r>
              <w:rPr>
                <w:rFonts w:ascii="Calibri" w:hAnsi="Calibri"/>
                <w:b/>
                <w:i w:val="0"/>
                <w:sz w:val="20"/>
              </w:rPr>
              <w:t>Category</w:t>
            </w:r>
          </w:p>
        </w:tc>
      </w:tr>
      <w:tr>
        <w:tc>
          <w:tcPr>
            <w:tcW w:type="dxa" w:w="1440"/>
          </w:tcPr>
          <w:p>
            <w:r/>
            <w:r>
              <w:rPr>
                <w:rFonts w:ascii="Calibri" w:hAnsi="Calibri"/>
                <w:b w:val="0"/>
                <w:i w:val="0"/>
                <w:sz w:val="20"/>
              </w:rPr>
              <w:t>`deamid-ng`</w:t>
            </w:r>
          </w:p>
        </w:tc>
        <w:tc>
          <w:tcPr>
            <w:tcW w:type="dxa" w:w="1440"/>
          </w:tcPr>
          <w:p>
            <w:r/>
            <w:r>
              <w:rPr>
                <w:rFonts w:ascii="Calibri" w:hAnsi="Calibri"/>
                <w:b w:val="0"/>
                <w:i w:val="0"/>
                <w:sz w:val="20"/>
              </w:rPr>
              <w:t>Deamidation (NG)</w:t>
            </w:r>
          </w:p>
        </w:tc>
        <w:tc>
          <w:tcPr>
            <w:tcW w:type="dxa" w:w="1440"/>
          </w:tcPr>
          <w:p>
            <w:r/>
            <w:r>
              <w:rPr>
                <w:rFonts w:ascii="Calibri" w:hAnsi="Calibri"/>
                <w:b w:val="0"/>
                <w:i w:val="0"/>
                <w:sz w:val="20"/>
              </w:rPr>
              <w:t>`NG`</w:t>
            </w:r>
          </w:p>
        </w:tc>
        <w:tc>
          <w:tcPr>
            <w:tcW w:type="dxa" w:w="1440"/>
          </w:tcPr>
          <w:p>
            <w:r/>
            <w:r>
              <w:rPr>
                <w:rFonts w:ascii="Calibri" w:hAnsi="Calibri"/>
                <w:b w:val="0"/>
                <w:i w:val="0"/>
                <w:sz w:val="20"/>
              </w:rPr>
              <w:t>2</w:t>
            </w:r>
          </w:p>
        </w:tc>
        <w:tc>
          <w:tcPr>
            <w:tcW w:type="dxa" w:w="1440"/>
          </w:tcPr>
          <w:p>
            <w:r/>
            <w:r>
              <w:rPr>
                <w:rFonts w:ascii="Calibri" w:hAnsi="Calibri"/>
                <w:b w:val="0"/>
                <w:i w:val="0"/>
                <w:sz w:val="20"/>
              </w:rPr>
              <w:t>High</w:t>
            </w:r>
          </w:p>
        </w:tc>
        <w:tc>
          <w:tcPr>
            <w:tcW w:type="dxa" w:w="1440"/>
          </w:tcPr>
          <w:p>
            <w:r/>
            <w:r>
              <w:rPr>
                <w:rFonts w:ascii="Calibri" w:hAnsi="Calibri"/>
                <w:b w:val="0"/>
                <w:i w:val="0"/>
                <w:sz w:val="20"/>
              </w:rPr>
              <w:t>Deamidation</w:t>
            </w:r>
          </w:p>
        </w:tc>
      </w:tr>
      <w:tr>
        <w:tc>
          <w:tcPr>
            <w:tcW w:type="dxa" w:w="1440"/>
          </w:tcPr>
          <w:p>
            <w:r/>
            <w:r>
              <w:rPr>
                <w:rFonts w:ascii="Calibri" w:hAnsi="Calibri"/>
                <w:b w:val="0"/>
                <w:i w:val="0"/>
                <w:sz w:val="20"/>
              </w:rPr>
              <w:t>`deamid-ns`</w:t>
            </w:r>
          </w:p>
        </w:tc>
        <w:tc>
          <w:tcPr>
            <w:tcW w:type="dxa" w:w="1440"/>
          </w:tcPr>
          <w:p>
            <w:r/>
            <w:r>
              <w:rPr>
                <w:rFonts w:ascii="Calibri" w:hAnsi="Calibri"/>
                <w:b w:val="0"/>
                <w:i w:val="0"/>
                <w:sz w:val="20"/>
              </w:rPr>
              <w:t>Deamidation (NS)</w:t>
            </w:r>
          </w:p>
        </w:tc>
        <w:tc>
          <w:tcPr>
            <w:tcW w:type="dxa" w:w="1440"/>
          </w:tcPr>
          <w:p>
            <w:r/>
            <w:r>
              <w:rPr>
                <w:rFonts w:ascii="Calibri" w:hAnsi="Calibri"/>
                <w:b w:val="0"/>
                <w:i w:val="0"/>
                <w:sz w:val="20"/>
              </w:rPr>
              <w:t>`NS`</w:t>
            </w:r>
          </w:p>
        </w:tc>
        <w:tc>
          <w:tcPr>
            <w:tcW w:type="dxa" w:w="1440"/>
          </w:tcPr>
          <w:p>
            <w:r/>
            <w:r>
              <w:rPr>
                <w:rFonts w:ascii="Calibri" w:hAnsi="Calibri"/>
                <w:b w:val="0"/>
                <w:i w:val="0"/>
                <w:sz w:val="20"/>
              </w:rPr>
              <w:t>2</w:t>
            </w:r>
          </w:p>
        </w:tc>
        <w:tc>
          <w:tcPr>
            <w:tcW w:type="dxa" w:w="1440"/>
          </w:tcPr>
          <w:p>
            <w:r/>
            <w:r>
              <w:rPr>
                <w:rFonts w:ascii="Calibri" w:hAnsi="Calibri"/>
                <w:b w:val="0"/>
                <w:i w:val="0"/>
                <w:sz w:val="20"/>
              </w:rPr>
              <w:t>Medium</w:t>
            </w:r>
          </w:p>
        </w:tc>
        <w:tc>
          <w:tcPr>
            <w:tcW w:type="dxa" w:w="1440"/>
          </w:tcPr>
          <w:p>
            <w:r/>
            <w:r>
              <w:rPr>
                <w:rFonts w:ascii="Calibri" w:hAnsi="Calibri"/>
                <w:b w:val="0"/>
                <w:i w:val="0"/>
                <w:sz w:val="20"/>
              </w:rPr>
              <w:t>Deamidation</w:t>
            </w:r>
          </w:p>
        </w:tc>
      </w:tr>
      <w:tr>
        <w:tc>
          <w:tcPr>
            <w:tcW w:type="dxa" w:w="1440"/>
          </w:tcPr>
          <w:p>
            <w:r/>
            <w:r>
              <w:rPr>
                <w:rFonts w:ascii="Calibri" w:hAnsi="Calibri"/>
                <w:b w:val="0"/>
                <w:i w:val="0"/>
                <w:sz w:val="20"/>
              </w:rPr>
              <w:t>`deamid-na`</w:t>
            </w:r>
          </w:p>
        </w:tc>
        <w:tc>
          <w:tcPr>
            <w:tcW w:type="dxa" w:w="1440"/>
          </w:tcPr>
          <w:p>
            <w:r/>
            <w:r>
              <w:rPr>
                <w:rFonts w:ascii="Calibri" w:hAnsi="Calibri"/>
                <w:b w:val="0"/>
                <w:i w:val="0"/>
                <w:sz w:val="20"/>
              </w:rPr>
              <w:t>Deamidation (NA)</w:t>
            </w:r>
          </w:p>
        </w:tc>
        <w:tc>
          <w:tcPr>
            <w:tcW w:type="dxa" w:w="1440"/>
          </w:tcPr>
          <w:p>
            <w:r/>
            <w:r>
              <w:rPr>
                <w:rFonts w:ascii="Calibri" w:hAnsi="Calibri"/>
                <w:b w:val="0"/>
                <w:i w:val="0"/>
                <w:sz w:val="20"/>
              </w:rPr>
              <w:t>`NA`</w:t>
            </w:r>
          </w:p>
        </w:tc>
        <w:tc>
          <w:tcPr>
            <w:tcW w:type="dxa" w:w="1440"/>
          </w:tcPr>
          <w:p>
            <w:r/>
            <w:r>
              <w:rPr>
                <w:rFonts w:ascii="Calibri" w:hAnsi="Calibri"/>
                <w:b w:val="0"/>
                <w:i w:val="0"/>
                <w:sz w:val="20"/>
              </w:rPr>
              <w:t>2</w:t>
            </w:r>
          </w:p>
        </w:tc>
        <w:tc>
          <w:tcPr>
            <w:tcW w:type="dxa" w:w="1440"/>
          </w:tcPr>
          <w:p>
            <w:r/>
            <w:r>
              <w:rPr>
                <w:rFonts w:ascii="Calibri" w:hAnsi="Calibri"/>
                <w:b w:val="0"/>
                <w:i w:val="0"/>
                <w:sz w:val="20"/>
              </w:rPr>
              <w:t>Low</w:t>
            </w:r>
          </w:p>
        </w:tc>
        <w:tc>
          <w:tcPr>
            <w:tcW w:type="dxa" w:w="1440"/>
          </w:tcPr>
          <w:p>
            <w:r/>
            <w:r>
              <w:rPr>
                <w:rFonts w:ascii="Calibri" w:hAnsi="Calibri"/>
                <w:b w:val="0"/>
                <w:i w:val="0"/>
                <w:sz w:val="20"/>
              </w:rPr>
              <w:t>Deamidation</w:t>
            </w:r>
          </w:p>
        </w:tc>
      </w:tr>
      <w:tr>
        <w:tc>
          <w:tcPr>
            <w:tcW w:type="dxa" w:w="1440"/>
          </w:tcPr>
          <w:p>
            <w:r/>
            <w:r>
              <w:rPr>
                <w:rFonts w:ascii="Calibri" w:hAnsi="Calibri"/>
                <w:b w:val="0"/>
                <w:i w:val="0"/>
                <w:sz w:val="20"/>
              </w:rPr>
              <w:t>`deamid-nd`</w:t>
            </w:r>
          </w:p>
        </w:tc>
        <w:tc>
          <w:tcPr>
            <w:tcW w:type="dxa" w:w="1440"/>
          </w:tcPr>
          <w:p>
            <w:r/>
            <w:r>
              <w:rPr>
                <w:rFonts w:ascii="Calibri" w:hAnsi="Calibri"/>
                <w:b w:val="0"/>
                <w:i w:val="0"/>
                <w:sz w:val="20"/>
              </w:rPr>
              <w:t>Deamidation (ND)</w:t>
            </w:r>
          </w:p>
        </w:tc>
        <w:tc>
          <w:tcPr>
            <w:tcW w:type="dxa" w:w="1440"/>
          </w:tcPr>
          <w:p>
            <w:r/>
            <w:r>
              <w:rPr>
                <w:rFonts w:ascii="Calibri" w:hAnsi="Calibri"/>
                <w:b w:val="0"/>
                <w:i w:val="0"/>
                <w:sz w:val="20"/>
              </w:rPr>
              <w:t>`ND`</w:t>
            </w:r>
          </w:p>
        </w:tc>
        <w:tc>
          <w:tcPr>
            <w:tcW w:type="dxa" w:w="1440"/>
          </w:tcPr>
          <w:p>
            <w:r/>
            <w:r>
              <w:rPr>
                <w:rFonts w:ascii="Calibri" w:hAnsi="Calibri"/>
                <w:b w:val="0"/>
                <w:i w:val="0"/>
                <w:sz w:val="20"/>
              </w:rPr>
              <w:t>2</w:t>
            </w:r>
          </w:p>
        </w:tc>
        <w:tc>
          <w:tcPr>
            <w:tcW w:type="dxa" w:w="1440"/>
          </w:tcPr>
          <w:p>
            <w:r/>
            <w:r>
              <w:rPr>
                <w:rFonts w:ascii="Calibri" w:hAnsi="Calibri"/>
                <w:b w:val="0"/>
                <w:i w:val="0"/>
                <w:sz w:val="20"/>
              </w:rPr>
              <w:t>Low</w:t>
            </w:r>
          </w:p>
        </w:tc>
        <w:tc>
          <w:tcPr>
            <w:tcW w:type="dxa" w:w="1440"/>
          </w:tcPr>
          <w:p>
            <w:r/>
            <w:r>
              <w:rPr>
                <w:rFonts w:ascii="Calibri" w:hAnsi="Calibri"/>
                <w:b w:val="0"/>
                <w:i w:val="0"/>
                <w:sz w:val="20"/>
              </w:rPr>
              <w:t>Deamidation</w:t>
            </w:r>
          </w:p>
        </w:tc>
      </w:tr>
      <w:tr>
        <w:tc>
          <w:tcPr>
            <w:tcW w:type="dxa" w:w="1440"/>
          </w:tcPr>
          <w:p>
            <w:r/>
            <w:r>
              <w:rPr>
                <w:rFonts w:ascii="Calibri" w:hAnsi="Calibri"/>
                <w:b w:val="0"/>
                <w:i w:val="0"/>
                <w:sz w:val="20"/>
              </w:rPr>
              <w:t>`deamid-nt`</w:t>
            </w:r>
          </w:p>
        </w:tc>
        <w:tc>
          <w:tcPr>
            <w:tcW w:type="dxa" w:w="1440"/>
          </w:tcPr>
          <w:p>
            <w:r/>
            <w:r>
              <w:rPr>
                <w:rFonts w:ascii="Calibri" w:hAnsi="Calibri"/>
                <w:b w:val="0"/>
                <w:i w:val="0"/>
                <w:sz w:val="20"/>
              </w:rPr>
              <w:t>Deamidation (NT)</w:t>
            </w:r>
          </w:p>
        </w:tc>
        <w:tc>
          <w:tcPr>
            <w:tcW w:type="dxa" w:w="1440"/>
          </w:tcPr>
          <w:p>
            <w:r/>
            <w:r>
              <w:rPr>
                <w:rFonts w:ascii="Calibri" w:hAnsi="Calibri"/>
                <w:b w:val="0"/>
                <w:i w:val="0"/>
                <w:sz w:val="20"/>
              </w:rPr>
              <w:t>`NT`</w:t>
            </w:r>
          </w:p>
        </w:tc>
        <w:tc>
          <w:tcPr>
            <w:tcW w:type="dxa" w:w="1440"/>
          </w:tcPr>
          <w:p>
            <w:r/>
            <w:r>
              <w:rPr>
                <w:rFonts w:ascii="Calibri" w:hAnsi="Calibri"/>
                <w:b w:val="0"/>
                <w:i w:val="0"/>
                <w:sz w:val="20"/>
              </w:rPr>
              <w:t>2</w:t>
            </w:r>
          </w:p>
        </w:tc>
        <w:tc>
          <w:tcPr>
            <w:tcW w:type="dxa" w:w="1440"/>
          </w:tcPr>
          <w:p>
            <w:r/>
            <w:r>
              <w:rPr>
                <w:rFonts w:ascii="Calibri" w:hAnsi="Calibri"/>
                <w:b w:val="0"/>
                <w:i w:val="0"/>
                <w:sz w:val="20"/>
              </w:rPr>
              <w:t>Low</w:t>
            </w:r>
          </w:p>
        </w:tc>
        <w:tc>
          <w:tcPr>
            <w:tcW w:type="dxa" w:w="1440"/>
          </w:tcPr>
          <w:p>
            <w:r/>
            <w:r>
              <w:rPr>
                <w:rFonts w:ascii="Calibri" w:hAnsi="Calibri"/>
                <w:b w:val="0"/>
                <w:i w:val="0"/>
                <w:sz w:val="20"/>
              </w:rPr>
              <w:t>Deamidation</w:t>
            </w:r>
          </w:p>
        </w:tc>
      </w:tr>
      <w:tr>
        <w:tc>
          <w:tcPr>
            <w:tcW w:type="dxa" w:w="1440"/>
          </w:tcPr>
          <w:p>
            <w:r/>
            <w:r>
              <w:rPr>
                <w:rFonts w:ascii="Calibri" w:hAnsi="Calibri"/>
                <w:b w:val="0"/>
                <w:i w:val="0"/>
                <w:sz w:val="20"/>
              </w:rPr>
              <w:t>`isom-dg`</w:t>
            </w:r>
          </w:p>
        </w:tc>
        <w:tc>
          <w:tcPr>
            <w:tcW w:type="dxa" w:w="1440"/>
          </w:tcPr>
          <w:p>
            <w:r/>
            <w:r>
              <w:rPr>
                <w:rFonts w:ascii="Calibri" w:hAnsi="Calibri"/>
                <w:b w:val="0"/>
                <w:i w:val="0"/>
                <w:sz w:val="20"/>
              </w:rPr>
              <w:t>Isomerization (DG)</w:t>
            </w:r>
          </w:p>
        </w:tc>
        <w:tc>
          <w:tcPr>
            <w:tcW w:type="dxa" w:w="1440"/>
          </w:tcPr>
          <w:p>
            <w:r/>
            <w:r>
              <w:rPr>
                <w:rFonts w:ascii="Calibri" w:hAnsi="Calibri"/>
                <w:b w:val="0"/>
                <w:i w:val="0"/>
                <w:sz w:val="20"/>
              </w:rPr>
              <w:t>`DG`</w:t>
            </w:r>
          </w:p>
        </w:tc>
        <w:tc>
          <w:tcPr>
            <w:tcW w:type="dxa" w:w="1440"/>
          </w:tcPr>
          <w:p>
            <w:r/>
            <w:r>
              <w:rPr>
                <w:rFonts w:ascii="Calibri" w:hAnsi="Calibri"/>
                <w:b w:val="0"/>
                <w:i w:val="0"/>
                <w:sz w:val="20"/>
              </w:rPr>
              <w:t>2</w:t>
            </w:r>
          </w:p>
        </w:tc>
        <w:tc>
          <w:tcPr>
            <w:tcW w:type="dxa" w:w="1440"/>
          </w:tcPr>
          <w:p>
            <w:r/>
            <w:r>
              <w:rPr>
                <w:rFonts w:ascii="Calibri" w:hAnsi="Calibri"/>
                <w:b w:val="0"/>
                <w:i w:val="0"/>
                <w:sz w:val="20"/>
              </w:rPr>
              <w:t>High</w:t>
            </w:r>
          </w:p>
        </w:tc>
        <w:tc>
          <w:tcPr>
            <w:tcW w:type="dxa" w:w="1440"/>
          </w:tcPr>
          <w:p>
            <w:r/>
            <w:r>
              <w:rPr>
                <w:rFonts w:ascii="Calibri" w:hAnsi="Calibri"/>
                <w:b w:val="0"/>
                <w:i w:val="0"/>
                <w:sz w:val="20"/>
              </w:rPr>
              <w:t>Isomerization</w:t>
            </w:r>
          </w:p>
        </w:tc>
      </w:tr>
      <w:tr>
        <w:tc>
          <w:tcPr>
            <w:tcW w:type="dxa" w:w="1440"/>
          </w:tcPr>
          <w:p>
            <w:r/>
            <w:r>
              <w:rPr>
                <w:rFonts w:ascii="Calibri" w:hAnsi="Calibri"/>
                <w:b w:val="0"/>
                <w:i w:val="0"/>
                <w:sz w:val="20"/>
              </w:rPr>
              <w:t>`isom-ds`</w:t>
            </w:r>
          </w:p>
        </w:tc>
        <w:tc>
          <w:tcPr>
            <w:tcW w:type="dxa" w:w="1440"/>
          </w:tcPr>
          <w:p>
            <w:r/>
            <w:r>
              <w:rPr>
                <w:rFonts w:ascii="Calibri" w:hAnsi="Calibri"/>
                <w:b w:val="0"/>
                <w:i w:val="0"/>
                <w:sz w:val="20"/>
              </w:rPr>
              <w:t>Isomerization (DS)</w:t>
            </w:r>
          </w:p>
        </w:tc>
        <w:tc>
          <w:tcPr>
            <w:tcW w:type="dxa" w:w="1440"/>
          </w:tcPr>
          <w:p>
            <w:r/>
            <w:r>
              <w:rPr>
                <w:rFonts w:ascii="Calibri" w:hAnsi="Calibri"/>
                <w:b w:val="0"/>
                <w:i w:val="0"/>
                <w:sz w:val="20"/>
              </w:rPr>
              <w:t>`DS`</w:t>
            </w:r>
          </w:p>
        </w:tc>
        <w:tc>
          <w:tcPr>
            <w:tcW w:type="dxa" w:w="1440"/>
          </w:tcPr>
          <w:p>
            <w:r/>
            <w:r>
              <w:rPr>
                <w:rFonts w:ascii="Calibri" w:hAnsi="Calibri"/>
                <w:b w:val="0"/>
                <w:i w:val="0"/>
                <w:sz w:val="20"/>
              </w:rPr>
              <w:t>2</w:t>
            </w:r>
          </w:p>
        </w:tc>
        <w:tc>
          <w:tcPr>
            <w:tcW w:type="dxa" w:w="1440"/>
          </w:tcPr>
          <w:p>
            <w:r/>
            <w:r>
              <w:rPr>
                <w:rFonts w:ascii="Calibri" w:hAnsi="Calibri"/>
                <w:b w:val="0"/>
                <w:i w:val="0"/>
                <w:sz w:val="20"/>
              </w:rPr>
              <w:t>Medium</w:t>
            </w:r>
          </w:p>
        </w:tc>
        <w:tc>
          <w:tcPr>
            <w:tcW w:type="dxa" w:w="1440"/>
          </w:tcPr>
          <w:p>
            <w:r/>
            <w:r>
              <w:rPr>
                <w:rFonts w:ascii="Calibri" w:hAnsi="Calibri"/>
                <w:b w:val="0"/>
                <w:i w:val="0"/>
                <w:sz w:val="20"/>
              </w:rPr>
              <w:t>Isomerization</w:t>
            </w:r>
          </w:p>
        </w:tc>
      </w:tr>
      <w:tr>
        <w:tc>
          <w:tcPr>
            <w:tcW w:type="dxa" w:w="1440"/>
          </w:tcPr>
          <w:p>
            <w:r/>
            <w:r>
              <w:rPr>
                <w:rFonts w:ascii="Calibri" w:hAnsi="Calibri"/>
                <w:b w:val="0"/>
                <w:i w:val="0"/>
                <w:sz w:val="20"/>
              </w:rPr>
              <w:t>`oxid-m`</w:t>
            </w:r>
          </w:p>
        </w:tc>
        <w:tc>
          <w:tcPr>
            <w:tcW w:type="dxa" w:w="1440"/>
          </w:tcPr>
          <w:p>
            <w:r/>
            <w:r>
              <w:rPr>
                <w:rFonts w:ascii="Calibri" w:hAnsi="Calibri"/>
                <w:b w:val="0"/>
                <w:i w:val="0"/>
                <w:sz w:val="20"/>
              </w:rPr>
              <w:t>Oxidation (Met)</w:t>
            </w:r>
          </w:p>
        </w:tc>
        <w:tc>
          <w:tcPr>
            <w:tcW w:type="dxa" w:w="1440"/>
          </w:tcPr>
          <w:p>
            <w:r/>
            <w:r>
              <w:rPr>
                <w:rFonts w:ascii="Calibri" w:hAnsi="Calibri"/>
                <w:b w:val="0"/>
                <w:i w:val="0"/>
                <w:sz w:val="20"/>
              </w:rPr>
              <w:t>`M`</w:t>
            </w:r>
          </w:p>
        </w:tc>
        <w:tc>
          <w:tcPr>
            <w:tcW w:type="dxa" w:w="1440"/>
          </w:tcPr>
          <w:p>
            <w:r/>
            <w:r>
              <w:rPr>
                <w:rFonts w:ascii="Calibri" w:hAnsi="Calibri"/>
                <w:b w:val="0"/>
                <w:i w:val="0"/>
                <w:sz w:val="20"/>
              </w:rPr>
              <w:t>1</w:t>
            </w:r>
          </w:p>
        </w:tc>
        <w:tc>
          <w:tcPr>
            <w:tcW w:type="dxa" w:w="1440"/>
          </w:tcPr>
          <w:p>
            <w:r/>
            <w:r>
              <w:rPr>
                <w:rFonts w:ascii="Calibri" w:hAnsi="Calibri"/>
                <w:b w:val="0"/>
                <w:i w:val="0"/>
                <w:sz w:val="20"/>
              </w:rPr>
              <w:t>Medium</w:t>
            </w:r>
          </w:p>
        </w:tc>
        <w:tc>
          <w:tcPr>
            <w:tcW w:type="dxa" w:w="1440"/>
          </w:tcPr>
          <w:p>
            <w:r/>
            <w:r>
              <w:rPr>
                <w:rFonts w:ascii="Calibri" w:hAnsi="Calibri"/>
                <w:b w:val="0"/>
                <w:i w:val="0"/>
                <w:sz w:val="20"/>
              </w:rPr>
              <w:t>Oxidation</w:t>
            </w:r>
          </w:p>
        </w:tc>
      </w:tr>
      <w:tr>
        <w:tc>
          <w:tcPr>
            <w:tcW w:type="dxa" w:w="1440"/>
          </w:tcPr>
          <w:p>
            <w:r/>
            <w:r>
              <w:rPr>
                <w:rFonts w:ascii="Calibri" w:hAnsi="Calibri"/>
                <w:b w:val="0"/>
                <w:i w:val="0"/>
                <w:sz w:val="20"/>
              </w:rPr>
              <w:t>`oxid-w`</w:t>
            </w:r>
          </w:p>
        </w:tc>
        <w:tc>
          <w:tcPr>
            <w:tcW w:type="dxa" w:w="1440"/>
          </w:tcPr>
          <w:p>
            <w:r/>
            <w:r>
              <w:rPr>
                <w:rFonts w:ascii="Calibri" w:hAnsi="Calibri"/>
                <w:b w:val="0"/>
                <w:i w:val="0"/>
                <w:sz w:val="20"/>
              </w:rPr>
              <w:t>Oxidation (Trp)</w:t>
            </w:r>
          </w:p>
        </w:tc>
        <w:tc>
          <w:tcPr>
            <w:tcW w:type="dxa" w:w="1440"/>
          </w:tcPr>
          <w:p>
            <w:r/>
            <w:r>
              <w:rPr>
                <w:rFonts w:ascii="Calibri" w:hAnsi="Calibri"/>
                <w:b w:val="0"/>
                <w:i w:val="0"/>
                <w:sz w:val="20"/>
              </w:rPr>
              <w:t>`W`</w:t>
            </w:r>
          </w:p>
        </w:tc>
        <w:tc>
          <w:tcPr>
            <w:tcW w:type="dxa" w:w="1440"/>
          </w:tcPr>
          <w:p>
            <w:r/>
            <w:r>
              <w:rPr>
                <w:rFonts w:ascii="Calibri" w:hAnsi="Calibri"/>
                <w:b w:val="0"/>
                <w:i w:val="0"/>
                <w:sz w:val="20"/>
              </w:rPr>
              <w:t>1</w:t>
            </w:r>
          </w:p>
        </w:tc>
        <w:tc>
          <w:tcPr>
            <w:tcW w:type="dxa" w:w="1440"/>
          </w:tcPr>
          <w:p>
            <w:r/>
            <w:r>
              <w:rPr>
                <w:rFonts w:ascii="Calibri" w:hAnsi="Calibri"/>
                <w:b w:val="0"/>
                <w:i w:val="0"/>
                <w:sz w:val="20"/>
              </w:rPr>
              <w:t>Low</w:t>
            </w:r>
          </w:p>
        </w:tc>
        <w:tc>
          <w:tcPr>
            <w:tcW w:type="dxa" w:w="1440"/>
          </w:tcPr>
          <w:p>
            <w:r/>
            <w:r>
              <w:rPr>
                <w:rFonts w:ascii="Calibri" w:hAnsi="Calibri"/>
                <w:b w:val="0"/>
                <w:i w:val="0"/>
                <w:sz w:val="20"/>
              </w:rPr>
              <w:t>Oxidation</w:t>
            </w:r>
          </w:p>
        </w:tc>
      </w:tr>
      <w:tr>
        <w:tc>
          <w:tcPr>
            <w:tcW w:type="dxa" w:w="1440"/>
          </w:tcPr>
          <w:p>
            <w:r/>
            <w:r>
              <w:rPr>
                <w:rFonts w:ascii="Calibri" w:hAnsi="Calibri"/>
                <w:b w:val="0"/>
                <w:i w:val="0"/>
                <w:sz w:val="20"/>
              </w:rPr>
              <w:t>`glyco-nxst`</w:t>
            </w:r>
          </w:p>
        </w:tc>
        <w:tc>
          <w:tcPr>
            <w:tcW w:type="dxa" w:w="1440"/>
          </w:tcPr>
          <w:p>
            <w:r/>
            <w:r>
              <w:rPr>
                <w:rFonts w:ascii="Calibri" w:hAnsi="Calibri"/>
                <w:b w:val="0"/>
                <w:i w:val="0"/>
                <w:sz w:val="20"/>
              </w:rPr>
              <w:t>N-glycosylation</w:t>
            </w:r>
          </w:p>
        </w:tc>
        <w:tc>
          <w:tcPr>
            <w:tcW w:type="dxa" w:w="1440"/>
          </w:tcPr>
          <w:p>
            <w:r/>
            <w:r>
              <w:rPr>
                <w:rFonts w:ascii="Calibri" w:hAnsi="Calibri"/>
                <w:b w:val="0"/>
                <w:i w:val="0"/>
                <w:sz w:val="20"/>
              </w:rPr>
              <w:t>`N[^P][ST]`</w:t>
            </w:r>
          </w:p>
        </w:tc>
        <w:tc>
          <w:tcPr>
            <w:tcW w:type="dxa" w:w="1440"/>
          </w:tcPr>
          <w:p>
            <w:r/>
            <w:r>
              <w:rPr>
                <w:rFonts w:ascii="Calibri" w:hAnsi="Calibri"/>
                <w:b w:val="0"/>
                <w:i w:val="0"/>
                <w:sz w:val="20"/>
              </w:rPr>
              <w:t>3</w:t>
            </w:r>
          </w:p>
        </w:tc>
        <w:tc>
          <w:tcPr>
            <w:tcW w:type="dxa" w:w="1440"/>
          </w:tcPr>
          <w:p>
            <w:r/>
            <w:r>
              <w:rPr>
                <w:rFonts w:ascii="Calibri" w:hAnsi="Calibri"/>
                <w:b w:val="0"/>
                <w:i w:val="0"/>
                <w:sz w:val="20"/>
              </w:rPr>
              <w:t>High</w:t>
            </w:r>
          </w:p>
        </w:tc>
        <w:tc>
          <w:tcPr>
            <w:tcW w:type="dxa" w:w="1440"/>
          </w:tcPr>
          <w:p>
            <w:r/>
            <w:r>
              <w:rPr>
                <w:rFonts w:ascii="Calibri" w:hAnsi="Calibri"/>
                <w:b w:val="0"/>
                <w:i w:val="0"/>
                <w:sz w:val="20"/>
              </w:rPr>
              <w:t>Glycosylation</w:t>
            </w:r>
          </w:p>
        </w:tc>
      </w:tr>
      <w:tr>
        <w:tc>
          <w:tcPr>
            <w:tcW w:type="dxa" w:w="1440"/>
          </w:tcPr>
          <w:p>
            <w:r/>
            <w:r>
              <w:rPr>
                <w:rFonts w:ascii="Calibri" w:hAnsi="Calibri"/>
                <w:b w:val="0"/>
                <w:i w:val="0"/>
                <w:sz w:val="20"/>
              </w:rPr>
              <w:t>`free-cys`</w:t>
            </w:r>
          </w:p>
        </w:tc>
        <w:tc>
          <w:tcPr>
            <w:tcW w:type="dxa" w:w="1440"/>
          </w:tcPr>
          <w:p>
            <w:r/>
            <w:r>
              <w:rPr>
                <w:rFonts w:ascii="Calibri" w:hAnsi="Calibri"/>
                <w:b w:val="0"/>
                <w:i w:val="0"/>
                <w:sz w:val="20"/>
              </w:rPr>
              <w:t>Free Cysteine</w:t>
            </w:r>
          </w:p>
        </w:tc>
        <w:tc>
          <w:tcPr>
            <w:tcW w:type="dxa" w:w="1440"/>
          </w:tcPr>
          <w:p>
            <w:r/>
            <w:r>
              <w:rPr>
                <w:rFonts w:ascii="Calibri" w:hAnsi="Calibri"/>
                <w:b w:val="0"/>
                <w:i w:val="0"/>
                <w:sz w:val="20"/>
              </w:rPr>
              <w:t>`C`</w:t>
            </w:r>
          </w:p>
        </w:tc>
        <w:tc>
          <w:tcPr>
            <w:tcW w:type="dxa" w:w="1440"/>
          </w:tcPr>
          <w:p>
            <w:r/>
            <w:r>
              <w:rPr>
                <w:rFonts w:ascii="Calibri" w:hAnsi="Calibri"/>
                <w:b w:val="0"/>
                <w:i w:val="0"/>
                <w:sz w:val="20"/>
              </w:rPr>
              <w:t>1</w:t>
            </w:r>
          </w:p>
        </w:tc>
        <w:tc>
          <w:tcPr>
            <w:tcW w:type="dxa" w:w="1440"/>
          </w:tcPr>
          <w:p>
            <w:r/>
            <w:r>
              <w:rPr>
                <w:rFonts w:ascii="Calibri" w:hAnsi="Calibri"/>
                <w:b w:val="0"/>
                <w:i w:val="0"/>
                <w:sz w:val="20"/>
              </w:rPr>
              <w:t>Info</w:t>
            </w:r>
          </w:p>
        </w:tc>
        <w:tc>
          <w:tcPr>
            <w:tcW w:type="dxa" w:w="1440"/>
          </w:tcPr>
          <w:p>
            <w:r/>
            <w:r>
              <w:rPr>
                <w:rFonts w:ascii="Calibri" w:hAnsi="Calibri"/>
                <w:b w:val="0"/>
                <w:i w:val="0"/>
                <w:sz w:val="20"/>
              </w:rPr>
              <w:t>Free Cysteine</w:t>
            </w:r>
          </w:p>
        </w:tc>
      </w:tr>
    </w:tbl>
    <w:p>
      <w:pPr>
        <w:pStyle w:val="Heading2"/>
      </w:pPr>
      <w:r>
        <w:t>4.3 Scanner Logic</w:t>
      </w:r>
    </w:p>
    <w:p>
      <w:pPr>
        <w:spacing w:before="80" w:after="80"/>
        <w:ind w:left="432"/>
      </w:pPr>
      <w:r>
        <w:rPr>
          <w:rFonts w:ascii="Consolas" w:hAnsi="Consolas"/>
          <w:b w:val="0"/>
          <w:i w:val="0"/>
          <w:color w:val="505050"/>
          <w:sz w:val="18"/>
        </w:rPr>
        <w:t>function scanLiabilities(col, seqHandler, rules): { annotations: SeqAnnotation[], rowData: RowAnnotationData[] }</w:t>
      </w:r>
    </w:p>
    <w:p>
      <w:r>
        <w:rPr>
          <w:rFonts w:ascii="Calibri" w:hAnsi="Calibri"/>
          <w:b w:val="0"/>
          <w:i w:val="0"/>
          <w:sz w:val="22"/>
        </w:rPr>
        <w:t>For each row:</w:t>
      </w:r>
    </w:p>
    <w:p>
      <w:pPr>
        <w:pStyle w:val="ListNumber"/>
      </w:pPr>
      <w:r>
        <w:rPr>
          <w:rFonts w:ascii="Calibri" w:hAnsi="Calibri"/>
          <w:b w:val="0"/>
          <w:i w:val="0"/>
          <w:sz w:val="22"/>
        </w:rPr>
        <w:t xml:space="preserve">Get the canonical single-letter sequence via </w:t>
      </w:r>
      <w:r>
        <w:rPr>
          <w:rFonts w:ascii="Consolas" w:hAnsi="Consolas"/>
          <w:b w:val="0"/>
          <w:i w:val="0"/>
          <w:color w:val="505050"/>
          <w:sz w:val="20"/>
        </w:rPr>
        <w:t>seqHandler.getSplitted(rowIdx)</w:t>
      </w:r>
    </w:p>
    <w:p>
      <w:pPr>
        <w:pStyle w:val="ListNumber"/>
      </w:pPr>
      <w:r>
        <w:rPr>
          <w:rFonts w:ascii="Calibri" w:hAnsi="Calibri"/>
          <w:b w:val="0"/>
          <w:i w:val="0"/>
          <w:sz w:val="22"/>
        </w:rPr>
        <w:t>For each rule, run the regex against the canonical string</w:t>
      </w:r>
    </w:p>
    <w:p>
      <w:pPr>
        <w:pStyle w:val="ListNumber"/>
      </w:pPr>
      <w:r>
        <w:rPr>
          <w:rFonts w:ascii="Calibri" w:hAnsi="Calibri"/>
          <w:b w:val="0"/>
          <w:i w:val="0"/>
          <w:sz w:val="22"/>
        </w:rPr>
        <w:t xml:space="preserve">Record each match as a </w:t>
      </w:r>
      <w:r>
        <w:rPr>
          <w:rFonts w:ascii="Consolas" w:hAnsi="Consolas"/>
          <w:b w:val="0"/>
          <w:i w:val="0"/>
          <w:color w:val="505050"/>
          <w:sz w:val="20"/>
        </w:rPr>
        <w:t>SeqAnnotationHit</w:t>
      </w:r>
      <w:r>
        <w:rPr>
          <w:rFonts w:ascii="Calibri" w:hAnsi="Calibri"/>
          <w:b w:val="0"/>
          <w:i w:val="0"/>
          <w:sz w:val="22"/>
        </w:rPr>
        <w:t xml:space="preserve"> with the position index and matched monomers</w:t>
      </w:r>
    </w:p>
    <w:p>
      <w:pPr>
        <w:pStyle w:val="ListNumber"/>
      </w:pPr>
      <w:r>
        <w:rPr>
          <w:rFonts w:ascii="Calibri" w:hAnsi="Calibri"/>
          <w:b w:val="0"/>
          <w:i w:val="0"/>
          <w:sz w:val="22"/>
        </w:rPr>
        <w:t xml:space="preserve">After scanning all rows, create a </w:t>
      </w:r>
      <w:r>
        <w:rPr>
          <w:rFonts w:ascii="Consolas" w:hAnsi="Consolas"/>
          <w:b w:val="0"/>
          <w:i w:val="0"/>
          <w:color w:val="505050"/>
          <w:sz w:val="20"/>
        </w:rPr>
        <w:t>SeqAnnotation</w:t>
      </w:r>
      <w:r>
        <w:rPr>
          <w:rFonts w:ascii="Calibri" w:hAnsi="Calibri"/>
          <w:b w:val="0"/>
          <w:i w:val="0"/>
          <w:sz w:val="22"/>
        </w:rPr>
        <w:t xml:space="preserve"> entry for each rule that had at least one hit</w:t>
      </w:r>
    </w:p>
    <w:p>
      <w:r>
        <w:rPr>
          <w:rFonts w:ascii="Calibri" w:hAnsi="Calibri"/>
          <w:b w:val="0"/>
          <w:i w:val="0"/>
          <w:sz w:val="22"/>
        </w:rPr>
        <w:t>Output:</w:t>
      </w:r>
    </w:p>
    <w:p>
      <w:pPr>
        <w:pStyle w:val="ListBullet"/>
      </w:pPr>
      <w:r>
        <w:rPr>
          <w:rFonts w:ascii="Calibri" w:hAnsi="Calibri"/>
          <w:b w:val="0"/>
          <w:i w:val="0"/>
          <w:sz w:val="22"/>
        </w:rPr>
        <w:t xml:space="preserve">Column-level </w:t>
      </w:r>
      <w:r>
        <w:rPr>
          <w:rFonts w:ascii="Consolas" w:hAnsi="Consolas"/>
          <w:b w:val="0"/>
          <w:i w:val="0"/>
          <w:color w:val="505050"/>
          <w:sz w:val="20"/>
        </w:rPr>
        <w:t>SeqAnnotation[]</w:t>
      </w:r>
      <w:r>
        <w:rPr>
          <w:rFonts w:ascii="Calibri" w:hAnsi="Calibri"/>
          <w:b w:val="0"/>
          <w:i w:val="0"/>
          <w:sz w:val="22"/>
        </w:rPr>
        <w:t xml:space="preserve"> → stored in </w:t>
      </w:r>
      <w:r>
        <w:rPr>
          <w:rFonts w:ascii="Consolas" w:hAnsi="Consolas"/>
          <w:b w:val="0"/>
          <w:i w:val="0"/>
          <w:color w:val="505050"/>
          <w:sz w:val="20"/>
        </w:rPr>
        <w:t>.annotations</w:t>
      </w:r>
      <w:r>
        <w:rPr>
          <w:rFonts w:ascii="Calibri" w:hAnsi="Calibri"/>
          <w:b w:val="0"/>
          <w:i w:val="0"/>
          <w:sz w:val="22"/>
        </w:rPr>
        <w:t xml:space="preserve"> tag</w:t>
      </w:r>
    </w:p>
    <w:p>
      <w:pPr>
        <w:pStyle w:val="ListBullet"/>
      </w:pPr>
      <w:r>
        <w:rPr>
          <w:rFonts w:ascii="Calibri" w:hAnsi="Calibri"/>
          <w:b w:val="0"/>
          <w:i w:val="0"/>
          <w:sz w:val="22"/>
        </w:rPr>
        <w:t xml:space="preserve">Row-level </w:t>
      </w:r>
      <w:r>
        <w:rPr>
          <w:rFonts w:ascii="Consolas" w:hAnsi="Consolas"/>
          <w:b w:val="0"/>
          <w:i w:val="0"/>
          <w:color w:val="505050"/>
          <w:sz w:val="20"/>
        </w:rPr>
        <w:t>RowAnnotationData[]</w:t>
      </w:r>
      <w:r>
        <w:rPr>
          <w:rFonts w:ascii="Calibri" w:hAnsi="Calibri"/>
          <w:b w:val="0"/>
          <w:i w:val="0"/>
          <w:sz w:val="22"/>
        </w:rPr>
        <w:t xml:space="preserve"> → stored in a new companion column </w:t>
      </w:r>
      <w:r>
        <w:rPr>
          <w:rFonts w:ascii="Consolas" w:hAnsi="Consolas"/>
          <w:b w:val="0"/>
          <w:i w:val="0"/>
          <w:color w:val="505050"/>
          <w:sz w:val="20"/>
        </w:rPr>
        <w:t>${colName}_annotations</w:t>
      </w:r>
    </w:p>
    <w:p>
      <w:pPr>
        <w:pStyle w:val="Heading2"/>
      </w:pPr>
      <w:r>
        <w:t>4.4 Custom Rules</w:t>
      </w:r>
    </w:p>
    <w:p>
      <w:r>
        <w:rPr>
          <w:rFonts w:ascii="Calibri" w:hAnsi="Calibri"/>
          <w:b w:val="0"/>
          <w:i w:val="0"/>
          <w:sz w:val="22"/>
        </w:rPr>
        <w:t xml:space="preserve">Users can add custom pattern rules via the scanner dialog. Custom rules follow the same </w:t>
      </w:r>
      <w:r>
        <w:rPr>
          <w:rFonts w:ascii="Consolas" w:hAnsi="Consolas"/>
          <w:b w:val="0"/>
          <w:i w:val="0"/>
          <w:color w:val="505050"/>
          <w:sz w:val="20"/>
        </w:rPr>
        <w:t>LiabilityRule</w:t>
      </w:r>
      <w:r>
        <w:rPr>
          <w:rFonts w:ascii="Calibri" w:hAnsi="Calibri"/>
          <w:b w:val="0"/>
          <w:i w:val="0"/>
          <w:sz w:val="22"/>
        </w:rPr>
        <w:t xml:space="preserve"> structure and are stored as part of the </w:t>
      </w:r>
      <w:r>
        <w:rPr>
          <w:rFonts w:ascii="Consolas" w:hAnsi="Consolas"/>
          <w:b w:val="0"/>
          <w:i w:val="0"/>
          <w:color w:val="505050"/>
          <w:sz w:val="20"/>
        </w:rPr>
        <w:t>.annotations</w:t>
      </w:r>
      <w:r>
        <w:rPr>
          <w:rFonts w:ascii="Calibri" w:hAnsi="Calibri"/>
          <w:b w:val="0"/>
          <w:i w:val="0"/>
          <w:sz w:val="22"/>
        </w:rPr>
        <w:t xml:space="preserve"> tag with </w:t>
      </w:r>
      <w:r>
        <w:rPr>
          <w:rFonts w:ascii="Consolas" w:hAnsi="Consolas"/>
          <w:b w:val="0"/>
          <w:i w:val="0"/>
          <w:color w:val="505050"/>
          <w:sz w:val="20"/>
        </w:rPr>
        <w:t>autoGenerated: false</w:t>
      </w:r>
      <w:r>
        <w:rPr>
          <w:rFonts w:ascii="Calibri" w:hAnsi="Calibri"/>
          <w:b w:val="0"/>
          <w:i w:val="0"/>
          <w:sz w:val="22"/>
        </w:rPr>
        <w:t>.</w:t>
      </w:r>
    </w:p>
    <w:p>
      <w:pPr>
        <w:pStyle w:val="Heading1"/>
      </w:pPr>
      <w:r>
        <w:t>5. Rendering Integration</w:t>
      </w:r>
    </w:p>
    <w:p>
      <w:pPr>
        <w:pStyle w:val="Heading2"/>
      </w:pPr>
      <w:r>
        <w:t>5.1 Cell Renderer Changes</w:t>
      </w:r>
    </w:p>
    <w:p>
      <w:r>
        <w:rPr>
          <w:rFonts w:ascii="Calibri" w:hAnsi="Calibri"/>
          <w:b/>
          <w:i w:val="0"/>
          <w:sz w:val="22"/>
        </w:rPr>
        <w:t>Where</w:t>
      </w:r>
      <w:r>
        <w:rPr>
          <w:rFonts w:ascii="Calibri" w:hAnsi="Calibri"/>
          <w:b w:val="0"/>
          <w:i w:val="0"/>
          <w:sz w:val="22"/>
        </w:rPr>
        <w:t xml:space="preserve">: </w:t>
      </w:r>
      <w:r>
        <w:rPr>
          <w:rFonts w:ascii="Consolas" w:hAnsi="Consolas"/>
          <w:b w:val="0"/>
          <w:i w:val="0"/>
          <w:color w:val="505050"/>
          <w:sz w:val="20"/>
        </w:rPr>
        <w:t>MonomerPlacer.render()</w:t>
      </w:r>
      <w:r>
        <w:rPr>
          <w:rFonts w:ascii="Calibri" w:hAnsi="Calibri"/>
          <w:b w:val="0"/>
          <w:i w:val="0"/>
          <w:sz w:val="22"/>
        </w:rPr>
        <w:t xml:space="preserve"> in </w:t>
      </w:r>
      <w:r>
        <w:rPr>
          <w:rFonts w:ascii="Calibri" w:hAnsi="Calibri"/>
          <w:b w:val="0"/>
          <w:i w:val="0"/>
          <w:color w:val="0066CC"/>
          <w:sz w:val="22"/>
        </w:rPr>
        <w:t>cell-renderer-monomer-placer.ts</w:t>
      </w:r>
    </w:p>
    <w:p>
      <w:r>
        <w:rPr>
          <w:rFonts w:ascii="Calibri" w:hAnsi="Calibri"/>
          <w:b/>
          <w:i w:val="0"/>
          <w:sz w:val="22"/>
        </w:rPr>
        <w:t>Currently</w:t>
      </w:r>
      <w:r>
        <w:rPr>
          <w:rFonts w:ascii="Calibri" w:hAnsi="Calibri"/>
          <w:b w:val="0"/>
          <w:i w:val="0"/>
          <w:sz w:val="22"/>
        </w:rPr>
        <w:t>, the rendering loop for single-line mode (around line 620) does:</w:t>
      </w:r>
    </w:p>
    <w:p>
      <w:pPr>
        <w:spacing w:before="80" w:after="80"/>
        <w:ind w:left="432"/>
      </w:pPr>
      <w:r>
        <w:rPr>
          <w:rFonts w:ascii="Consolas" w:hAnsi="Consolas"/>
          <w:b w:val="0"/>
          <w:i w:val="0"/>
          <w:color w:val="505050"/>
          <w:sz w:val="18"/>
        </w:rPr>
        <w:t>for each visible position:</w:t>
        <w:br/>
        <w:t xml:space="preserve">    printLeftOrCentered(g, monomer, x, y, w, h, opts)</w:t>
      </w:r>
    </w:p>
    <w:p>
      <w:r>
        <w:rPr>
          <w:rFonts w:ascii="Calibri" w:hAnsi="Calibri"/>
          <w:b/>
          <w:i w:val="0"/>
          <w:sz w:val="22"/>
        </w:rPr>
        <w:t>After the change</w:t>
      </w:r>
      <w:r>
        <w:rPr>
          <w:rFonts w:ascii="Calibri" w:hAnsi="Calibri"/>
          <w:b w:val="0"/>
          <w:i w:val="0"/>
          <w:sz w:val="22"/>
        </w:rPr>
        <w:t xml:space="preserve">, a new </w:t>
      </w:r>
      <w:r>
        <w:rPr>
          <w:rFonts w:ascii="Consolas" w:hAnsi="Consolas"/>
          <w:b w:val="0"/>
          <w:i w:val="0"/>
          <w:color w:val="505050"/>
          <w:sz w:val="20"/>
        </w:rPr>
        <w:t>AnnotationRenderer</w:t>
      </w:r>
      <w:r>
        <w:rPr>
          <w:rFonts w:ascii="Calibri" w:hAnsi="Calibri"/>
          <w:b w:val="0"/>
          <w:i w:val="0"/>
          <w:sz w:val="22"/>
        </w:rPr>
        <w:t xml:space="preserve"> object is consulted before each monomer:</w:t>
      </w:r>
    </w:p>
    <w:p>
      <w:pPr>
        <w:spacing w:before="80" w:after="80"/>
        <w:ind w:left="432"/>
      </w:pPr>
      <w:r>
        <w:rPr>
          <w:rFonts w:ascii="Consolas" w:hAnsi="Consolas"/>
          <w:b w:val="0"/>
          <w:i w:val="0"/>
          <w:color w:val="505050"/>
          <w:sz w:val="18"/>
        </w:rPr>
        <w:t>for each visible position:</w:t>
        <w:br/>
        <w:t xml:space="preserve">    annotationRenderer.drawPositionBackground(g, x, y, w, h, posIdx, rowIdx)</w:t>
        <w:br/>
        <w:t xml:space="preserve">    printLeftOrCentered(g, monomer, x, y, w, h, opts)</w:t>
      </w:r>
    </w:p>
    <w:p>
      <w:r>
        <w:rPr>
          <w:rFonts w:ascii="Calibri" w:hAnsi="Calibri"/>
          <w:b w:val="0"/>
          <w:i w:val="0"/>
          <w:sz w:val="22"/>
        </w:rPr>
        <w:t>The same applies to the multiline rendering path (around line 568).</w:t>
      </w:r>
    </w:p>
    <w:p>
      <w:pPr>
        <w:pStyle w:val="Heading2"/>
      </w:pPr>
      <w:r>
        <w:t>5.2 AnnotationRenderer</w:t>
      </w:r>
    </w:p>
    <w:p>
      <w:r>
        <w:rPr>
          <w:rFonts w:ascii="Calibri" w:hAnsi="Calibri"/>
          <w:b w:val="0"/>
          <w:i w:val="0"/>
          <w:sz w:val="22"/>
        </w:rPr>
        <w:t xml:space="preserve">New file: </w:t>
      </w:r>
      <w:r>
        <w:rPr>
          <w:rFonts w:ascii="Consolas" w:hAnsi="Consolas"/>
          <w:b w:val="0"/>
          <w:i w:val="0"/>
          <w:color w:val="505050"/>
          <w:sz w:val="20"/>
        </w:rPr>
        <w:t>libraries/bio/src/utils/cell-renderer-annotations.ts</w:t>
      </w:r>
    </w:p>
    <w:p>
      <w:r>
        <w:rPr>
          <w:rFonts w:ascii="Calibri" w:hAnsi="Calibri"/>
          <w:b w:val="0"/>
          <w:i w:val="0"/>
          <w:sz w:val="22"/>
        </w:rPr>
        <w:t>This class:</w:t>
      </w:r>
    </w:p>
    <w:p>
      <w:pPr>
        <w:pStyle w:val="ListNumber"/>
      </w:pPr>
      <w:r>
        <w:rPr>
          <w:rFonts w:ascii="Calibri" w:hAnsi="Calibri"/>
          <w:b w:val="0"/>
          <w:i w:val="0"/>
          <w:sz w:val="22"/>
        </w:rPr>
        <w:t xml:space="preserve">Reads </w:t>
      </w:r>
      <w:r>
        <w:rPr>
          <w:rFonts w:ascii="Consolas" w:hAnsi="Consolas"/>
          <w:b w:val="0"/>
          <w:i w:val="0"/>
          <w:color w:val="505050"/>
          <w:sz w:val="20"/>
        </w:rPr>
        <w:t>.annotations</w:t>
      </w:r>
      <w:r>
        <w:rPr>
          <w:rFonts w:ascii="Calibri" w:hAnsi="Calibri"/>
          <w:b w:val="0"/>
          <w:i w:val="0"/>
          <w:sz w:val="22"/>
        </w:rPr>
        <w:t xml:space="preserve"> from the column tag and builds a position → color map for region annotations.</w:t>
      </w:r>
    </w:p>
    <w:p>
      <w:pPr>
        <w:pStyle w:val="ListNumber"/>
      </w:pPr>
      <w:r>
        <w:rPr>
          <w:rFonts w:ascii="Calibri" w:hAnsi="Calibri"/>
          <w:b w:val="0"/>
          <w:i w:val="0"/>
          <w:sz w:val="22"/>
        </w:rPr>
        <w:t>Reads the companion annotation column for row-level liability hits.</w:t>
      </w:r>
    </w:p>
    <w:p>
      <w:pPr>
        <w:pStyle w:val="ListNumber"/>
      </w:pPr>
      <w:r>
        <w:rPr>
          <w:rFonts w:ascii="Consolas" w:hAnsi="Consolas"/>
          <w:b w:val="0"/>
          <w:i w:val="0"/>
          <w:color w:val="505050"/>
          <w:sz w:val="20"/>
        </w:rPr>
        <w:t>drawPositionBackground()</w:t>
      </w:r>
      <w:r>
        <w:rPr>
          <w:rFonts w:ascii="Calibri" w:hAnsi="Calibri"/>
          <w:b w:val="0"/>
          <w:i w:val="0"/>
          <w:sz w:val="22"/>
        </w:rPr>
        <w:t>: draws a translucent colored rectangle (opacity ~0.15) for region annotations, and a 2px colored underline for liability hits at that position.</w:t>
      </w:r>
    </w:p>
    <w:p>
      <w:pPr>
        <w:pStyle w:val="ListNumber"/>
      </w:pPr>
      <w:r>
        <w:rPr>
          <w:rFonts w:ascii="Calibri" w:hAnsi="Calibri"/>
          <w:b w:val="0"/>
          <w:i w:val="0"/>
          <w:sz w:val="22"/>
        </w:rPr>
        <w:t>Caches parsed annotation data; invalidates on tag change.</w:t>
      </w:r>
    </w:p>
    <w:p>
      <w:r>
        <w:rPr>
          <w:rFonts w:ascii="Calibri" w:hAnsi="Calibri"/>
          <w:b/>
          <w:i w:val="0"/>
          <w:sz w:val="22"/>
        </w:rPr>
        <w:t>Visual layering</w:t>
      </w:r>
      <w:r>
        <w:rPr>
          <w:rFonts w:ascii="Calibri" w:hAnsi="Calibri"/>
          <w:b w:val="0"/>
          <w:i w:val="0"/>
          <w:sz w:val="22"/>
        </w:rPr>
        <w:t xml:space="preserve"> (bottom to top):</w:t>
      </w:r>
    </w:p>
    <w:p>
      <w:pPr>
        <w:pStyle w:val="ListNumber"/>
      </w:pPr>
      <w:r>
        <w:rPr>
          <w:rFonts w:ascii="Calibri" w:hAnsi="Calibri"/>
          <w:b/>
          <w:i w:val="0"/>
          <w:sz w:val="22"/>
        </w:rPr>
        <w:t>Region background</w:t>
      </w:r>
      <w:r>
        <w:rPr>
          <w:rFonts w:ascii="Calibri" w:hAnsi="Calibri"/>
          <w:b w:val="0"/>
          <w:i w:val="0"/>
          <w:sz w:val="22"/>
        </w:rPr>
        <w:t xml:space="preserve"> — translucent color band spanning the full cell height (e.g., light blue for CDR1, light green for FR2)</w:t>
      </w:r>
    </w:p>
    <w:p>
      <w:pPr>
        <w:pStyle w:val="ListNumber"/>
      </w:pPr>
      <w:r>
        <w:rPr>
          <w:rFonts w:ascii="Calibri" w:hAnsi="Calibri"/>
          <w:b/>
          <w:i w:val="0"/>
          <w:sz w:val="22"/>
        </w:rPr>
        <w:t>Monomer text</w:t>
      </w:r>
      <w:r>
        <w:rPr>
          <w:rFonts w:ascii="Calibri" w:hAnsi="Calibri"/>
          <w:b w:val="0"/>
          <w:i w:val="0"/>
          <w:sz w:val="22"/>
        </w:rPr>
        <w:t xml:space="preserve"> — existing color-coded monomer rendering (unchanged)</w:t>
      </w:r>
    </w:p>
    <w:p>
      <w:pPr>
        <w:pStyle w:val="ListNumber"/>
      </w:pPr>
      <w:r>
        <w:rPr>
          <w:rFonts w:ascii="Calibri" w:hAnsi="Calibri"/>
          <w:b/>
          <w:i w:val="0"/>
          <w:sz w:val="22"/>
        </w:rPr>
        <w:t>Liability underline</w:t>
      </w:r>
      <w:r>
        <w:rPr>
          <w:rFonts w:ascii="Calibri" w:hAnsi="Calibri"/>
          <w:b w:val="0"/>
          <w:i w:val="0"/>
          <w:sz w:val="22"/>
        </w:rPr>
        <w:t xml:space="preserve"> — 2px colored line at the bottom of the cell for positions with liability hits</w:t>
      </w:r>
    </w:p>
    <w:p>
      <w:pPr>
        <w:pStyle w:val="Heading2"/>
      </w:pPr>
      <w:r>
        <w:t>5.3 MSA Header Annotation Track</w:t>
      </w:r>
    </w:p>
    <w:p>
      <w:r>
        <w:rPr>
          <w:rFonts w:ascii="Calibri" w:hAnsi="Calibri"/>
          <w:b/>
          <w:i w:val="0"/>
          <w:sz w:val="22"/>
        </w:rPr>
        <w:t>Where</w:t>
      </w:r>
      <w:r>
        <w:rPr>
          <w:rFonts w:ascii="Calibri" w:hAnsi="Calibri"/>
          <w:b w:val="0"/>
          <w:i w:val="0"/>
          <w:sz w:val="22"/>
        </w:rPr>
        <w:t xml:space="preserve">: Extend </w:t>
      </w:r>
      <w:r>
        <w:rPr>
          <w:rFonts w:ascii="Consolas" w:hAnsi="Consolas"/>
          <w:b w:val="0"/>
          <w:i w:val="0"/>
          <w:color w:val="505050"/>
          <w:sz w:val="20"/>
        </w:rPr>
        <w:t>MSAHeaderTrack</w:t>
      </w:r>
      <w:r>
        <w:rPr>
          <w:rFonts w:ascii="Calibri" w:hAnsi="Calibri"/>
          <w:b w:val="0"/>
          <w:i w:val="0"/>
          <w:sz w:val="22"/>
        </w:rPr>
        <w:t xml:space="preserve"> base class from </w:t>
      </w:r>
      <w:r>
        <w:rPr>
          <w:rFonts w:ascii="Calibri" w:hAnsi="Calibri"/>
          <w:b w:val="0"/>
          <w:i w:val="0"/>
          <w:color w:val="0066CC"/>
          <w:sz w:val="22"/>
        </w:rPr>
        <w:t>sequence-position-scroller.ts:110</w:t>
      </w:r>
    </w:p>
    <w:p>
      <w:r>
        <w:rPr>
          <w:rFonts w:ascii="Calibri" w:hAnsi="Calibri"/>
          <w:b w:val="0"/>
          <w:i w:val="0"/>
          <w:sz w:val="22"/>
        </w:rPr>
        <w:t xml:space="preserve">New file: </w:t>
      </w:r>
      <w:r>
        <w:rPr>
          <w:rFonts w:ascii="Consolas" w:hAnsi="Consolas"/>
          <w:b w:val="0"/>
          <w:i w:val="0"/>
          <w:color w:val="505050"/>
          <w:sz w:val="20"/>
        </w:rPr>
        <w:t>libraries/bio/src/utils/annotation-track.ts</w:t>
      </w:r>
    </w:p>
    <w:p>
      <w:r>
        <w:rPr>
          <w:rFonts w:ascii="Calibri" w:hAnsi="Calibri"/>
          <w:b w:val="0"/>
          <w:i w:val="0"/>
          <w:sz w:val="22"/>
        </w:rPr>
        <w:t>The annotation track renders colored horizontal bands with region labels in the MSA scrolling header:</w:t>
      </w:r>
    </w:p>
    <w:p>
      <w:pPr>
        <w:spacing w:before="80" w:after="80"/>
        <w:ind w:left="432"/>
      </w:pPr>
      <w:r>
        <w:rPr>
          <w:rFonts w:ascii="Consolas" w:hAnsi="Consolas"/>
          <w:b w:val="0"/>
          <w:i w:val="0"/>
          <w:color w:val="505050"/>
          <w:sz w:val="18"/>
        </w:rPr>
        <w:t>┌──────────────────────────────────────────────────────────────┐</w:t>
        <w:br/>
        <w:t>│ Column Name                                      [▼] [+]    │</w:t>
        <w:br/>
        <w:t>├──────────────────────────────────────────────────────────────┤</w:t>
        <w:br/>
        <w:t>│  FR1        │ CDR1  │ FR2       │ CDR2 │ FR3          │CDR3 │  ← NEW: Annotation Track</w:t>
        <w:br/>
        <w:t>├──────────────────────────────────────────────────────────────┤</w:t>
        <w:br/>
        <w:t>│ ████ ██ █ █████ ███ █ █ ██ ███████ █ █ ██ █████ █ █ █████  │  ← WebLogo Track (existing)</w:t>
        <w:br/>
        <w:t>├──────────────────────────────────────────────────────────────┤</w:t>
        <w:br/>
        <w:t>│ ▮▮▮▮▮▮▮▮▮▮▮▮▮▮▮▮▮▮▮▮▮▮▮▮▮▮▮▮▮▮▮▮▮▮▮▮▮▮▮▮▮▮▮▮▮▮▮▮▮▮▮▮▮▮  │  ← Conservation Track (existing)</w:t>
        <w:br/>
        <w:t>├──────────────────────────────────────────────────────────────┤</w:t>
        <w:br/>
        <w:t>│ · · · · · · · · · · · · · · · · · · · · · · · · · · · · · · │  ← Position Dots / Slider</w:t>
        <w:br/>
        <w:t>└──────────────────────────────────────────────────────────────┘</w:t>
      </w:r>
    </w:p>
    <w:p>
      <w:pPr>
        <w:pStyle w:val="ListBullet"/>
      </w:pPr>
      <w:r>
        <w:rPr>
          <w:rFonts w:ascii="Calibri" w:hAnsi="Calibri"/>
          <w:b w:val="0"/>
          <w:i w:val="0"/>
          <w:sz w:val="22"/>
        </w:rPr>
        <w:t xml:space="preserve">Uses the same viewport-aware lazy loading pattern as </w:t>
      </w:r>
      <w:r>
        <w:rPr>
          <w:rFonts w:ascii="Consolas" w:hAnsi="Consolas"/>
          <w:b w:val="0"/>
          <w:i w:val="0"/>
          <w:color w:val="505050"/>
          <w:sz w:val="20"/>
        </w:rPr>
        <w:t>LazyWebLogoTrack</w:t>
      </w:r>
      <w:r>
        <w:rPr>
          <w:rFonts w:ascii="Calibri" w:hAnsi="Calibri"/>
          <w:b w:val="0"/>
          <w:i w:val="0"/>
          <w:sz w:val="22"/>
        </w:rPr>
        <w:t xml:space="preserve"> in </w:t>
      </w:r>
      <w:r>
        <w:rPr>
          <w:rFonts w:ascii="Calibri" w:hAnsi="Calibri"/>
          <w:b w:val="0"/>
          <w:i w:val="0"/>
          <w:color w:val="0066CC"/>
          <w:sz w:val="22"/>
        </w:rPr>
        <w:t>sequence-scrolling-widget.ts</w:t>
      </w:r>
      <w:r>
        <w:rPr>
          <w:rFonts w:ascii="Calibri" w:hAnsi="Calibri"/>
          <w:b w:val="0"/>
          <w:i w:val="0"/>
          <w:sz w:val="22"/>
        </w:rPr>
        <w:t>.</w:t>
      </w:r>
    </w:p>
    <w:p>
      <w:pPr>
        <w:pStyle w:val="ListBullet"/>
      </w:pPr>
      <w:r>
        <w:rPr>
          <w:rFonts w:ascii="Calibri" w:hAnsi="Calibri"/>
          <w:b w:val="0"/>
          <w:i w:val="0"/>
          <w:sz w:val="22"/>
        </w:rPr>
        <w:t>Track height: ~20px.</w:t>
      </w:r>
    </w:p>
    <w:p>
      <w:pPr>
        <w:pStyle w:val="ListBullet"/>
      </w:pPr>
      <w:r>
        <w:rPr>
          <w:rFonts w:ascii="Calibri" w:hAnsi="Calibri"/>
          <w:b w:val="0"/>
          <w:i w:val="0"/>
          <w:sz w:val="22"/>
        </w:rPr>
        <w:t>Draws colored rectangles per region, with the region name as centered text.</w:t>
      </w:r>
    </w:p>
    <w:p>
      <w:pPr>
        <w:pStyle w:val="ListBullet"/>
      </w:pPr>
      <w:r>
        <w:rPr>
          <w:rFonts w:ascii="Calibri" w:hAnsi="Calibri"/>
          <w:b w:val="0"/>
          <w:i w:val="0"/>
          <w:sz w:val="22"/>
        </w:rPr>
        <w:t xml:space="preserve">Added to </w:t>
      </w:r>
      <w:r>
        <w:rPr>
          <w:rFonts w:ascii="Consolas" w:hAnsi="Consolas"/>
          <w:b w:val="0"/>
          <w:i w:val="0"/>
          <w:color w:val="505050"/>
          <w:sz w:val="20"/>
        </w:rPr>
        <w:t>initializeHeaders()</w:t>
      </w:r>
      <w:r>
        <w:rPr>
          <w:rFonts w:ascii="Calibri" w:hAnsi="Calibri"/>
          <w:b w:val="0"/>
          <w:i w:val="0"/>
          <w:sz w:val="22"/>
        </w:rPr>
        <w:t xml:space="preserve"> in </w:t>
      </w:r>
      <w:r>
        <w:rPr>
          <w:rFonts w:ascii="Calibri" w:hAnsi="Calibri"/>
          <w:b w:val="0"/>
          <w:i w:val="0"/>
          <w:color w:val="0066CC"/>
          <w:sz w:val="22"/>
        </w:rPr>
        <w:t>sequence-scrolling-widget.ts</w:t>
      </w:r>
      <w:r>
        <w:rPr>
          <w:rFonts w:ascii="Calibri" w:hAnsi="Calibri"/>
          <w:b w:val="0"/>
          <w:i w:val="0"/>
          <w:sz w:val="22"/>
        </w:rPr>
        <w:t xml:space="preserve"> alongside existing tracks.</w:t>
      </w:r>
    </w:p>
    <w:p>
      <w:pPr>
        <w:pStyle w:val="Heading2"/>
      </w:pPr>
      <w:r>
        <w:t>5.4 Tooltip Enrichment</w:t>
      </w:r>
    </w:p>
    <w:p>
      <w:r>
        <w:rPr>
          <w:rFonts w:ascii="Calibri" w:hAnsi="Calibri"/>
          <w:b w:val="0"/>
          <w:i w:val="0"/>
          <w:sz w:val="22"/>
        </w:rPr>
        <w:t xml:space="preserve">In </w:t>
      </w:r>
      <w:r>
        <w:rPr>
          <w:rFonts w:ascii="Consolas" w:hAnsi="Consolas"/>
          <w:b w:val="0"/>
          <w:i w:val="0"/>
          <w:color w:val="505050"/>
          <w:sz w:val="20"/>
        </w:rPr>
        <w:t>MonomerPlacer.onMouseMove()</w:t>
      </w:r>
      <w:r>
        <w:rPr>
          <w:rFonts w:ascii="Calibri" w:hAnsi="Calibri"/>
          <w:b w:val="0"/>
          <w:i w:val="0"/>
          <w:sz w:val="22"/>
        </w:rPr>
        <w:t xml:space="preserve"> (in </w:t>
      </w:r>
      <w:r>
        <w:rPr>
          <w:rFonts w:ascii="Calibri" w:hAnsi="Calibri"/>
          <w:b w:val="0"/>
          <w:i w:val="0"/>
          <w:color w:val="0066CC"/>
          <w:sz w:val="22"/>
        </w:rPr>
        <w:t>cell-renderer-monomer-placer.ts</w:t>
      </w:r>
      <w:r>
        <w:rPr>
          <w:rFonts w:ascii="Calibri" w:hAnsi="Calibri"/>
          <w:b w:val="0"/>
          <w:i w:val="0"/>
          <w:sz w:val="22"/>
        </w:rPr>
        <w:t>, around line 700), after the existing monomer tooltip, append annotation information:</w:t>
      </w:r>
    </w:p>
    <w:p>
      <w:pPr>
        <w:spacing w:before="80" w:after="80"/>
        <w:ind w:left="432"/>
      </w:pPr>
      <w:r>
        <w:rPr>
          <w:rFonts w:ascii="Consolas" w:hAnsi="Consolas"/>
          <w:b w:val="0"/>
          <w:i w:val="0"/>
          <w:color w:val="505050"/>
          <w:sz w:val="18"/>
        </w:rPr>
        <w:t>Hovering over position 52:</w:t>
        <w:br/>
        <w:t>┌─────────────────────────────┐</w:t>
        <w:br/>
        <w:t>│ [A] Alanine                 │  ← Existing monomer tooltip</w:t>
        <w:br/>
        <w:t>│ ─────────────────────────── │</w:t>
        <w:br/>
        <w:t>│ Region: CDR2 (IMGT 56-65)  │  ← NEW: from column-level annotation</w:t>
        <w:br/>
        <w:t>│ ⚠ Deamidation (NG) - High  │  ← NEW: from row-level annotation</w:t>
        <w:br/>
        <w:t>└─────────────────────────────┘</w:t>
      </w:r>
    </w:p>
    <w:p>
      <w:pPr>
        <w:pStyle w:val="Heading2"/>
      </w:pPr>
      <w:r>
        <w:t>5.5 Color Scheme</w:t>
      </w:r>
    </w:p>
    <w:p>
      <w:r>
        <w:rPr>
          <w:rFonts w:ascii="Calibri" w:hAnsi="Calibri"/>
          <w:b w:val="0"/>
          <w:i w:val="0"/>
          <w:sz w:val="22"/>
        </w:rPr>
        <w:t>Default colors by category:</w:t>
      </w:r>
    </w:p>
    <w:p>
      <w:pPr>
        <w:pStyle w:val="ListBullet"/>
      </w:pPr>
      <w:r>
        <w:rPr>
          <w:rFonts w:ascii="Calibri" w:hAnsi="Calibri"/>
          <w:b/>
          <w:i w:val="0"/>
          <w:sz w:val="22"/>
        </w:rPr>
        <w:t>FR regions</w:t>
      </w:r>
      <w:r>
        <w:rPr>
          <w:rFonts w:ascii="Calibri" w:hAnsi="Calibri"/>
          <w:b w:val="0"/>
          <w:i w:val="0"/>
          <w:sz w:val="22"/>
        </w:rPr>
        <w:t>: shades of blue (</w:t>
      </w:r>
      <w:r>
        <w:rPr>
          <w:rFonts w:ascii="Consolas" w:hAnsi="Consolas"/>
          <w:b w:val="0"/>
          <w:i w:val="0"/>
          <w:color w:val="505050"/>
          <w:sz w:val="20"/>
        </w:rPr>
        <w:t>#E3F2FD</w:t>
      </w:r>
      <w:r>
        <w:rPr>
          <w:rFonts w:ascii="Calibri" w:hAnsi="Calibri"/>
          <w:b w:val="0"/>
          <w:i w:val="0"/>
          <w:sz w:val="22"/>
        </w:rPr>
        <w:t xml:space="preserve">, </w:t>
      </w:r>
      <w:r>
        <w:rPr>
          <w:rFonts w:ascii="Consolas" w:hAnsi="Consolas"/>
          <w:b w:val="0"/>
          <w:i w:val="0"/>
          <w:color w:val="505050"/>
          <w:sz w:val="20"/>
        </w:rPr>
        <w:t>#BBDEFB</w:t>
      </w:r>
      <w:r>
        <w:rPr>
          <w:rFonts w:ascii="Calibri" w:hAnsi="Calibri"/>
          <w:b w:val="0"/>
          <w:i w:val="0"/>
          <w:sz w:val="22"/>
        </w:rPr>
        <w:t xml:space="preserve">, </w:t>
      </w:r>
      <w:r>
        <w:rPr>
          <w:rFonts w:ascii="Consolas" w:hAnsi="Consolas"/>
          <w:b w:val="0"/>
          <w:i w:val="0"/>
          <w:color w:val="505050"/>
          <w:sz w:val="20"/>
        </w:rPr>
        <w:t>#90CAF9</w:t>
      </w:r>
      <w:r>
        <w:rPr>
          <w:rFonts w:ascii="Calibri" w:hAnsi="Calibri"/>
          <w:b w:val="0"/>
          <w:i w:val="0"/>
          <w:sz w:val="22"/>
        </w:rPr>
        <w:t xml:space="preserve">, </w:t>
      </w:r>
      <w:r>
        <w:rPr>
          <w:rFonts w:ascii="Consolas" w:hAnsi="Consolas"/>
          <w:b w:val="0"/>
          <w:i w:val="0"/>
          <w:color w:val="505050"/>
          <w:sz w:val="20"/>
        </w:rPr>
        <w:t>#64B5F6</w:t>
      </w:r>
      <w:r>
        <w:rPr>
          <w:rFonts w:ascii="Calibri" w:hAnsi="Calibri"/>
          <w:b w:val="0"/>
          <w:i w:val="0"/>
          <w:sz w:val="22"/>
        </w:rPr>
        <w:t>)</w:t>
      </w:r>
    </w:p>
    <w:p>
      <w:pPr>
        <w:pStyle w:val="ListBullet"/>
      </w:pPr>
      <w:r>
        <w:rPr>
          <w:rFonts w:ascii="Calibri" w:hAnsi="Calibri"/>
          <w:b/>
          <w:i w:val="0"/>
          <w:sz w:val="22"/>
        </w:rPr>
        <w:t>CDR regions</w:t>
      </w:r>
      <w:r>
        <w:rPr>
          <w:rFonts w:ascii="Calibri" w:hAnsi="Calibri"/>
          <w:b w:val="0"/>
          <w:i w:val="0"/>
          <w:sz w:val="22"/>
        </w:rPr>
        <w:t>: shades of orange/red (</w:t>
      </w:r>
      <w:r>
        <w:rPr>
          <w:rFonts w:ascii="Consolas" w:hAnsi="Consolas"/>
          <w:b w:val="0"/>
          <w:i w:val="0"/>
          <w:color w:val="505050"/>
          <w:sz w:val="20"/>
        </w:rPr>
        <w:t>#FFF3E0</w:t>
      </w:r>
      <w:r>
        <w:rPr>
          <w:rFonts w:ascii="Calibri" w:hAnsi="Calibri"/>
          <w:b w:val="0"/>
          <w:i w:val="0"/>
          <w:sz w:val="22"/>
        </w:rPr>
        <w:t xml:space="preserve">, </w:t>
      </w:r>
      <w:r>
        <w:rPr>
          <w:rFonts w:ascii="Consolas" w:hAnsi="Consolas"/>
          <w:b w:val="0"/>
          <w:i w:val="0"/>
          <w:color w:val="505050"/>
          <w:sz w:val="20"/>
        </w:rPr>
        <w:t>#FFE0B2</w:t>
      </w:r>
      <w:r>
        <w:rPr>
          <w:rFonts w:ascii="Calibri" w:hAnsi="Calibri"/>
          <w:b w:val="0"/>
          <w:i w:val="0"/>
          <w:sz w:val="22"/>
        </w:rPr>
        <w:t xml:space="preserve">, </w:t>
      </w:r>
      <w:r>
        <w:rPr>
          <w:rFonts w:ascii="Consolas" w:hAnsi="Consolas"/>
          <w:b w:val="0"/>
          <w:i w:val="0"/>
          <w:color w:val="505050"/>
          <w:sz w:val="20"/>
        </w:rPr>
        <w:t>#FFCC80</w:t>
      </w:r>
      <w:r>
        <w:rPr>
          <w:rFonts w:ascii="Calibri" w:hAnsi="Calibri"/>
          <w:b w:val="0"/>
          <w:i w:val="0"/>
          <w:sz w:val="22"/>
        </w:rPr>
        <w:t>)</w:t>
      </w:r>
    </w:p>
    <w:p>
      <w:pPr>
        <w:pStyle w:val="ListBullet"/>
      </w:pPr>
      <w:r>
        <w:rPr>
          <w:rFonts w:ascii="Calibri" w:hAnsi="Calibri"/>
          <w:b/>
          <w:i w:val="0"/>
          <w:sz w:val="22"/>
        </w:rPr>
        <w:t>Liabilities</w:t>
      </w:r>
      <w:r>
        <w:rPr>
          <w:rFonts w:ascii="Calibri" w:hAnsi="Calibri"/>
          <w:b w:val="0"/>
          <w:i w:val="0"/>
          <w:sz w:val="22"/>
        </w:rPr>
        <w:t>: category-specific (red for deamidation, orange for isomerization, purple for oxidation, green for glycosylation)</w:t>
      </w:r>
    </w:p>
    <w:p>
      <w:pPr>
        <w:pStyle w:val="ListBullet"/>
      </w:pPr>
      <w:r>
        <w:rPr>
          <w:rFonts w:ascii="Calibri" w:hAnsi="Calibri"/>
          <w:b w:val="0"/>
          <w:i w:val="0"/>
          <w:sz w:val="22"/>
        </w:rPr>
        <w:t>All region backgrounds at 15% opacity to not obscure monomer colors.</w:t>
      </w:r>
    </w:p>
    <w:p>
      <w:pPr>
        <w:pStyle w:val="Heading1"/>
      </w:pPr>
      <w:r>
        <w:t>6. User Interface</w:t>
      </w:r>
    </w:p>
    <w:p>
      <w:pPr>
        <w:pStyle w:val="Heading2"/>
      </w:pPr>
      <w:r>
        <w:t>6.1 Top Menu</w:t>
      </w:r>
    </w:p>
    <w:p>
      <w:r>
        <w:rPr>
          <w:rFonts w:ascii="Calibri" w:hAnsi="Calibri"/>
          <w:b w:val="0"/>
          <w:i w:val="0"/>
          <w:sz w:val="22"/>
        </w:rPr>
        <w:t xml:space="preserve">Add </w:t>
      </w:r>
      <w:r>
        <w:rPr>
          <w:rFonts w:ascii="Consolas" w:hAnsi="Consolas"/>
          <w:b w:val="0"/>
          <w:i w:val="0"/>
          <w:color w:val="505050"/>
          <w:sz w:val="20"/>
        </w:rPr>
        <w:t>Bio | Annotate</w:t>
      </w:r>
      <w:r>
        <w:rPr>
          <w:rFonts w:ascii="Calibri" w:hAnsi="Calibri"/>
          <w:b w:val="0"/>
          <w:i w:val="0"/>
          <w:sz w:val="22"/>
        </w:rPr>
        <w:t xml:space="preserve"> submenu in </w:t>
      </w:r>
      <w:r>
        <w:rPr>
          <w:rFonts w:ascii="Calibri" w:hAnsi="Calibri"/>
          <w:b w:val="0"/>
          <w:i w:val="0"/>
          <w:color w:val="0066CC"/>
          <w:sz w:val="22"/>
        </w:rPr>
        <w:t>package.ts</w:t>
      </w:r>
      <w:r>
        <w:rPr>
          <w:rFonts w:ascii="Calibri" w:hAnsi="Calibri"/>
          <w:b w:val="0"/>
          <w:i w:val="0"/>
          <w:sz w:val="22"/>
        </w:rPr>
        <w:t>:</w:t>
      </w:r>
    </w:p>
    <w:p>
      <w:pPr>
        <w:spacing w:before="80" w:after="80"/>
        <w:ind w:left="432"/>
      </w:pPr>
      <w:r>
        <w:rPr>
          <w:rFonts w:ascii="Consolas" w:hAnsi="Consolas"/>
          <w:b w:val="0"/>
          <w:i w:val="0"/>
          <w:color w:val="505050"/>
          <w:sz w:val="18"/>
        </w:rPr>
        <w:t>Bio</w:t>
        <w:br/>
        <w:t xml:space="preserve"> ├── Annotate</w:t>
        <w:br/>
        <w:t xml:space="preserve"> │    ├── Apply Numbering Scheme...     → NumberingSchemeDialog</w:t>
        <w:br/>
        <w:t xml:space="preserve"> │    ├── Scan Liabilities...           → LiabilityScannerDialog</w:t>
        <w:br/>
        <w:t xml:space="preserve"> │    ├── Add Region Annotation...      → ManualRegionDialog</w:t>
        <w:br/>
        <w:t xml:space="preserve"> │    └── Manage Annotations...         → AnnotationManagerView</w:t>
        <w:br/>
        <w:t xml:space="preserve"> ├── Analyze (existing)</w:t>
        <w:br/>
        <w:t xml:space="preserve"> ├── Transform (existing)</w:t>
        <w:br/>
        <w:t xml:space="preserve"> └── ...</w:t>
      </w:r>
    </w:p>
    <w:p>
      <w:pPr>
        <w:pStyle w:val="Heading2"/>
      </w:pPr>
      <w:r>
        <w:t>6.2 "Apply Numbering Scheme" Dialog</w:t>
      </w:r>
    </w:p>
    <w:p>
      <w:pPr>
        <w:spacing w:before="80" w:after="80"/>
        <w:ind w:left="432"/>
      </w:pPr>
      <w:r>
        <w:rPr>
          <w:rFonts w:ascii="Consolas" w:hAnsi="Consolas"/>
          <w:b w:val="0"/>
          <w:i w:val="0"/>
          <w:color w:val="505050"/>
          <w:sz w:val="18"/>
        </w:rPr>
        <w:t>┌─────────────────────────────────────────────┐</w:t>
        <w:br/>
        <w:t>│ Apply Antibody Numbering                    │</w:t>
        <w:br/>
        <w:t>│─────────────────────────────────────────────│</w:t>
        <w:br/>
        <w:t>│ Table:      [Current Table            ▼]    │</w:t>
        <w:br/>
        <w:t>│ Sequence:   [Heavy chain sequence     ▼]    │</w:t>
        <w:br/>
        <w:t>│ Scheme:     [IMGT                     ▼]    │</w:t>
        <w:br/>
        <w:t>│             [ ] Auto-detect scheme          │</w:t>
        <w:br/>
        <w:t>│             [x] Populate FR/CDR regions     │</w:t>
        <w:br/>
        <w:t>│             [x] Open VD Regions viewer      │</w:t>
        <w:br/>
        <w:t>│─────────────────────────────────────────────│</w:t>
        <w:br/>
        <w:t>│                       [Cancel]  [Apply]     │</w:t>
        <w:br/>
        <w:t>└─────────────────────────────────────────────┘</w:t>
      </w:r>
    </w:p>
    <w:p>
      <w:pPr>
        <w:pStyle w:val="Heading2"/>
      </w:pPr>
      <w:r>
        <w:t>6.3 "Scan Liabilities" Dialog</w:t>
      </w:r>
    </w:p>
    <w:p>
      <w:pPr>
        <w:spacing w:before="80" w:after="80"/>
        <w:ind w:left="432"/>
      </w:pPr>
      <w:r>
        <w:rPr>
          <w:rFonts w:ascii="Consolas" w:hAnsi="Consolas"/>
          <w:b w:val="0"/>
          <w:i w:val="0"/>
          <w:color w:val="505050"/>
          <w:sz w:val="18"/>
        </w:rPr>
        <w:t>┌─────────────────────────────────────────────┐</w:t>
        <w:br/>
        <w:t>│ Scan Sequence Liabilities                   │</w:t>
        <w:br/>
        <w:t>│─────────────────────────────────────────────│</w:t>
        <w:br/>
        <w:t>│ Table:      [Current Table            ▼]    │</w:t>
        <w:br/>
        <w:t>│ Sequence:   [Heavy chain sequence     ▼]    │</w:t>
        <w:br/>
        <w:t>│─────────────────────────────────────────────│</w:t>
        <w:br/>
        <w:t>│ Rules:                                      │</w:t>
        <w:br/>
        <w:t>│ [x] Deamidation (NG, NS, NA, ND, NT) High  │</w:t>
        <w:br/>
        <w:t>│ [x] Isomerization (DG, DS)           High  │</w:t>
        <w:br/>
        <w:t>│ [x] Oxidation (Met, Trp)           Medium  │</w:t>
        <w:br/>
        <w:t>│ [x] N-glycosylation (NxS/T)          High  │</w:t>
        <w:br/>
        <w:t>│ [ ] Free Cysteine                     Info  │</w:t>
        <w:br/>
        <w:t>│ [+ Add Custom Rule]                        │</w:t>
        <w:br/>
        <w:t>│─────────────────────────────────────────────│</w:t>
        <w:br/>
        <w:t>│ Output:                                     │</w:t>
        <w:br/>
        <w:t>│ [x] Highlight in cell renderer              │</w:t>
        <w:br/>
        <w:t>│ [x] Create annotation column               │</w:t>
        <w:br/>
        <w:t>│ [ ] Create summary count column             │</w:t>
        <w:br/>
        <w:t>│─────────────────────────────────────────────│</w:t>
        <w:br/>
        <w:t>│                       [Cancel]  [Scan]      │</w:t>
        <w:br/>
        <w:t>└─────────────────────────────────────────────┘</w:t>
      </w:r>
    </w:p>
    <w:p>
      <w:pPr>
        <w:pStyle w:val="Heading2"/>
      </w:pPr>
      <w:r>
        <w:t>6.4 Column Property Panel Extension</w:t>
      </w:r>
    </w:p>
    <w:p>
      <w:r>
        <w:rPr>
          <w:rFonts w:ascii="Calibri" w:hAnsi="Calibri"/>
          <w:b w:val="0"/>
          <w:i w:val="0"/>
          <w:sz w:val="22"/>
        </w:rPr>
        <w:t xml:space="preserve">Extend </w:t>
      </w:r>
      <w:r>
        <w:rPr>
          <w:rFonts w:ascii="Consolas" w:hAnsi="Consolas"/>
          <w:b w:val="0"/>
          <w:i w:val="0"/>
          <w:color w:val="505050"/>
          <w:sz w:val="20"/>
        </w:rPr>
        <w:t>getMacromoleculeColumnPropertyPanel()</w:t>
      </w:r>
      <w:r>
        <w:rPr>
          <w:rFonts w:ascii="Calibri" w:hAnsi="Calibri"/>
          <w:b w:val="0"/>
          <w:i w:val="0"/>
          <w:sz w:val="22"/>
        </w:rPr>
        <w:t xml:space="preserve"> in </w:t>
      </w:r>
      <w:r>
        <w:rPr>
          <w:rFonts w:ascii="Calibri" w:hAnsi="Calibri"/>
          <w:b w:val="0"/>
          <w:i w:val="0"/>
          <w:color w:val="0066CC"/>
          <w:sz w:val="22"/>
        </w:rPr>
        <w:t>representations.ts</w:t>
      </w:r>
      <w:r>
        <w:rPr>
          <w:rFonts w:ascii="Calibri" w:hAnsi="Calibri"/>
          <w:b w:val="0"/>
          <w:i w:val="0"/>
          <w:sz w:val="22"/>
        </w:rPr>
        <w:t xml:space="preserve"> with a new "Annotations" accordion:</w:t>
      </w:r>
    </w:p>
    <w:p>
      <w:pPr>
        <w:spacing w:before="80" w:after="80"/>
        <w:ind w:left="432"/>
      </w:pPr>
      <w:r>
        <w:rPr>
          <w:rFonts w:ascii="Consolas" w:hAnsi="Consolas"/>
          <w:b w:val="0"/>
          <w:i w:val="0"/>
          <w:color w:val="505050"/>
          <w:sz w:val="18"/>
        </w:rPr>
        <w:t>┌─────────────────────────────────────────────┐</w:t>
        <w:br/>
        <w:t>│ ▸ Renderer Settings (existing)              │</w:t>
        <w:br/>
        <w:t>│─────────────────────────────────────────────│</w:t>
        <w:br/>
        <w:t>│ ▾ Annotations                               │</w:t>
        <w:br/>
        <w:t>│   Numbering: IMGT                           │</w:t>
        <w:br/>
        <w:t>│   Regions: FR1, CDR1, FR2, CDR2, FR3, ...  │</w:t>
        <w:br/>
        <w:t>│   Liabilities: 3 rules (12 hits total)      │</w:t>
        <w:br/>
        <w:t>│   [Show Legend] [Manage] [Clear All]        │</w:t>
        <w:br/>
        <w:t>│─────────────────────────────────────────────│</w:t>
        <w:br/>
        <w:t>│ ▸ Get Region (existing)                     │</w:t>
        <w:br/>
        <w:t>└─────────────────────────────────────────────┘</w:t>
      </w:r>
    </w:p>
    <w:p>
      <w:pPr>
        <w:pStyle w:val="Heading2"/>
      </w:pPr>
      <w:r>
        <w:t>6.5 Context Menu Extension</w:t>
      </w:r>
    </w:p>
    <w:p>
      <w:r>
        <w:rPr>
          <w:rFonts w:ascii="Calibri" w:hAnsi="Calibri"/>
          <w:b w:val="0"/>
          <w:i w:val="0"/>
          <w:sz w:val="22"/>
        </w:rPr>
        <w:t xml:space="preserve">Extend </w:t>
      </w:r>
      <w:r>
        <w:rPr>
          <w:rFonts w:ascii="Consolas" w:hAnsi="Consolas"/>
          <w:b w:val="0"/>
          <w:i w:val="0"/>
          <w:color w:val="505050"/>
          <w:sz w:val="20"/>
        </w:rPr>
        <w:t>addCopyMenuUI()</w:t>
      </w:r>
      <w:r>
        <w:rPr>
          <w:rFonts w:ascii="Calibri" w:hAnsi="Calibri"/>
          <w:b w:val="0"/>
          <w:i w:val="0"/>
          <w:sz w:val="22"/>
        </w:rPr>
        <w:t xml:space="preserve"> in </w:t>
      </w:r>
      <w:r>
        <w:rPr>
          <w:rFonts w:ascii="Calibri" w:hAnsi="Calibri"/>
          <w:b w:val="0"/>
          <w:i w:val="0"/>
          <w:color w:val="0066CC"/>
          <w:sz w:val="22"/>
        </w:rPr>
        <w:t>context-menu.ts</w:t>
      </w:r>
      <w:r>
        <w:rPr>
          <w:rFonts w:ascii="Calibri" w:hAnsi="Calibri"/>
          <w:b w:val="0"/>
          <w:i w:val="0"/>
          <w:sz w:val="22"/>
        </w:rPr>
        <w:t>:</w:t>
      </w:r>
    </w:p>
    <w:p>
      <w:pPr>
        <w:spacing w:before="80" w:after="80"/>
        <w:ind w:left="432"/>
      </w:pPr>
      <w:r>
        <w:rPr>
          <w:rFonts w:ascii="Consolas" w:hAnsi="Consolas"/>
          <w:b w:val="0"/>
          <w:i w:val="0"/>
          <w:color w:val="505050"/>
          <w:sz w:val="18"/>
        </w:rPr>
        <w:t>Right-click on a cell at position 52:</w:t>
        <w:br/>
        <w:t xml:space="preserve">  ───────────────────────────</w:t>
        <w:br/>
        <w:t xml:space="preserve">  Annotations at position 52:</w:t>
        <w:br/>
        <w:t xml:space="preserve">    CDR2 (IMGT 56-65)</w:t>
        <w:br/>
        <w:t xml:space="preserve">    Deamidation (NG) - High</w:t>
        <w:br/>
        <w:t xml:space="preserve">  ───────────────────────────</w:t>
        <w:br/>
        <w:t xml:space="preserve">  Extract CDR2 as Column</w:t>
        <w:br/>
        <w:t xml:space="preserve">  Filter: Rows with Liability Hits</w:t>
        <w:br/>
        <w:t xml:space="preserve">  Select Rows with NG Motif</w:t>
      </w:r>
    </w:p>
    <w:p>
      <w:pPr>
        <w:pStyle w:val="Heading1"/>
      </w:pPr>
      <w:r>
        <w:t>7. Actions on Annotations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Action</w:t>
            </w:r>
          </w:p>
        </w:tc>
        <w:tc>
          <w:tcPr>
            <w:tcW w:type="dxa" w:w="2880"/>
          </w:tcPr>
          <w:p>
            <w:r/>
            <w:r>
              <w:rPr>
                <w:rFonts w:ascii="Calibri" w:hAnsi="Calibri"/>
                <w:b/>
                <w:i w:val="0"/>
                <w:sz w:val="20"/>
              </w:rPr>
              <w:t>Implementation</w:t>
            </w:r>
          </w:p>
        </w:tc>
        <w:tc>
          <w:tcPr>
            <w:tcW w:type="dxa" w:w="2880"/>
          </w:tcPr>
          <w:p>
            <w:r/>
            <w:r>
              <w:rPr>
                <w:rFonts w:ascii="Calibri" w:hAnsi="Calibri"/>
                <w:b/>
                <w:i w:val="0"/>
                <w:sz w:val="20"/>
              </w:rPr>
              <w:t>Reuses</w:t>
            </w:r>
          </w:p>
        </w:tc>
      </w:tr>
      <w:tr>
        <w:tc>
          <w:tcPr>
            <w:tcW w:type="dxa" w:w="2880"/>
          </w:tcPr>
          <w:p>
            <w:r/>
            <w:r>
              <w:rPr>
                <w:rFonts w:ascii="Calibri" w:hAnsi="Calibri"/>
                <w:b/>
                <w:i w:val="0"/>
                <w:sz w:val="20"/>
              </w:rPr>
              <w:t>Extract region</w:t>
            </w:r>
          </w:p>
        </w:tc>
        <w:tc>
          <w:tcPr>
            <w:tcW w:type="dxa" w:w="2880"/>
          </w:tcPr>
          <w:p>
            <w:r/>
            <w:r>
              <w:rPr>
                <w:rFonts w:ascii="Calibri" w:hAnsi="Calibri"/>
                <w:b w:val="0"/>
                <w:i w:val="0"/>
                <w:sz w:val="20"/>
              </w:rPr>
              <w:t>Call existing `getRegionDo()` with start/end from annotation</w:t>
            </w:r>
          </w:p>
        </w:tc>
        <w:tc>
          <w:tcPr>
            <w:tcW w:type="dxa" w:w="2880"/>
          </w:tcPr>
          <w:p>
            <w:r/>
            <w:r>
              <w:rPr>
                <w:rFonts w:ascii="Calibri" w:hAnsi="Calibri"/>
                <w:b w:val="0"/>
                <w:i w:val="0"/>
                <w:sz w:val="20"/>
              </w:rPr>
              <w:t>[get-region.ts](src/utils/get-region.ts)</w:t>
            </w:r>
          </w:p>
        </w:tc>
      </w:tr>
      <w:tr>
        <w:tc>
          <w:tcPr>
            <w:tcW w:type="dxa" w:w="2880"/>
          </w:tcPr>
          <w:p>
            <w:r/>
            <w:r>
              <w:rPr>
                <w:rFonts w:ascii="Calibri" w:hAnsi="Calibri"/>
                <w:b/>
                <w:i w:val="0"/>
                <w:sz w:val="20"/>
              </w:rPr>
              <w:t>Filter by liability</w:t>
            </w:r>
          </w:p>
        </w:tc>
        <w:tc>
          <w:tcPr>
            <w:tcW w:type="dxa" w:w="2880"/>
          </w:tcPr>
          <w:p>
            <w:r/>
            <w:r>
              <w:rPr>
                <w:rFonts w:ascii="Calibri" w:hAnsi="Calibri"/>
                <w:b w:val="0"/>
                <w:i w:val="0"/>
                <w:sz w:val="20"/>
              </w:rPr>
              <w:t>Create BitSet from row annotation column, apply to DataFrame</w:t>
            </w:r>
          </w:p>
        </w:tc>
        <w:tc>
          <w:tcPr>
            <w:tcW w:type="dxa" w:w="2880"/>
          </w:tcPr>
          <w:p>
            <w:r/>
            <w:r>
              <w:rPr>
                <w:rFonts w:ascii="Calibri" w:hAnsi="Calibri"/>
                <w:b w:val="0"/>
                <w:i w:val="0"/>
                <w:sz w:val="20"/>
              </w:rPr>
              <w:t>Standard DG filter</w:t>
            </w:r>
          </w:p>
        </w:tc>
      </w:tr>
      <w:tr>
        <w:tc>
          <w:tcPr>
            <w:tcW w:type="dxa" w:w="2880"/>
          </w:tcPr>
          <w:p>
            <w:r/>
            <w:r>
              <w:rPr>
                <w:rFonts w:ascii="Calibri" w:hAnsi="Calibri"/>
                <w:b/>
                <w:i w:val="0"/>
                <w:sz w:val="20"/>
              </w:rPr>
              <w:t>Select annotated positions</w:t>
            </w:r>
          </w:p>
        </w:tc>
        <w:tc>
          <w:tcPr>
            <w:tcW w:type="dxa" w:w="2880"/>
          </w:tcPr>
          <w:p>
            <w:r/>
            <w:r>
              <w:rPr>
                <w:rFonts w:ascii="Calibri" w:hAnsi="Calibri"/>
                <w:b w:val="0"/>
                <w:i w:val="0"/>
                <w:sz w:val="20"/>
              </w:rPr>
              <w:t>Set `.selectedPosition` tag on column</w:t>
            </w:r>
          </w:p>
        </w:tc>
        <w:tc>
          <w:tcPr>
            <w:tcW w:type="dxa" w:w="2880"/>
          </w:tcPr>
          <w:p>
            <w:r/>
            <w:r>
              <w:rPr>
                <w:rFonts w:ascii="Calibri" w:hAnsi="Calibri"/>
                <w:b w:val="0"/>
                <w:i w:val="0"/>
                <w:sz w:val="20"/>
              </w:rPr>
              <w:t>Existing renderer highlight</w:t>
            </w:r>
          </w:p>
        </w:tc>
      </w:tr>
      <w:tr>
        <w:tc>
          <w:tcPr>
            <w:tcW w:type="dxa" w:w="2880"/>
          </w:tcPr>
          <w:p>
            <w:r/>
            <w:r>
              <w:rPr>
                <w:rFonts w:ascii="Calibri" w:hAnsi="Calibri"/>
                <w:b/>
                <w:i w:val="0"/>
                <w:sz w:val="20"/>
              </w:rPr>
              <w:t>Liability summary column</w:t>
            </w:r>
          </w:p>
        </w:tc>
        <w:tc>
          <w:tcPr>
            <w:tcW w:type="dxa" w:w="2880"/>
          </w:tcPr>
          <w:p>
            <w:r/>
            <w:r>
              <w:rPr>
                <w:rFonts w:ascii="Calibri" w:hAnsi="Calibri"/>
                <w:b w:val="0"/>
                <w:i w:val="0"/>
                <w:sz w:val="20"/>
              </w:rPr>
              <w:t>New int column counting hits per row</w:t>
            </w:r>
          </w:p>
        </w:tc>
        <w:tc>
          <w:tcPr>
            <w:tcW w:type="dxa" w:w="2880"/>
          </w:tcPr>
          <w:p>
            <w:r/>
            <w:r>
              <w:rPr>
                <w:rFonts w:ascii="Calibri" w:hAnsi="Calibri"/>
                <w:b w:val="0"/>
                <w:i w:val="0"/>
                <w:sz w:val="20"/>
              </w:rPr>
              <w:t>—</w:t>
            </w:r>
          </w:p>
        </w:tc>
      </w:tr>
      <w:tr>
        <w:tc>
          <w:tcPr>
            <w:tcW w:type="dxa" w:w="2880"/>
          </w:tcPr>
          <w:p>
            <w:r/>
            <w:r>
              <w:rPr>
                <w:rFonts w:ascii="Calibri" w:hAnsi="Calibri"/>
                <w:b/>
                <w:i w:val="0"/>
                <w:sz w:val="20"/>
              </w:rPr>
              <w:t>Compare annotations</w:t>
            </w:r>
          </w:p>
        </w:tc>
        <w:tc>
          <w:tcPr>
            <w:tcW w:type="dxa" w:w="2880"/>
          </w:tcPr>
          <w:p>
            <w:r/>
            <w:r>
              <w:rPr>
                <w:rFonts w:ascii="Calibri" w:hAnsi="Calibri"/>
                <w:b w:val="0"/>
                <w:i w:val="0"/>
                <w:sz w:val="20"/>
              </w:rPr>
              <w:t>Property panel widget showing annotation matrix for selected rows</w:t>
            </w:r>
          </w:p>
        </w:tc>
        <w:tc>
          <w:tcPr>
            <w:tcW w:type="dxa" w:w="2880"/>
          </w:tcPr>
          <w:p>
            <w:r/>
            <w:r>
              <w:rPr>
                <w:rFonts w:ascii="Calibri" w:hAnsi="Calibri"/>
                <w:b w:val="0"/>
                <w:i w:val="0"/>
                <w:sz w:val="20"/>
              </w:rPr>
              <w:t>—</w:t>
            </w:r>
          </w:p>
        </w:tc>
      </w:tr>
    </w:tbl>
    <w:p>
      <w:pPr>
        <w:pStyle w:val="Heading1"/>
      </w:pPr>
      <w:r>
        <w:t>8. Implementation Phases</w:t>
      </w:r>
    </w:p>
    <w:p>
      <w:pPr>
        <w:pStyle w:val="Heading2"/>
      </w:pPr>
      <w:r>
        <w:t>Phase 1: Data Model &amp; Core Infrastructure</w:t>
      </w:r>
    </w:p>
    <w:p>
      <w:r>
        <w:rPr>
          <w:rFonts w:ascii="Calibri" w:hAnsi="Calibri"/>
          <w:b/>
          <w:i w:val="0"/>
          <w:sz w:val="22"/>
        </w:rPr>
        <w:t>Goal</w:t>
      </w:r>
      <w:r>
        <w:rPr>
          <w:rFonts w:ascii="Calibri" w:hAnsi="Calibri"/>
          <w:b w:val="0"/>
          <w:i w:val="0"/>
          <w:sz w:val="22"/>
        </w:rPr>
        <w:t xml:space="preserve">: Types, storage, read/write utilities, backward compat with </w:t>
      </w:r>
      <w:r>
        <w:rPr>
          <w:rFonts w:ascii="Consolas" w:hAnsi="Consolas"/>
          <w:b w:val="0"/>
          <w:i w:val="0"/>
          <w:color w:val="505050"/>
          <w:sz w:val="20"/>
        </w:rPr>
        <w:t>.regions</w:t>
      </w:r>
      <w:r>
        <w:rPr>
          <w:rFonts w:ascii="Calibri" w:hAnsi="Calibri"/>
          <w:b w:val="0"/>
          <w:i w:val="0"/>
          <w:sz w:val="22"/>
        </w:rPr>
        <w:t>.</w:t>
      </w:r>
    </w:p>
    <w:p>
      <w:r>
        <w:rPr>
          <w:rFonts w:ascii="Calibri" w:hAnsi="Calibri"/>
          <w:b/>
          <w:i w:val="0"/>
          <w:sz w:val="22"/>
        </w:rPr>
        <w:t>New files</w:t>
      </w:r>
      <w:r>
        <w:rPr>
          <w:rFonts w:ascii="Calibri" w:hAnsi="Calibri"/>
          <w:b w:val="0"/>
          <w:i w:val="0"/>
          <w:sz w:val="22"/>
        </w:rPr>
        <w:t>:</w:t>
      </w:r>
    </w:p>
    <w:p>
      <w:pPr>
        <w:pStyle w:val="ListBullet"/>
      </w:pPr>
      <w:r>
        <w:rPr>
          <w:rFonts w:ascii="Consolas" w:hAnsi="Consolas"/>
          <w:b w:val="0"/>
          <w:i w:val="0"/>
          <w:color w:val="505050"/>
          <w:sz w:val="20"/>
        </w:rPr>
        <w:t>libraries/bio/src/utils/macromolecule/annotations.ts</w:t>
      </w:r>
      <w:r>
        <w:rPr>
          <w:rFonts w:ascii="Calibri" w:hAnsi="Calibri"/>
          <w:b w:val="0"/>
          <w:i w:val="0"/>
          <w:sz w:val="22"/>
        </w:rPr>
        <w:t xml:space="preserve"> — type definitions</w:t>
      </w:r>
    </w:p>
    <w:p>
      <w:pPr>
        <w:pStyle w:val="ListBullet"/>
      </w:pPr>
      <w:r>
        <w:rPr>
          <w:rFonts w:ascii="Consolas" w:hAnsi="Consolas"/>
          <w:b w:val="0"/>
          <w:i w:val="0"/>
          <w:color w:val="505050"/>
          <w:sz w:val="20"/>
        </w:rPr>
        <w:t>libraries/bio/src/utils/macromolecule/numbering-schemes.ts</w:t>
      </w:r>
      <w:r>
        <w:rPr>
          <w:rFonts w:ascii="Calibri" w:hAnsi="Calibri"/>
          <w:b w:val="0"/>
          <w:i w:val="0"/>
          <w:sz w:val="22"/>
        </w:rPr>
        <w:t xml:space="preserve"> — static region defs per scheme</w:t>
      </w:r>
    </w:p>
    <w:p>
      <w:pPr>
        <w:pStyle w:val="ListBullet"/>
      </w:pPr>
      <w:r>
        <w:rPr>
          <w:rFonts w:ascii="Consolas" w:hAnsi="Consolas"/>
          <w:b w:val="0"/>
          <w:i w:val="0"/>
          <w:color w:val="505050"/>
          <w:sz w:val="20"/>
        </w:rPr>
        <w:t>src/utils/annotations/annotation-manager.ts</w:t>
      </w:r>
      <w:r>
        <w:rPr>
          <w:rFonts w:ascii="Calibri" w:hAnsi="Calibri"/>
          <w:b w:val="0"/>
          <w:i w:val="0"/>
          <w:sz w:val="22"/>
        </w:rPr>
        <w:t xml:space="preserve"> — CRUD for column annotations</w:t>
      </w:r>
    </w:p>
    <w:p>
      <w:r>
        <w:rPr>
          <w:rFonts w:ascii="Calibri" w:hAnsi="Calibri"/>
          <w:b/>
          <w:i w:val="0"/>
          <w:sz w:val="22"/>
        </w:rPr>
        <w:t>Modified files</w:t>
      </w:r>
      <w:r>
        <w:rPr>
          <w:rFonts w:ascii="Calibri" w:hAnsi="Calibri"/>
          <w:b w:val="0"/>
          <w:i w:val="0"/>
          <w:sz w:val="22"/>
        </w:rPr>
        <w:t>:</w:t>
      </w:r>
    </w:p>
    <w:p>
      <w:pPr>
        <w:pStyle w:val="ListBullet"/>
      </w:pPr>
      <w:r>
        <w:rPr>
          <w:rFonts w:ascii="Consolas" w:hAnsi="Consolas"/>
          <w:b w:val="0"/>
          <w:i w:val="0"/>
          <w:color w:val="505050"/>
          <w:sz w:val="20"/>
        </w:rPr>
        <w:t>libraries/bio/src/utils/macromolecule/consts.ts</w:t>
      </w:r>
      <w:r>
        <w:rPr>
          <w:rFonts w:ascii="Calibri" w:hAnsi="Calibri"/>
          <w:b w:val="0"/>
          <w:i w:val="0"/>
          <w:sz w:val="22"/>
        </w:rPr>
        <w:t xml:space="preserve"> — add new TAGS</w:t>
      </w:r>
    </w:p>
    <w:p>
      <w:pPr>
        <w:pStyle w:val="ListBullet"/>
      </w:pPr>
      <w:r>
        <w:rPr>
          <w:rFonts w:ascii="Consolas" w:hAnsi="Consolas"/>
          <w:b w:val="0"/>
          <w:i w:val="0"/>
          <w:color w:val="505050"/>
          <w:sz w:val="20"/>
        </w:rPr>
        <w:t>src/utils/get-region-func-editor.ts</w:t>
      </w:r>
      <w:r>
        <w:rPr>
          <w:rFonts w:ascii="Calibri" w:hAnsi="Calibri"/>
          <w:b w:val="0"/>
          <w:i w:val="0"/>
          <w:sz w:val="22"/>
        </w:rPr>
        <w:t xml:space="preserve"> — read </w:t>
      </w:r>
      <w:r>
        <w:rPr>
          <w:rFonts w:ascii="Consolas" w:hAnsi="Consolas"/>
          <w:b w:val="0"/>
          <w:i w:val="0"/>
          <w:color w:val="505050"/>
          <w:sz w:val="20"/>
        </w:rPr>
        <w:t>.annotations</w:t>
      </w:r>
      <w:r>
        <w:rPr>
          <w:rFonts w:ascii="Calibri" w:hAnsi="Calibri"/>
          <w:b w:val="0"/>
          <w:i w:val="0"/>
          <w:sz w:val="22"/>
        </w:rPr>
        <w:t xml:space="preserve"> in addition to </w:t>
      </w:r>
      <w:r>
        <w:rPr>
          <w:rFonts w:ascii="Consolas" w:hAnsi="Consolas"/>
          <w:b w:val="0"/>
          <w:i w:val="0"/>
          <w:color w:val="505050"/>
          <w:sz w:val="20"/>
        </w:rPr>
        <w:t>.regions</w:t>
      </w:r>
    </w:p>
    <w:p>
      <w:r>
        <w:rPr>
          <w:rFonts w:ascii="Calibri" w:hAnsi="Calibri"/>
          <w:b/>
          <w:i w:val="0"/>
          <w:sz w:val="22"/>
        </w:rPr>
        <w:t>Tests</w:t>
      </w:r>
      <w:r>
        <w:rPr>
          <w:rFonts w:ascii="Calibri" w:hAnsi="Calibri"/>
          <w:b w:val="0"/>
          <w:i w:val="0"/>
          <w:sz w:val="22"/>
        </w:rPr>
        <w:t xml:space="preserve">: Serialization round-trip, backward compat with old </w:t>
      </w:r>
      <w:r>
        <w:rPr>
          <w:rFonts w:ascii="Consolas" w:hAnsi="Consolas"/>
          <w:b w:val="0"/>
          <w:i w:val="0"/>
          <w:color w:val="505050"/>
          <w:sz w:val="20"/>
        </w:rPr>
        <w:t>.regions</w:t>
      </w:r>
      <w:r>
        <w:rPr>
          <w:rFonts w:ascii="Calibri" w:hAnsi="Calibri"/>
          <w:b w:val="0"/>
          <w:i w:val="0"/>
          <w:sz w:val="22"/>
        </w:rPr>
        <w:t xml:space="preserve"> data.</w:t>
      </w:r>
    </w:p>
    <w:p>
      <w:pPr>
        <w:pStyle w:val="Heading2"/>
      </w:pPr>
      <w:r>
        <w:t>Phase 2: Liability Scanning</w:t>
      </w:r>
    </w:p>
    <w:p>
      <w:r>
        <w:rPr>
          <w:rFonts w:ascii="Calibri" w:hAnsi="Calibri"/>
          <w:b/>
          <w:i w:val="0"/>
          <w:sz w:val="22"/>
        </w:rPr>
        <w:t>Goal</w:t>
      </w:r>
      <w:r>
        <w:rPr>
          <w:rFonts w:ascii="Calibri" w:hAnsi="Calibri"/>
          <w:b w:val="0"/>
          <w:i w:val="0"/>
          <w:sz w:val="22"/>
        </w:rPr>
        <w:t>: Working scanner with dialog and result columns.</w:t>
      </w:r>
    </w:p>
    <w:p>
      <w:r>
        <w:rPr>
          <w:rFonts w:ascii="Calibri" w:hAnsi="Calibri"/>
          <w:b/>
          <w:i w:val="0"/>
          <w:sz w:val="22"/>
        </w:rPr>
        <w:t>New files</w:t>
      </w:r>
      <w:r>
        <w:rPr>
          <w:rFonts w:ascii="Calibri" w:hAnsi="Calibri"/>
          <w:b w:val="0"/>
          <w:i w:val="0"/>
          <w:sz w:val="22"/>
        </w:rPr>
        <w:t>:</w:t>
      </w:r>
    </w:p>
    <w:p>
      <w:pPr>
        <w:pStyle w:val="ListBullet"/>
      </w:pPr>
      <w:r>
        <w:rPr>
          <w:rFonts w:ascii="Consolas" w:hAnsi="Consolas"/>
          <w:b w:val="0"/>
          <w:i w:val="0"/>
          <w:color w:val="505050"/>
          <w:sz w:val="20"/>
        </w:rPr>
        <w:t>src/utils/annotations/liability-scanner.ts</w:t>
      </w:r>
      <w:r>
        <w:rPr>
          <w:rFonts w:ascii="Calibri" w:hAnsi="Calibri"/>
          <w:b w:val="0"/>
          <w:i w:val="0"/>
          <w:sz w:val="22"/>
        </w:rPr>
        <w:t xml:space="preserve"> — rule engine + built-in rules</w:t>
      </w:r>
    </w:p>
    <w:p>
      <w:pPr>
        <w:pStyle w:val="ListBullet"/>
      </w:pPr>
      <w:r>
        <w:rPr>
          <w:rFonts w:ascii="Consolas" w:hAnsi="Consolas"/>
          <w:b w:val="0"/>
          <w:i w:val="0"/>
          <w:color w:val="505050"/>
          <w:sz w:val="20"/>
        </w:rPr>
        <w:t>src/utils/annotations/liability-scanner-ui.ts</w:t>
      </w:r>
      <w:r>
        <w:rPr>
          <w:rFonts w:ascii="Calibri" w:hAnsi="Calibri"/>
          <w:b w:val="0"/>
          <w:i w:val="0"/>
          <w:sz w:val="22"/>
        </w:rPr>
        <w:t xml:space="preserve"> — dialog</w:t>
      </w:r>
    </w:p>
    <w:p>
      <w:r>
        <w:rPr>
          <w:rFonts w:ascii="Calibri" w:hAnsi="Calibri"/>
          <w:b/>
          <w:i w:val="0"/>
          <w:sz w:val="22"/>
        </w:rPr>
        <w:t>Modified files</w:t>
      </w:r>
      <w:r>
        <w:rPr>
          <w:rFonts w:ascii="Calibri" w:hAnsi="Calibri"/>
          <w:b w:val="0"/>
          <w:i w:val="0"/>
          <w:sz w:val="22"/>
        </w:rPr>
        <w:t>:</w:t>
      </w:r>
    </w:p>
    <w:p>
      <w:pPr>
        <w:pStyle w:val="ListBullet"/>
      </w:pPr>
      <w:r>
        <w:rPr>
          <w:rFonts w:ascii="Consolas" w:hAnsi="Consolas"/>
          <w:b w:val="0"/>
          <w:i w:val="0"/>
          <w:color w:val="505050"/>
          <w:sz w:val="20"/>
        </w:rPr>
        <w:t>src/package.ts</w:t>
      </w:r>
      <w:r>
        <w:rPr>
          <w:rFonts w:ascii="Calibri" w:hAnsi="Calibri"/>
          <w:b w:val="0"/>
          <w:i w:val="0"/>
          <w:sz w:val="22"/>
        </w:rPr>
        <w:t xml:space="preserve"> — register </w:t>
      </w:r>
      <w:r>
        <w:rPr>
          <w:rFonts w:ascii="Consolas" w:hAnsi="Consolas"/>
          <w:b w:val="0"/>
          <w:i w:val="0"/>
          <w:color w:val="505050"/>
          <w:sz w:val="20"/>
        </w:rPr>
        <w:t>scanLiabilities</w:t>
      </w:r>
      <w:r>
        <w:rPr>
          <w:rFonts w:ascii="Calibri" w:hAnsi="Calibri"/>
          <w:b w:val="0"/>
          <w:i w:val="0"/>
          <w:sz w:val="22"/>
        </w:rPr>
        <w:t xml:space="preserve"> function + </w:t>
      </w:r>
      <w:r>
        <w:rPr>
          <w:rFonts w:ascii="Consolas" w:hAnsi="Consolas"/>
          <w:b w:val="0"/>
          <w:i w:val="0"/>
          <w:color w:val="505050"/>
          <w:sz w:val="20"/>
        </w:rPr>
        <w:t>Bio | Annotate | Scan Liabilities</w:t>
      </w:r>
      <w:r>
        <w:rPr>
          <w:rFonts w:ascii="Calibri" w:hAnsi="Calibri"/>
          <w:b w:val="0"/>
          <w:i w:val="0"/>
          <w:sz w:val="22"/>
        </w:rPr>
        <w:t xml:space="preserve"> menu</w:t>
      </w:r>
    </w:p>
    <w:p>
      <w:r>
        <w:rPr>
          <w:rFonts w:ascii="Calibri" w:hAnsi="Calibri"/>
          <w:b/>
          <w:i w:val="0"/>
          <w:sz w:val="22"/>
        </w:rPr>
        <w:t>Tests</w:t>
      </w:r>
      <w:r>
        <w:rPr>
          <w:rFonts w:ascii="Calibri" w:hAnsi="Calibri"/>
          <w:b w:val="0"/>
          <w:i w:val="0"/>
          <w:sz w:val="22"/>
        </w:rPr>
        <w:t>: Scan known antibody sequences (trastuzumab, adalimumab) and verify expected motifs.</w:t>
      </w:r>
    </w:p>
    <w:p>
      <w:pPr>
        <w:pStyle w:val="Heading2"/>
      </w:pPr>
      <w:r>
        <w:t>Phase 3: Rendering Integration</w:t>
      </w:r>
    </w:p>
    <w:p>
      <w:r>
        <w:rPr>
          <w:rFonts w:ascii="Calibri" w:hAnsi="Calibri"/>
          <w:b/>
          <w:i w:val="0"/>
          <w:sz w:val="22"/>
        </w:rPr>
        <w:t>Goal</w:t>
      </w:r>
      <w:r>
        <w:rPr>
          <w:rFonts w:ascii="Calibri" w:hAnsi="Calibri"/>
          <w:b w:val="0"/>
          <w:i w:val="0"/>
          <w:sz w:val="22"/>
        </w:rPr>
        <w:t>: Annotations visible in the grid.</w:t>
      </w:r>
    </w:p>
    <w:p>
      <w:r>
        <w:rPr>
          <w:rFonts w:ascii="Calibri" w:hAnsi="Calibri"/>
          <w:b/>
          <w:i w:val="0"/>
          <w:sz w:val="22"/>
        </w:rPr>
        <w:t>New files</w:t>
      </w:r>
      <w:r>
        <w:rPr>
          <w:rFonts w:ascii="Calibri" w:hAnsi="Calibri"/>
          <w:b w:val="0"/>
          <w:i w:val="0"/>
          <w:sz w:val="22"/>
        </w:rPr>
        <w:t>:</w:t>
      </w:r>
    </w:p>
    <w:p>
      <w:pPr>
        <w:pStyle w:val="ListBullet"/>
      </w:pPr>
      <w:r>
        <w:rPr>
          <w:rFonts w:ascii="Consolas" w:hAnsi="Consolas"/>
          <w:b w:val="0"/>
          <w:i w:val="0"/>
          <w:color w:val="505050"/>
          <w:sz w:val="20"/>
        </w:rPr>
        <w:t>libraries/bio/src/utils/cell-renderer-annotations.ts</w:t>
      </w:r>
      <w:r>
        <w:rPr>
          <w:rFonts w:ascii="Calibri" w:hAnsi="Calibri"/>
          <w:b w:val="0"/>
          <w:i w:val="0"/>
          <w:sz w:val="22"/>
        </w:rPr>
        <w:t xml:space="preserve"> — </w:t>
      </w:r>
      <w:r>
        <w:rPr>
          <w:rFonts w:ascii="Consolas" w:hAnsi="Consolas"/>
          <w:b w:val="0"/>
          <w:i w:val="0"/>
          <w:color w:val="505050"/>
          <w:sz w:val="20"/>
        </w:rPr>
        <w:t>AnnotationRenderer</w:t>
      </w:r>
      <w:r>
        <w:rPr>
          <w:rFonts w:ascii="Calibri" w:hAnsi="Calibri"/>
          <w:b w:val="0"/>
          <w:i w:val="0"/>
          <w:sz w:val="22"/>
        </w:rPr>
        <w:t xml:space="preserve"> class</w:t>
      </w:r>
    </w:p>
    <w:p>
      <w:r>
        <w:rPr>
          <w:rFonts w:ascii="Calibri" w:hAnsi="Calibri"/>
          <w:b/>
          <w:i w:val="0"/>
          <w:sz w:val="22"/>
        </w:rPr>
        <w:t>Modified files</w:t>
      </w:r>
      <w:r>
        <w:rPr>
          <w:rFonts w:ascii="Calibri" w:hAnsi="Calibri"/>
          <w:b w:val="0"/>
          <w:i w:val="0"/>
          <w:sz w:val="22"/>
        </w:rPr>
        <w:t>:</w:t>
      </w:r>
    </w:p>
    <w:p>
      <w:pPr>
        <w:pStyle w:val="ListBullet"/>
      </w:pPr>
      <w:r>
        <w:rPr>
          <w:rFonts w:ascii="Consolas" w:hAnsi="Consolas"/>
          <w:b w:val="0"/>
          <w:i w:val="0"/>
          <w:color w:val="505050"/>
          <w:sz w:val="20"/>
        </w:rPr>
        <w:t>libraries/bio/src/utils/cell-renderer-monomer-placer.ts</w:t>
      </w:r>
      <w:r>
        <w:rPr>
          <w:rFonts w:ascii="Calibri" w:hAnsi="Calibri"/>
          <w:b w:val="0"/>
          <w:i w:val="0"/>
          <w:sz w:val="22"/>
        </w:rPr>
        <w:t xml:space="preserve"> — hook annotation drawing into both single-line (line ~620) and multiline (line ~568) render paths</w:t>
      </w:r>
    </w:p>
    <w:p>
      <w:pPr>
        <w:pStyle w:val="ListBullet"/>
      </w:pPr>
      <w:r>
        <w:rPr>
          <w:rFonts w:ascii="Consolas" w:hAnsi="Consolas"/>
          <w:b w:val="0"/>
          <w:i w:val="0"/>
          <w:color w:val="505050"/>
          <w:sz w:val="20"/>
        </w:rPr>
        <w:t>libraries/bio/src/utils/cell-renderer-monomer-placer.ts</w:t>
      </w:r>
      <w:r>
        <w:rPr>
          <w:rFonts w:ascii="Calibri" w:hAnsi="Calibri"/>
          <w:b w:val="0"/>
          <w:i w:val="0"/>
          <w:sz w:val="22"/>
        </w:rPr>
        <w:t xml:space="preserve"> — enrich tooltip in </w:t>
      </w:r>
      <w:r>
        <w:rPr>
          <w:rFonts w:ascii="Consolas" w:hAnsi="Consolas"/>
          <w:b w:val="0"/>
          <w:i w:val="0"/>
          <w:color w:val="505050"/>
          <w:sz w:val="20"/>
        </w:rPr>
        <w:t>onMouseMove()</w:t>
      </w:r>
      <w:r>
        <w:rPr>
          <w:rFonts w:ascii="Calibri" w:hAnsi="Calibri"/>
          <w:b w:val="0"/>
          <w:i w:val="0"/>
          <w:sz w:val="22"/>
        </w:rPr>
        <w:t xml:space="preserve"> (line ~700)</w:t>
      </w:r>
    </w:p>
    <w:p>
      <w:pPr>
        <w:pStyle w:val="ListBullet"/>
      </w:pPr>
      <w:r>
        <w:rPr>
          <w:rFonts w:ascii="Consolas" w:hAnsi="Consolas"/>
          <w:b w:val="0"/>
          <w:i w:val="0"/>
          <w:color w:val="505050"/>
          <w:sz w:val="20"/>
        </w:rPr>
        <w:t>src/widgets/representations.ts</w:t>
      </w:r>
      <w:r>
        <w:rPr>
          <w:rFonts w:ascii="Calibri" w:hAnsi="Calibri"/>
          <w:b w:val="0"/>
          <w:i w:val="0"/>
          <w:sz w:val="22"/>
        </w:rPr>
        <w:t xml:space="preserve"> — add Annotations accordion to property panel</w:t>
      </w:r>
    </w:p>
    <w:p>
      <w:pPr>
        <w:pStyle w:val="ListBullet"/>
      </w:pPr>
      <w:r>
        <w:rPr>
          <w:rFonts w:ascii="Consolas" w:hAnsi="Consolas"/>
          <w:b w:val="0"/>
          <w:i w:val="0"/>
          <w:color w:val="505050"/>
          <w:sz w:val="20"/>
        </w:rPr>
        <w:t>src/utils/context-menu.ts</w:t>
      </w:r>
      <w:r>
        <w:rPr>
          <w:rFonts w:ascii="Calibri" w:hAnsi="Calibri"/>
          <w:b w:val="0"/>
          <w:i w:val="0"/>
          <w:sz w:val="22"/>
        </w:rPr>
        <w:t xml:space="preserve"> — add annotation context menu items</w:t>
      </w:r>
    </w:p>
    <w:p>
      <w:r>
        <w:rPr>
          <w:rFonts w:ascii="Calibri" w:hAnsi="Calibri"/>
          <w:b/>
          <w:i w:val="0"/>
          <w:sz w:val="22"/>
        </w:rPr>
        <w:t>Tests</w:t>
      </w:r>
      <w:r>
        <w:rPr>
          <w:rFonts w:ascii="Calibri" w:hAnsi="Calibri"/>
          <w:b w:val="0"/>
          <w:i w:val="0"/>
          <w:sz w:val="22"/>
        </w:rPr>
        <w:t>: Visual verification with annotated sequences in single-line, multiline, and MSA modes.</w:t>
      </w:r>
    </w:p>
    <w:p>
      <w:pPr>
        <w:pStyle w:val="Heading2"/>
      </w:pPr>
      <w:r>
        <w:t>Phase 4: MSA Header Annotation Track</w:t>
      </w:r>
    </w:p>
    <w:p>
      <w:r>
        <w:rPr>
          <w:rFonts w:ascii="Calibri" w:hAnsi="Calibri"/>
          <w:b/>
          <w:i w:val="0"/>
          <w:sz w:val="22"/>
        </w:rPr>
        <w:t>Goal</w:t>
      </w:r>
      <w:r>
        <w:rPr>
          <w:rFonts w:ascii="Calibri" w:hAnsi="Calibri"/>
          <w:b w:val="0"/>
          <w:i w:val="0"/>
          <w:sz w:val="22"/>
        </w:rPr>
        <w:t>: Annotation band in the scrolling header.</w:t>
      </w:r>
    </w:p>
    <w:p>
      <w:r>
        <w:rPr>
          <w:rFonts w:ascii="Calibri" w:hAnsi="Calibri"/>
          <w:b/>
          <w:i w:val="0"/>
          <w:sz w:val="22"/>
        </w:rPr>
        <w:t>New files</w:t>
      </w:r>
      <w:r>
        <w:rPr>
          <w:rFonts w:ascii="Calibri" w:hAnsi="Calibri"/>
          <w:b w:val="0"/>
          <w:i w:val="0"/>
          <w:sz w:val="22"/>
        </w:rPr>
        <w:t>:</w:t>
      </w:r>
    </w:p>
    <w:p>
      <w:pPr>
        <w:pStyle w:val="ListBullet"/>
      </w:pPr>
      <w:r>
        <w:rPr>
          <w:rFonts w:ascii="Consolas" w:hAnsi="Consolas"/>
          <w:b w:val="0"/>
          <w:i w:val="0"/>
          <w:color w:val="505050"/>
          <w:sz w:val="20"/>
        </w:rPr>
        <w:t>libraries/bio/src/utils/annotation-track.ts</w:t>
      </w:r>
      <w:r>
        <w:rPr>
          <w:rFonts w:ascii="Calibri" w:hAnsi="Calibri"/>
          <w:b w:val="0"/>
          <w:i w:val="0"/>
          <w:sz w:val="22"/>
        </w:rPr>
        <w:t xml:space="preserve"> — </w:t>
      </w:r>
      <w:r>
        <w:rPr>
          <w:rFonts w:ascii="Consolas" w:hAnsi="Consolas"/>
          <w:b w:val="0"/>
          <w:i w:val="0"/>
          <w:color w:val="505050"/>
          <w:sz w:val="20"/>
        </w:rPr>
        <w:t>AnnotationTrack</w:t>
      </w:r>
      <w:r>
        <w:rPr>
          <w:rFonts w:ascii="Calibri" w:hAnsi="Calibri"/>
          <w:b w:val="0"/>
          <w:i w:val="0"/>
          <w:sz w:val="22"/>
        </w:rPr>
        <w:t xml:space="preserve"> extending </w:t>
      </w:r>
      <w:r>
        <w:rPr>
          <w:rFonts w:ascii="Consolas" w:hAnsi="Consolas"/>
          <w:b w:val="0"/>
          <w:i w:val="0"/>
          <w:color w:val="505050"/>
          <w:sz w:val="20"/>
        </w:rPr>
        <w:t>MSAHeaderTrack</w:t>
      </w:r>
    </w:p>
    <w:p>
      <w:r>
        <w:rPr>
          <w:rFonts w:ascii="Calibri" w:hAnsi="Calibri"/>
          <w:b/>
          <w:i w:val="0"/>
          <w:sz w:val="22"/>
        </w:rPr>
        <w:t>Modified files</w:t>
      </w:r>
      <w:r>
        <w:rPr>
          <w:rFonts w:ascii="Calibri" w:hAnsi="Calibri"/>
          <w:b w:val="0"/>
          <w:i w:val="0"/>
          <w:sz w:val="22"/>
        </w:rPr>
        <w:t>:</w:t>
      </w:r>
    </w:p>
    <w:p>
      <w:pPr>
        <w:pStyle w:val="ListBullet"/>
      </w:pPr>
      <w:r>
        <w:rPr>
          <w:rFonts w:ascii="Consolas" w:hAnsi="Consolas"/>
          <w:b w:val="0"/>
          <w:i w:val="0"/>
          <w:color w:val="505050"/>
          <w:sz w:val="20"/>
        </w:rPr>
        <w:t>src/widgets/sequence-scrolling-widget.ts</w:t>
      </w:r>
      <w:r>
        <w:rPr>
          <w:rFonts w:ascii="Calibri" w:hAnsi="Calibri"/>
          <w:b w:val="0"/>
          <w:i w:val="0"/>
          <w:sz w:val="22"/>
        </w:rPr>
        <w:t xml:space="preserve"> — add </w:t>
      </w:r>
      <w:r>
        <w:rPr>
          <w:rFonts w:ascii="Consolas" w:hAnsi="Consolas"/>
          <w:b w:val="0"/>
          <w:i w:val="0"/>
          <w:color w:val="505050"/>
          <w:sz w:val="20"/>
        </w:rPr>
        <w:t>AnnotationTrack</w:t>
      </w:r>
      <w:r>
        <w:rPr>
          <w:rFonts w:ascii="Calibri" w:hAnsi="Calibri"/>
          <w:b w:val="0"/>
          <w:i w:val="0"/>
          <w:sz w:val="22"/>
        </w:rPr>
        <w:t xml:space="preserve"> to header initialization</w:t>
      </w:r>
    </w:p>
    <w:p>
      <w:r>
        <w:rPr>
          <w:rFonts w:ascii="Calibri" w:hAnsi="Calibri"/>
          <w:b/>
          <w:i w:val="0"/>
          <w:sz w:val="22"/>
        </w:rPr>
        <w:t>Tests</w:t>
      </w:r>
      <w:r>
        <w:rPr>
          <w:rFonts w:ascii="Calibri" w:hAnsi="Calibri"/>
          <w:b w:val="0"/>
          <w:i w:val="0"/>
          <w:sz w:val="22"/>
        </w:rPr>
        <w:t>: MSA sequences with IMGT-numbered positions; verify track alignment.</w:t>
      </w:r>
    </w:p>
    <w:p>
      <w:pPr>
        <w:pStyle w:val="Heading2"/>
      </w:pPr>
      <w:r>
        <w:t>Phase 5: Antibody Numbering</w:t>
      </w:r>
    </w:p>
    <w:p>
      <w:r>
        <w:rPr>
          <w:rFonts w:ascii="Calibri" w:hAnsi="Calibri"/>
          <w:b/>
          <w:i w:val="0"/>
          <w:sz w:val="22"/>
        </w:rPr>
        <w:t>Goal</w:t>
      </w:r>
      <w:r>
        <w:rPr>
          <w:rFonts w:ascii="Calibri" w:hAnsi="Calibri"/>
          <w:b w:val="0"/>
          <w:i w:val="0"/>
          <w:sz w:val="22"/>
        </w:rPr>
        <w:t>: TypeScript-based numbering engine with Python fallback and UI.</w:t>
      </w:r>
    </w:p>
    <w:p>
      <w:r>
        <w:rPr>
          <w:rFonts w:ascii="Calibri" w:hAnsi="Calibri"/>
          <w:b/>
          <w:i w:val="0"/>
          <w:sz w:val="22"/>
        </w:rPr>
        <w:t>New files</w:t>
      </w:r>
      <w:r>
        <w:rPr>
          <w:rFonts w:ascii="Calibri" w:hAnsi="Calibri"/>
          <w:b w:val="0"/>
          <w:i w:val="0"/>
          <w:sz w:val="22"/>
        </w:rPr>
        <w:t>:</w:t>
      </w:r>
    </w:p>
    <w:p>
      <w:pPr>
        <w:pStyle w:val="ListBullet"/>
      </w:pPr>
      <w:r>
        <w:rPr>
          <w:rFonts w:ascii="Consolas" w:hAnsi="Consolas"/>
          <w:b w:val="0"/>
          <w:i w:val="0"/>
          <w:color w:val="505050"/>
          <w:sz w:val="20"/>
        </w:rPr>
        <w:t>libraries/bio/src/utils/macromolecule/antibody-numbering.ts</w:t>
      </w:r>
      <w:r>
        <w:rPr>
          <w:rFonts w:ascii="Calibri" w:hAnsi="Calibri"/>
          <w:b w:val="0"/>
          <w:i w:val="0"/>
          <w:sz w:val="22"/>
        </w:rPr>
        <w:t xml:space="preserve"> — TypeScript numbering engine (chain detection, germline alignment, position mapping)</w:t>
      </w:r>
    </w:p>
    <w:p>
      <w:pPr>
        <w:pStyle w:val="ListBullet"/>
      </w:pPr>
      <w:r>
        <w:rPr>
          <w:rFonts w:ascii="Consolas" w:hAnsi="Consolas"/>
          <w:b w:val="0"/>
          <w:i w:val="0"/>
          <w:color w:val="505050"/>
          <w:sz w:val="20"/>
        </w:rPr>
        <w:t>libraries/bio/src/data/germline-references.json</w:t>
      </w:r>
      <w:r>
        <w:rPr>
          <w:rFonts w:ascii="Calibri" w:hAnsi="Calibri"/>
          <w:b w:val="0"/>
          <w:i w:val="0"/>
          <w:sz w:val="22"/>
        </w:rPr>
        <w:t xml:space="preserve"> — bundled representative germline sequences with IMGT numbers</w:t>
      </w:r>
    </w:p>
    <w:p>
      <w:pPr>
        <w:pStyle w:val="ListBullet"/>
      </w:pPr>
      <w:r>
        <w:rPr>
          <w:rFonts w:ascii="Consolas" w:hAnsi="Consolas"/>
          <w:b w:val="0"/>
          <w:i w:val="0"/>
          <w:color w:val="505050"/>
          <w:sz w:val="20"/>
        </w:rPr>
        <w:t>src/utils/annotations/numbering-ui.ts</w:t>
      </w:r>
      <w:r>
        <w:rPr>
          <w:rFonts w:ascii="Calibri" w:hAnsi="Calibri"/>
          <w:b w:val="0"/>
          <w:i w:val="0"/>
          <w:sz w:val="22"/>
        </w:rPr>
        <w:t xml:space="preserve"> — "Apply Numbering Scheme" dialog</w:t>
      </w:r>
    </w:p>
    <w:p>
      <w:pPr>
        <w:pStyle w:val="ListBullet"/>
      </w:pPr>
      <w:r>
        <w:rPr>
          <w:rFonts w:ascii="Consolas" w:hAnsi="Consolas"/>
          <w:b w:val="0"/>
          <w:i w:val="0"/>
          <w:color w:val="505050"/>
          <w:sz w:val="20"/>
        </w:rPr>
        <w:t>scripts/number_antibody.py</w:t>
      </w:r>
      <w:r>
        <w:rPr>
          <w:rFonts w:ascii="Calibri" w:hAnsi="Calibri"/>
          <w:b w:val="0"/>
          <w:i w:val="0"/>
          <w:sz w:val="22"/>
        </w:rPr>
        <w:t xml:space="preserve"> — Python/ANARCI fallback script</w:t>
      </w:r>
    </w:p>
    <w:p>
      <w:r>
        <w:rPr>
          <w:rFonts w:ascii="Calibri" w:hAnsi="Calibri"/>
          <w:b/>
          <w:i w:val="0"/>
          <w:sz w:val="22"/>
        </w:rPr>
        <w:t>Modified files</w:t>
      </w:r>
      <w:r>
        <w:rPr>
          <w:rFonts w:ascii="Calibri" w:hAnsi="Calibri"/>
          <w:b w:val="0"/>
          <w:i w:val="0"/>
          <w:sz w:val="22"/>
        </w:rPr>
        <w:t>:</w:t>
      </w:r>
    </w:p>
    <w:p>
      <w:pPr>
        <w:pStyle w:val="ListBullet"/>
      </w:pPr>
      <w:r>
        <w:rPr>
          <w:rFonts w:ascii="Consolas" w:hAnsi="Consolas"/>
          <w:b w:val="0"/>
          <w:i w:val="0"/>
          <w:color w:val="505050"/>
          <w:sz w:val="20"/>
        </w:rPr>
        <w:t>src/package.ts</w:t>
      </w:r>
      <w:r>
        <w:rPr>
          <w:rFonts w:ascii="Calibri" w:hAnsi="Calibri"/>
          <w:b w:val="0"/>
          <w:i w:val="0"/>
          <w:sz w:val="22"/>
        </w:rPr>
        <w:t xml:space="preserve"> — register numbering function + menu entry</w:t>
      </w:r>
    </w:p>
    <w:p>
      <w:pPr>
        <w:pStyle w:val="ListBullet"/>
      </w:pPr>
      <w:r>
        <w:rPr>
          <w:rFonts w:ascii="Consolas" w:hAnsi="Consolas"/>
          <w:b w:val="0"/>
          <w:i w:val="0"/>
          <w:color w:val="505050"/>
          <w:sz w:val="20"/>
        </w:rPr>
        <w:t>src/viewers/vd-regions-viewer.ts</w:t>
      </w:r>
      <w:r>
        <w:rPr>
          <w:rFonts w:ascii="Calibri" w:hAnsi="Calibri"/>
          <w:b w:val="0"/>
          <w:i w:val="0"/>
          <w:sz w:val="22"/>
        </w:rPr>
        <w:t xml:space="preserve"> — auto-refresh from </w:t>
      </w:r>
      <w:r>
        <w:rPr>
          <w:rFonts w:ascii="Consolas" w:hAnsi="Consolas"/>
          <w:b w:val="0"/>
          <w:i w:val="0"/>
          <w:color w:val="505050"/>
          <w:sz w:val="20"/>
        </w:rPr>
        <w:t>.annotations</w:t>
      </w:r>
      <w:r>
        <w:rPr>
          <w:rFonts w:ascii="Calibri" w:hAnsi="Calibri"/>
          <w:b w:val="0"/>
          <w:i w:val="0"/>
          <w:sz w:val="22"/>
        </w:rPr>
        <w:t xml:space="preserve"> tag</w:t>
      </w:r>
    </w:p>
    <w:p>
      <w:r>
        <w:rPr>
          <w:rFonts w:ascii="Calibri" w:hAnsi="Calibri"/>
          <w:b/>
          <w:i w:val="0"/>
          <w:sz w:val="22"/>
        </w:rPr>
        <w:t>Tests</w:t>
      </w:r>
      <w:r>
        <w:rPr>
          <w:rFonts w:ascii="Calibri" w:hAnsi="Calibri"/>
          <w:b w:val="0"/>
          <w:i w:val="0"/>
          <w:sz w:val="22"/>
        </w:rPr>
        <w:t>: Number known antibody sequences (trastuzumab VH/VL, adalimumab), verify against published IMGT reference numbering.</w:t>
      </w:r>
    </w:p>
    <w:p>
      <w:pPr>
        <w:pStyle w:val="Heading2"/>
      </w:pPr>
      <w:r>
        <w:t>Phase 6: Actions &amp; Polish</w:t>
      </w:r>
    </w:p>
    <w:p>
      <w:r>
        <w:rPr>
          <w:rFonts w:ascii="Calibri" w:hAnsi="Calibri"/>
          <w:b/>
          <w:i w:val="0"/>
          <w:sz w:val="22"/>
        </w:rPr>
        <w:t>Goal</w:t>
      </w:r>
      <w:r>
        <w:rPr>
          <w:rFonts w:ascii="Calibri" w:hAnsi="Calibri"/>
          <w:b w:val="0"/>
          <w:i w:val="0"/>
          <w:sz w:val="22"/>
        </w:rPr>
        <w:t>: Extract, filter, select from annotations; legend widget; manage dialog.</w:t>
      </w:r>
    </w:p>
    <w:p>
      <w:r>
        <w:rPr>
          <w:rFonts w:ascii="Calibri" w:hAnsi="Calibri"/>
          <w:b/>
          <w:i w:val="0"/>
          <w:sz w:val="22"/>
        </w:rPr>
        <w:t>New files</w:t>
      </w:r>
      <w:r>
        <w:rPr>
          <w:rFonts w:ascii="Calibri" w:hAnsi="Calibri"/>
          <w:b w:val="0"/>
          <w:i w:val="0"/>
          <w:sz w:val="22"/>
        </w:rPr>
        <w:t>:</w:t>
      </w:r>
    </w:p>
    <w:p>
      <w:pPr>
        <w:pStyle w:val="ListBullet"/>
      </w:pPr>
      <w:r>
        <w:rPr>
          <w:rFonts w:ascii="Consolas" w:hAnsi="Consolas"/>
          <w:b w:val="0"/>
          <w:i w:val="0"/>
          <w:color w:val="505050"/>
          <w:sz w:val="20"/>
        </w:rPr>
        <w:t>src/utils/annotations/annotation-actions.ts</w:t>
      </w:r>
      <w:r>
        <w:rPr>
          <w:rFonts w:ascii="Calibri" w:hAnsi="Calibri"/>
          <w:b w:val="0"/>
          <w:i w:val="0"/>
          <w:sz w:val="22"/>
        </w:rPr>
        <w:t xml:space="preserve"> — extract, filter, select, summary</w:t>
      </w:r>
    </w:p>
    <w:p>
      <w:pPr>
        <w:pStyle w:val="ListBullet"/>
      </w:pPr>
      <w:r>
        <w:rPr>
          <w:rFonts w:ascii="Consolas" w:hAnsi="Consolas"/>
          <w:b w:val="0"/>
          <w:i w:val="0"/>
          <w:color w:val="505050"/>
          <w:sz w:val="20"/>
        </w:rPr>
        <w:t>src/widgets/annotation-legend-widget.ts</w:t>
      </w:r>
      <w:r>
        <w:rPr>
          <w:rFonts w:ascii="Calibri" w:hAnsi="Calibri"/>
          <w:b w:val="0"/>
          <w:i w:val="0"/>
          <w:sz w:val="22"/>
        </w:rPr>
        <w:t xml:space="preserve"> — color legend</w:t>
      </w:r>
    </w:p>
    <w:p>
      <w:pPr>
        <w:pStyle w:val="ListBullet"/>
      </w:pPr>
      <w:r>
        <w:rPr>
          <w:rFonts w:ascii="Consolas" w:hAnsi="Consolas"/>
          <w:b w:val="0"/>
          <w:i w:val="0"/>
          <w:color w:val="505050"/>
          <w:sz w:val="20"/>
        </w:rPr>
        <w:t>src/utils/annotations/annotation-manager-ui.ts</w:t>
      </w:r>
      <w:r>
        <w:rPr>
          <w:rFonts w:ascii="Calibri" w:hAnsi="Calibri"/>
          <w:b w:val="0"/>
          <w:i w:val="0"/>
          <w:sz w:val="22"/>
        </w:rPr>
        <w:t xml:space="preserve"> — manage dialog</w:t>
      </w:r>
    </w:p>
    <w:p>
      <w:pPr>
        <w:pStyle w:val="ListBullet"/>
      </w:pPr>
      <w:r>
        <w:rPr>
          <w:rFonts w:ascii="Consolas" w:hAnsi="Consolas"/>
          <w:b w:val="0"/>
          <w:i w:val="0"/>
          <w:color w:val="505050"/>
          <w:sz w:val="20"/>
        </w:rPr>
        <w:t>src/tests/annotation-tests.ts</w:t>
      </w:r>
      <w:r>
        <w:rPr>
          <w:rFonts w:ascii="Calibri" w:hAnsi="Calibri"/>
          <w:b w:val="0"/>
          <w:i w:val="0"/>
          <w:sz w:val="22"/>
        </w:rPr>
        <w:t xml:space="preserve"> — comprehensive test suite</w:t>
      </w:r>
    </w:p>
    <w:p>
      <w:pPr>
        <w:pStyle w:val="Heading1"/>
      </w:pPr>
      <w:r>
        <w:t>9. Architecture Decisions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Decision</w:t>
            </w:r>
          </w:p>
        </w:tc>
        <w:tc>
          <w:tcPr>
            <w:tcW w:type="dxa" w:w="2880"/>
          </w:tcPr>
          <w:p>
            <w:r/>
            <w:r>
              <w:rPr>
                <w:rFonts w:ascii="Calibri" w:hAnsi="Calibri"/>
                <w:b/>
                <w:i w:val="0"/>
                <w:sz w:val="20"/>
              </w:rPr>
              <w:t>Choice</w:t>
            </w:r>
          </w:p>
        </w:tc>
        <w:tc>
          <w:tcPr>
            <w:tcW w:type="dxa" w:w="2880"/>
          </w:tcPr>
          <w:p>
            <w:r/>
            <w:r>
              <w:rPr>
                <w:rFonts w:ascii="Calibri" w:hAnsi="Calibri"/>
                <w:b/>
                <w:i w:val="0"/>
                <w:sz w:val="20"/>
              </w:rPr>
              <w:t>Rationale</w:t>
            </w:r>
          </w:p>
        </w:tc>
      </w:tr>
      <w:tr>
        <w:tc>
          <w:tcPr>
            <w:tcW w:type="dxa" w:w="2880"/>
          </w:tcPr>
          <w:p>
            <w:r/>
            <w:r>
              <w:rPr>
                <w:rFonts w:ascii="Calibri" w:hAnsi="Calibri"/>
                <w:b/>
                <w:i w:val="0"/>
                <w:sz w:val="20"/>
              </w:rPr>
              <w:t>Storage for column-level annotations</w:t>
            </w:r>
          </w:p>
        </w:tc>
        <w:tc>
          <w:tcPr>
            <w:tcW w:type="dxa" w:w="2880"/>
          </w:tcPr>
          <w:p>
            <w:r/>
            <w:r>
              <w:rPr>
                <w:rFonts w:ascii="Calibri" w:hAnsi="Calibri"/>
                <w:b w:val="0"/>
                <w:i w:val="0"/>
                <w:sz w:val="20"/>
              </w:rPr>
              <w:t>Column tags (`.annotations`)</w:t>
            </w:r>
          </w:p>
        </w:tc>
        <w:tc>
          <w:tcPr>
            <w:tcW w:type="dxa" w:w="2880"/>
          </w:tcPr>
          <w:p>
            <w:r/>
            <w:r>
              <w:rPr>
                <w:rFonts w:ascii="Calibri" w:hAnsi="Calibri"/>
                <w:b w:val="0"/>
                <w:i w:val="0"/>
                <w:sz w:val="20"/>
              </w:rPr>
              <w:t>Serializes with projects automatically. Consistent with existing `.regions` tag pattern.</w:t>
            </w:r>
          </w:p>
        </w:tc>
      </w:tr>
      <w:tr>
        <w:tc>
          <w:tcPr>
            <w:tcW w:type="dxa" w:w="2880"/>
          </w:tcPr>
          <w:p>
            <w:r/>
            <w:r>
              <w:rPr>
                <w:rFonts w:ascii="Calibri" w:hAnsi="Calibri"/>
                <w:b/>
                <w:i w:val="0"/>
                <w:sz w:val="20"/>
              </w:rPr>
              <w:t>Storage for row-level annotations</w:t>
            </w:r>
          </w:p>
        </w:tc>
        <w:tc>
          <w:tcPr>
            <w:tcW w:type="dxa" w:w="2880"/>
          </w:tcPr>
          <w:p>
            <w:r/>
            <w:r>
              <w:rPr>
                <w:rFonts w:ascii="Calibri" w:hAnsi="Calibri"/>
                <w:b w:val="0"/>
                <w:i w:val="0"/>
                <w:sz w:val="20"/>
              </w:rPr>
              <w:t>Parallel string column with JSON</w:t>
            </w:r>
          </w:p>
        </w:tc>
        <w:tc>
          <w:tcPr>
            <w:tcW w:type="dxa" w:w="2880"/>
          </w:tcPr>
          <w:p>
            <w:r/>
            <w:r>
              <w:rPr>
                <w:rFonts w:ascii="Calibri" w:hAnsi="Calibri"/>
                <w:b w:val="0"/>
                <w:i w:val="0"/>
                <w:sz w:val="20"/>
              </w:rPr>
              <w:t>Standard Datagrok pattern for per-row metadata. Survives DataFrame serialization. Respects filtering.</w:t>
            </w:r>
          </w:p>
        </w:tc>
      </w:tr>
      <w:tr>
        <w:tc>
          <w:tcPr>
            <w:tcW w:type="dxa" w:w="2880"/>
          </w:tcPr>
          <w:p>
            <w:r/>
            <w:r>
              <w:rPr>
                <w:rFonts w:ascii="Calibri" w:hAnsi="Calibri"/>
                <w:b/>
                <w:i w:val="0"/>
                <w:sz w:val="20"/>
              </w:rPr>
              <w:t>Numbering engine</w:t>
            </w:r>
          </w:p>
        </w:tc>
        <w:tc>
          <w:tcPr>
            <w:tcW w:type="dxa" w:w="2880"/>
          </w:tcPr>
          <w:p>
            <w:r/>
            <w:r>
              <w:rPr>
                <w:rFonts w:ascii="Calibri" w:hAnsi="Calibri"/>
                <w:b w:val="0"/>
                <w:i w:val="0"/>
                <w:sz w:val="20"/>
              </w:rPr>
              <w:t>TypeScript heuristic (primary) + Python/ANARCI script (fallback)</w:t>
            </w:r>
          </w:p>
        </w:tc>
        <w:tc>
          <w:tcPr>
            <w:tcW w:type="dxa" w:w="2880"/>
          </w:tcPr>
          <w:p>
            <w:r/>
            <w:r>
              <w:rPr>
                <w:rFonts w:ascii="Calibri" w:hAnsi="Calibri"/>
                <w:b w:val="0"/>
                <w:i w:val="0"/>
                <w:sz w:val="20"/>
              </w:rPr>
              <w:t>TypeScript runs client-side with zero server deps. Uses existing `SequenceAlignment` + BLOSUM matrices from [seq_align.ts](src/seq_align.ts). Python fallback for higher accuracy when server available.</w:t>
            </w:r>
          </w:p>
        </w:tc>
      </w:tr>
      <w:tr>
        <w:tc>
          <w:tcPr>
            <w:tcW w:type="dxa" w:w="2880"/>
          </w:tcPr>
          <w:p>
            <w:r/>
            <w:r>
              <w:rPr>
                <w:rFonts w:ascii="Calibri" w:hAnsi="Calibri"/>
                <w:b/>
                <w:i w:val="0"/>
                <w:sz w:val="20"/>
              </w:rPr>
              <w:t>Liability scanning</w:t>
            </w:r>
          </w:p>
        </w:tc>
        <w:tc>
          <w:tcPr>
            <w:tcW w:type="dxa" w:w="2880"/>
          </w:tcPr>
          <w:p>
            <w:r/>
            <w:r>
              <w:rPr>
                <w:rFonts w:ascii="Calibri" w:hAnsi="Calibri"/>
                <w:b w:val="0"/>
                <w:i w:val="0"/>
                <w:sz w:val="20"/>
              </w:rPr>
              <w:t>Client-side TypeScript regex</w:t>
            </w:r>
          </w:p>
        </w:tc>
        <w:tc>
          <w:tcPr>
            <w:tcW w:type="dxa" w:w="2880"/>
          </w:tcPr>
          <w:p>
            <w:r/>
            <w:r>
              <w:rPr>
                <w:rFonts w:ascii="Calibri" w:hAnsi="Calibri"/>
                <w:b w:val="0"/>
                <w:i w:val="0"/>
                <w:sz w:val="20"/>
              </w:rPr>
              <w:t>Simple patterns, no server needed. Instant results. Works offline. Fast enough for large datasets.</w:t>
            </w:r>
          </w:p>
        </w:tc>
      </w:tr>
      <w:tr>
        <w:tc>
          <w:tcPr>
            <w:tcW w:type="dxa" w:w="2880"/>
          </w:tcPr>
          <w:p>
            <w:r/>
            <w:r>
              <w:rPr>
                <w:rFonts w:ascii="Calibri" w:hAnsi="Calibri"/>
                <w:b/>
                <w:i w:val="0"/>
                <w:sz w:val="20"/>
              </w:rPr>
              <w:t>Rendering approach</w:t>
            </w:r>
          </w:p>
        </w:tc>
        <w:tc>
          <w:tcPr>
            <w:tcW w:type="dxa" w:w="2880"/>
          </w:tcPr>
          <w:p>
            <w:r/>
            <w:r>
              <w:rPr>
                <w:rFonts w:ascii="Calibri" w:hAnsi="Calibri"/>
                <w:b w:val="0"/>
                <w:i w:val="0"/>
                <w:sz w:val="20"/>
              </w:rPr>
              <w:t>Transparent background overlay + underline markers</w:t>
            </w:r>
          </w:p>
        </w:tc>
        <w:tc>
          <w:tcPr>
            <w:tcW w:type="dxa" w:w="2880"/>
          </w:tcPr>
          <w:p>
            <w:r/>
            <w:r>
              <w:rPr>
                <w:rFonts w:ascii="Calibri" w:hAnsi="Calibri"/>
                <w:b w:val="0"/>
                <w:i w:val="0"/>
                <w:sz w:val="20"/>
              </w:rPr>
              <w:t>Preserves existing monomer coloring. Layered approach encodes multiple info channels without conflict.</w:t>
            </w:r>
          </w:p>
        </w:tc>
      </w:tr>
      <w:tr>
        <w:tc>
          <w:tcPr>
            <w:tcW w:type="dxa" w:w="2880"/>
          </w:tcPr>
          <w:p>
            <w:r/>
            <w:r>
              <w:rPr>
                <w:rFonts w:ascii="Calibri" w:hAnsi="Calibri"/>
                <w:b/>
                <w:i w:val="0"/>
                <w:sz w:val="20"/>
              </w:rPr>
              <w:t>Annotation track in header</w:t>
            </w:r>
          </w:p>
        </w:tc>
        <w:tc>
          <w:tcPr>
            <w:tcW w:type="dxa" w:w="2880"/>
          </w:tcPr>
          <w:p>
            <w:r/>
            <w:r>
              <w:rPr>
                <w:rFonts w:ascii="Calibri" w:hAnsi="Calibri"/>
                <w:b w:val="0"/>
                <w:i w:val="0"/>
                <w:sz w:val="20"/>
              </w:rPr>
              <w:t>New `MSAHeaderTrack` subclass</w:t>
            </w:r>
          </w:p>
        </w:tc>
        <w:tc>
          <w:tcPr>
            <w:tcW w:type="dxa" w:w="2880"/>
          </w:tcPr>
          <w:p>
            <w:r/>
            <w:r>
              <w:rPr>
                <w:rFonts w:ascii="Calibri" w:hAnsi="Calibri"/>
                <w:b w:val="0"/>
                <w:i w:val="0"/>
                <w:sz w:val="20"/>
              </w:rPr>
              <w:t>Extensible architecture already exists. Follows same viewport-aware lazy loading pattern.</w:t>
            </w:r>
          </w:p>
        </w:tc>
      </w:tr>
      <w:tr>
        <w:tc>
          <w:tcPr>
            <w:tcW w:type="dxa" w:w="2880"/>
          </w:tcPr>
          <w:p>
            <w:r/>
            <w:r>
              <w:rPr>
                <w:rFonts w:ascii="Calibri" w:hAnsi="Calibri"/>
                <w:b/>
                <w:i w:val="0"/>
                <w:sz w:val="20"/>
              </w:rPr>
              <w:t>Backward compat with `.regions`</w:t>
            </w:r>
          </w:p>
        </w:tc>
        <w:tc>
          <w:tcPr>
            <w:tcW w:type="dxa" w:w="2880"/>
          </w:tcPr>
          <w:p>
            <w:r/>
            <w:r>
              <w:rPr>
                <w:rFonts w:ascii="Calibri" w:hAnsi="Calibri"/>
                <w:b w:val="0"/>
                <w:i w:val="0"/>
                <w:sz w:val="20"/>
              </w:rPr>
              <w:t>Read both tags; write both</w:t>
            </w:r>
          </w:p>
        </w:tc>
        <w:tc>
          <w:tcPr>
            <w:tcW w:type="dxa" w:w="2880"/>
          </w:tcPr>
          <w:p>
            <w:r/>
            <w:r>
              <w:rPr>
                <w:rFonts w:ascii="Calibri" w:hAnsi="Calibri"/>
                <w:b w:val="0"/>
                <w:i w:val="0"/>
                <w:sz w:val="20"/>
              </w:rPr>
              <w:t>`GetRegionFuncEditor` and `getRegionDo()` continue to work unchanged for basic use-cases.</w:t>
            </w:r>
          </w:p>
        </w:tc>
      </w:tr>
    </w:tbl>
    <w:p>
      <w:pPr>
        <w:pStyle w:val="Heading1"/>
      </w:pPr>
      <w:r>
        <w:t>10. Key Reuse Points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Existing Component</w:t>
            </w:r>
          </w:p>
        </w:tc>
        <w:tc>
          <w:tcPr>
            <w:tcW w:type="dxa" w:w="2880"/>
          </w:tcPr>
          <w:p>
            <w:r/>
            <w:r>
              <w:rPr>
                <w:rFonts w:ascii="Calibri" w:hAnsi="Calibri"/>
                <w:b/>
                <w:i w:val="0"/>
                <w:sz w:val="20"/>
              </w:rPr>
              <w:t>File</w:t>
            </w:r>
          </w:p>
        </w:tc>
        <w:tc>
          <w:tcPr>
            <w:tcW w:type="dxa" w:w="2880"/>
          </w:tcPr>
          <w:p>
            <w:r/>
            <w:r>
              <w:rPr>
                <w:rFonts w:ascii="Calibri" w:hAnsi="Calibri"/>
                <w:b/>
                <w:i w:val="0"/>
                <w:sz w:val="20"/>
              </w:rPr>
              <w:t>How Reused</w:t>
            </w:r>
          </w:p>
        </w:tc>
      </w:tr>
      <w:tr>
        <w:tc>
          <w:tcPr>
            <w:tcW w:type="dxa" w:w="2880"/>
          </w:tcPr>
          <w:p>
            <w:r/>
            <w:r>
              <w:rPr>
                <w:rFonts w:ascii="Calibri" w:hAnsi="Calibri"/>
                <w:b w:val="0"/>
                <w:i w:val="0"/>
                <w:sz w:val="20"/>
              </w:rPr>
              <w:t>`SeqRegion` type</w:t>
            </w:r>
          </w:p>
        </w:tc>
        <w:tc>
          <w:tcPr>
            <w:tcW w:type="dxa" w:w="2880"/>
          </w:tcPr>
          <w:p>
            <w:r/>
            <w:r>
              <w:rPr>
                <w:rFonts w:ascii="Calibri" w:hAnsi="Calibri"/>
                <w:b w:val="0"/>
                <w:i w:val="0"/>
                <w:sz w:val="20"/>
              </w:rPr>
              <w:t>[get-region-func-editor.ts:18-23](src/utils/get-region-func-editor.ts)</w:t>
            </w:r>
          </w:p>
        </w:tc>
        <w:tc>
          <w:tcPr>
            <w:tcW w:type="dxa" w:w="2880"/>
          </w:tcPr>
          <w:p>
            <w:r/>
            <w:r>
              <w:rPr>
                <w:rFonts w:ascii="Calibri" w:hAnsi="Calibri"/>
                <w:b w:val="0"/>
                <w:i w:val="0"/>
                <w:sz w:val="20"/>
              </w:rPr>
              <w:t>Extended into `SeqAnnotation`</w:t>
            </w:r>
          </w:p>
        </w:tc>
      </w:tr>
      <w:tr>
        <w:tc>
          <w:tcPr>
            <w:tcW w:type="dxa" w:w="2880"/>
          </w:tcPr>
          <w:p>
            <w:r/>
            <w:r>
              <w:rPr>
                <w:rFonts w:ascii="Calibri" w:hAnsi="Calibri"/>
                <w:b w:val="0"/>
                <w:i w:val="0"/>
                <w:sz w:val="20"/>
              </w:rPr>
              <w:t>`.regions` tag</w:t>
            </w:r>
          </w:p>
        </w:tc>
        <w:tc>
          <w:tcPr>
            <w:tcW w:type="dxa" w:w="2880"/>
          </w:tcPr>
          <w:p>
            <w:r/>
            <w:r>
              <w:rPr>
                <w:rFonts w:ascii="Calibri" w:hAnsi="Calibri"/>
                <w:b w:val="0"/>
                <w:i w:val="0"/>
                <w:sz w:val="20"/>
              </w:rPr>
              <w:t>[consts.ts:34](libraries/bio/src/utils/macromolecule/consts.ts)</w:t>
            </w:r>
          </w:p>
        </w:tc>
        <w:tc>
          <w:tcPr>
            <w:tcW w:type="dxa" w:w="2880"/>
          </w:tcPr>
          <w:p>
            <w:r/>
            <w:r>
              <w:rPr>
                <w:rFonts w:ascii="Calibri" w:hAnsi="Calibri"/>
                <w:b w:val="0"/>
                <w:i w:val="0"/>
                <w:sz w:val="20"/>
              </w:rPr>
              <w:t>Read for backward compat</w:t>
            </w:r>
          </w:p>
        </w:tc>
      </w:tr>
      <w:tr>
        <w:tc>
          <w:tcPr>
            <w:tcW w:type="dxa" w:w="2880"/>
          </w:tcPr>
          <w:p>
            <w:r/>
            <w:r>
              <w:rPr>
                <w:rFonts w:ascii="Calibri" w:hAnsi="Calibri"/>
                <w:b w:val="0"/>
                <w:i w:val="0"/>
                <w:sz w:val="20"/>
              </w:rPr>
              <w:t>`positionNames` / `positionLabels` tags</w:t>
            </w:r>
          </w:p>
        </w:tc>
        <w:tc>
          <w:tcPr>
            <w:tcW w:type="dxa" w:w="2880"/>
          </w:tcPr>
          <w:p>
            <w:r/>
            <w:r>
              <w:rPr>
                <w:rFonts w:ascii="Calibri" w:hAnsi="Calibri"/>
                <w:b w:val="0"/>
                <w:i w:val="0"/>
                <w:sz w:val="20"/>
              </w:rPr>
              <w:t>[consts.ts:32-33](libraries/bio/src/utils/macromolecule/consts.ts)</w:t>
            </w:r>
          </w:p>
        </w:tc>
        <w:tc>
          <w:tcPr>
            <w:tcW w:type="dxa" w:w="2880"/>
          </w:tcPr>
          <w:p>
            <w:r/>
            <w:r>
              <w:rPr>
                <w:rFonts w:ascii="Calibri" w:hAnsi="Calibri"/>
                <w:b w:val="0"/>
                <w:i w:val="0"/>
                <w:sz w:val="20"/>
              </w:rPr>
              <w:t>Numbering output populates these</w:t>
            </w:r>
          </w:p>
        </w:tc>
      </w:tr>
      <w:tr>
        <w:tc>
          <w:tcPr>
            <w:tcW w:type="dxa" w:w="2880"/>
          </w:tcPr>
          <w:p>
            <w:r/>
            <w:r>
              <w:rPr>
                <w:rFonts w:ascii="Calibri" w:hAnsi="Calibri"/>
                <w:b w:val="0"/>
                <w:i w:val="0"/>
                <w:sz w:val="20"/>
              </w:rPr>
              <w:t>`VdRegion` interface</w:t>
            </w:r>
          </w:p>
        </w:tc>
        <w:tc>
          <w:tcPr>
            <w:tcW w:type="dxa" w:w="2880"/>
          </w:tcPr>
          <w:p>
            <w:r/>
            <w:r>
              <w:rPr>
                <w:rFonts w:ascii="Calibri" w:hAnsi="Calibri"/>
                <w:b w:val="0"/>
                <w:i w:val="0"/>
                <w:sz w:val="20"/>
              </w:rPr>
              <w:t>[vd-regions.ts:19-34](libraries/bio/src/viewers/vd-regions.ts)</w:t>
            </w:r>
          </w:p>
        </w:tc>
        <w:tc>
          <w:tcPr>
            <w:tcW w:type="dxa" w:w="2880"/>
          </w:tcPr>
          <w:p>
            <w:r/>
            <w:r>
              <w:rPr>
                <w:rFonts w:ascii="Calibri" w:hAnsi="Calibri"/>
                <w:b w:val="0"/>
                <w:i w:val="0"/>
                <w:sz w:val="20"/>
              </w:rPr>
              <w:t>Annotations convert to VdRegions</w:t>
            </w:r>
          </w:p>
        </w:tc>
      </w:tr>
      <w:tr>
        <w:tc>
          <w:tcPr>
            <w:tcW w:type="dxa" w:w="2880"/>
          </w:tcPr>
          <w:p>
            <w:r/>
            <w:r>
              <w:rPr>
                <w:rFonts w:ascii="Calibri" w:hAnsi="Calibri"/>
                <w:b w:val="0"/>
                <w:i w:val="0"/>
                <w:sz w:val="20"/>
              </w:rPr>
              <w:t>`VdRegionsViewer`</w:t>
            </w:r>
          </w:p>
        </w:tc>
        <w:tc>
          <w:tcPr>
            <w:tcW w:type="dxa" w:w="2880"/>
          </w:tcPr>
          <w:p>
            <w:r/>
            <w:r>
              <w:rPr>
                <w:rFonts w:ascii="Calibri" w:hAnsi="Calibri"/>
                <w:b w:val="0"/>
                <w:i w:val="0"/>
                <w:sz w:val="20"/>
              </w:rPr>
              <w:t>[vd-regions-viewer.ts](src/viewers/vd-regions-viewer.ts)</w:t>
            </w:r>
          </w:p>
        </w:tc>
        <w:tc>
          <w:tcPr>
            <w:tcW w:type="dxa" w:w="2880"/>
          </w:tcPr>
          <w:p>
            <w:r/>
            <w:r>
              <w:rPr>
                <w:rFonts w:ascii="Calibri" w:hAnsi="Calibri"/>
                <w:b w:val="0"/>
                <w:i w:val="0"/>
                <w:sz w:val="20"/>
              </w:rPr>
              <w:t>Receives annotation data</w:t>
            </w:r>
          </w:p>
        </w:tc>
      </w:tr>
      <w:tr>
        <w:tc>
          <w:tcPr>
            <w:tcW w:type="dxa" w:w="2880"/>
          </w:tcPr>
          <w:p>
            <w:r/>
            <w:r>
              <w:rPr>
                <w:rFonts w:ascii="Calibri" w:hAnsi="Calibri"/>
                <w:b w:val="0"/>
                <w:i w:val="0"/>
                <w:sz w:val="20"/>
              </w:rPr>
              <w:t>`getRegionDo()`</w:t>
            </w:r>
          </w:p>
        </w:tc>
        <w:tc>
          <w:tcPr>
            <w:tcW w:type="dxa" w:w="2880"/>
          </w:tcPr>
          <w:p>
            <w:r/>
            <w:r>
              <w:rPr>
                <w:rFonts w:ascii="Calibri" w:hAnsi="Calibri"/>
                <w:b w:val="0"/>
                <w:i w:val="0"/>
                <w:sz w:val="20"/>
              </w:rPr>
              <w:t>[get-region.ts](src/utils/get-region.ts)</w:t>
            </w:r>
          </w:p>
        </w:tc>
        <w:tc>
          <w:tcPr>
            <w:tcW w:type="dxa" w:w="2880"/>
          </w:tcPr>
          <w:p>
            <w:r/>
            <w:r>
              <w:rPr>
                <w:rFonts w:ascii="Calibri" w:hAnsi="Calibri"/>
                <w:b w:val="0"/>
                <w:i w:val="0"/>
                <w:sz w:val="20"/>
              </w:rPr>
              <w:t>"Extract Region" action</w:t>
            </w:r>
          </w:p>
        </w:tc>
      </w:tr>
      <w:tr>
        <w:tc>
          <w:tcPr>
            <w:tcW w:type="dxa" w:w="2880"/>
          </w:tcPr>
          <w:p>
            <w:r/>
            <w:r>
              <w:rPr>
                <w:rFonts w:ascii="Calibri" w:hAnsi="Calibri"/>
                <w:b w:val="0"/>
                <w:i w:val="0"/>
                <w:sz w:val="20"/>
              </w:rPr>
              <w:t>`ISeqHandler.getRegion()`</w:t>
            </w:r>
          </w:p>
        </w:tc>
        <w:tc>
          <w:tcPr>
            <w:tcW w:type="dxa" w:w="2880"/>
          </w:tcPr>
          <w:p>
            <w:r/>
            <w:r>
              <w:rPr>
                <w:rFonts w:ascii="Calibri" w:hAnsi="Calibri"/>
                <w:b w:val="0"/>
                <w:i w:val="0"/>
                <w:sz w:val="20"/>
              </w:rPr>
              <w:t>[seq-handler.ts](libraries/bio/src/utils/macromolecule/seq-handler.ts)</w:t>
            </w:r>
          </w:p>
        </w:tc>
        <w:tc>
          <w:tcPr>
            <w:tcW w:type="dxa" w:w="2880"/>
          </w:tcPr>
          <w:p>
            <w:r/>
            <w:r>
              <w:rPr>
                <w:rFonts w:ascii="Calibri" w:hAnsi="Calibri"/>
                <w:b w:val="0"/>
                <w:i w:val="0"/>
                <w:sz w:val="20"/>
              </w:rPr>
              <w:t>Core extraction, unchanged</w:t>
            </w:r>
          </w:p>
        </w:tc>
      </w:tr>
      <w:tr>
        <w:tc>
          <w:tcPr>
            <w:tcW w:type="dxa" w:w="2880"/>
          </w:tcPr>
          <w:p>
            <w:r/>
            <w:r>
              <w:rPr>
                <w:rFonts w:ascii="Calibri" w:hAnsi="Calibri"/>
                <w:b w:val="0"/>
                <w:i w:val="0"/>
                <w:sz w:val="20"/>
              </w:rPr>
              <w:t>`ISeqHandler.posList`</w:t>
            </w:r>
          </w:p>
        </w:tc>
        <w:tc>
          <w:tcPr>
            <w:tcW w:type="dxa" w:w="2880"/>
          </w:tcPr>
          <w:p>
            <w:r/>
            <w:r>
              <w:rPr>
                <w:rFonts w:ascii="Calibri" w:hAnsi="Calibri"/>
                <w:b w:val="0"/>
                <w:i w:val="0"/>
                <w:sz w:val="20"/>
              </w:rPr>
              <w:t>[seq-handler.ts](libraries/bio/src/utils/macromolecule/seq-handler.ts)</w:t>
            </w:r>
          </w:p>
        </w:tc>
        <w:tc>
          <w:tcPr>
            <w:tcW w:type="dxa" w:w="2880"/>
          </w:tcPr>
          <w:p>
            <w:r/>
            <w:r>
              <w:rPr>
                <w:rFonts w:ascii="Calibri" w:hAnsi="Calibri"/>
                <w:b w:val="0"/>
                <w:i w:val="0"/>
                <w:sz w:val="20"/>
              </w:rPr>
              <w:t>Position name mapping</w:t>
            </w:r>
          </w:p>
        </w:tc>
      </w:tr>
      <w:tr>
        <w:tc>
          <w:tcPr>
            <w:tcW w:type="dxa" w:w="2880"/>
          </w:tcPr>
          <w:p>
            <w:r/>
            <w:r>
              <w:rPr>
                <w:rFonts w:ascii="Calibri" w:hAnsi="Calibri"/>
                <w:b w:val="0"/>
                <w:i w:val="0"/>
                <w:sz w:val="20"/>
              </w:rPr>
              <w:t>`MonomerPlacer`</w:t>
            </w:r>
          </w:p>
        </w:tc>
        <w:tc>
          <w:tcPr>
            <w:tcW w:type="dxa" w:w="2880"/>
          </w:tcPr>
          <w:p>
            <w:r/>
            <w:r>
              <w:rPr>
                <w:rFonts w:ascii="Calibri" w:hAnsi="Calibri"/>
                <w:b w:val="0"/>
                <w:i w:val="0"/>
                <w:sz w:val="20"/>
              </w:rPr>
              <w:t>[cell-renderer-monomer-placer.ts](libraries/bio/src/utils/cell-renderer-monomer-placer.ts)</w:t>
            </w:r>
          </w:p>
        </w:tc>
        <w:tc>
          <w:tcPr>
            <w:tcW w:type="dxa" w:w="2880"/>
          </w:tcPr>
          <w:p>
            <w:r/>
            <w:r>
              <w:rPr>
                <w:rFonts w:ascii="Calibri" w:hAnsi="Calibri"/>
                <w:b w:val="0"/>
                <w:i w:val="0"/>
                <w:sz w:val="20"/>
              </w:rPr>
              <w:t>Extended with annotation hooks</w:t>
            </w:r>
          </w:p>
        </w:tc>
      </w:tr>
      <w:tr>
        <w:tc>
          <w:tcPr>
            <w:tcW w:type="dxa" w:w="2880"/>
          </w:tcPr>
          <w:p>
            <w:r/>
            <w:r>
              <w:rPr>
                <w:rFonts w:ascii="Calibri" w:hAnsi="Calibri"/>
                <w:b w:val="0"/>
                <w:i w:val="0"/>
                <w:sz w:val="20"/>
              </w:rPr>
              <w:t>`MSAHeaderTrack`</w:t>
            </w:r>
          </w:p>
        </w:tc>
        <w:tc>
          <w:tcPr>
            <w:tcW w:type="dxa" w:w="2880"/>
          </w:tcPr>
          <w:p>
            <w:r/>
            <w:r>
              <w:rPr>
                <w:rFonts w:ascii="Calibri" w:hAnsi="Calibri"/>
                <w:b w:val="0"/>
                <w:i w:val="0"/>
                <w:sz w:val="20"/>
              </w:rPr>
              <w:t>[sequence-position-scroller.ts:110](libraries/bio/src/utils/sequence-position-scroller.ts)</w:t>
            </w:r>
          </w:p>
        </w:tc>
        <w:tc>
          <w:tcPr>
            <w:tcW w:type="dxa" w:w="2880"/>
          </w:tcPr>
          <w:p>
            <w:r/>
            <w:r>
              <w:rPr>
                <w:rFonts w:ascii="Calibri" w:hAnsi="Calibri"/>
                <w:b w:val="0"/>
                <w:i w:val="0"/>
                <w:sz w:val="20"/>
              </w:rPr>
              <w:t>Base class for AnnotationTrack</w:t>
            </w:r>
          </w:p>
        </w:tc>
      </w:tr>
      <w:tr>
        <w:tc>
          <w:tcPr>
            <w:tcW w:type="dxa" w:w="2880"/>
          </w:tcPr>
          <w:p>
            <w:r/>
            <w:r>
              <w:rPr>
                <w:rFonts w:ascii="Calibri" w:hAnsi="Calibri"/>
                <w:b w:val="0"/>
                <w:i w:val="0"/>
                <w:sz w:val="20"/>
              </w:rPr>
              <w:t>`SequenceAlignment` (Needleman-Wunsch)</w:t>
            </w:r>
          </w:p>
        </w:tc>
        <w:tc>
          <w:tcPr>
            <w:tcW w:type="dxa" w:w="2880"/>
          </w:tcPr>
          <w:p>
            <w:r/>
            <w:r>
              <w:rPr>
                <w:rFonts w:ascii="Calibri" w:hAnsi="Calibri"/>
                <w:b w:val="0"/>
                <w:i w:val="0"/>
                <w:sz w:val="20"/>
              </w:rPr>
              <w:t>[seq_align.ts](src/seq_align.ts)</w:t>
            </w:r>
          </w:p>
        </w:tc>
        <w:tc>
          <w:tcPr>
            <w:tcW w:type="dxa" w:w="2880"/>
          </w:tcPr>
          <w:p>
            <w:r/>
            <w:r>
              <w:rPr>
                <w:rFonts w:ascii="Calibri" w:hAnsi="Calibri"/>
                <w:b w:val="0"/>
                <w:i w:val="0"/>
                <w:sz w:val="20"/>
              </w:rPr>
              <w:t>Align query vs germline references for numbering</w:t>
            </w:r>
          </w:p>
        </w:tc>
      </w:tr>
      <w:tr>
        <w:tc>
          <w:tcPr>
            <w:tcW w:type="dxa" w:w="2880"/>
          </w:tcPr>
          <w:p>
            <w:r/>
            <w:r>
              <w:rPr>
                <w:rFonts w:ascii="Calibri" w:hAnsi="Calibri"/>
                <w:b w:val="0"/>
                <w:i w:val="0"/>
                <w:sz w:val="20"/>
              </w:rPr>
              <w:t>Column property panel</w:t>
            </w:r>
          </w:p>
        </w:tc>
        <w:tc>
          <w:tcPr>
            <w:tcW w:type="dxa" w:w="2880"/>
          </w:tcPr>
          <w:p>
            <w:r/>
            <w:r>
              <w:rPr>
                <w:rFonts w:ascii="Calibri" w:hAnsi="Calibri"/>
                <w:b w:val="0"/>
                <w:i w:val="0"/>
                <w:sz w:val="20"/>
              </w:rPr>
              <w:t>[representations.ts](src/widgets/representations.ts)</w:t>
            </w:r>
          </w:p>
        </w:tc>
        <w:tc>
          <w:tcPr>
            <w:tcW w:type="dxa" w:w="2880"/>
          </w:tcPr>
          <w:p>
            <w:r/>
            <w:r>
              <w:rPr>
                <w:rFonts w:ascii="Calibri" w:hAnsi="Calibri"/>
                <w:b w:val="0"/>
                <w:i w:val="0"/>
                <w:sz w:val="20"/>
              </w:rPr>
              <w:t>Extended with Annotations pane</w:t>
            </w:r>
          </w:p>
        </w:tc>
      </w:tr>
      <w:tr>
        <w:tc>
          <w:tcPr>
            <w:tcW w:type="dxa" w:w="2880"/>
          </w:tcPr>
          <w:p>
            <w:r/>
            <w:r>
              <w:rPr>
                <w:rFonts w:ascii="Calibri" w:hAnsi="Calibri"/>
                <w:b w:val="0"/>
                <w:i w:val="0"/>
                <w:sz w:val="20"/>
              </w:rPr>
              <w:t>Context menu</w:t>
            </w:r>
          </w:p>
        </w:tc>
        <w:tc>
          <w:tcPr>
            <w:tcW w:type="dxa" w:w="2880"/>
          </w:tcPr>
          <w:p>
            <w:r/>
            <w:r>
              <w:rPr>
                <w:rFonts w:ascii="Calibri" w:hAnsi="Calibri"/>
                <w:b w:val="0"/>
                <w:i w:val="0"/>
                <w:sz w:val="20"/>
              </w:rPr>
              <w:t>[context-menu.ts](src/utils/context-menu.ts)</w:t>
            </w:r>
          </w:p>
        </w:tc>
        <w:tc>
          <w:tcPr>
            <w:tcW w:type="dxa" w:w="2880"/>
          </w:tcPr>
          <w:p>
            <w:r/>
            <w:r>
              <w:rPr>
                <w:rFonts w:ascii="Calibri" w:hAnsi="Calibri"/>
                <w:b w:val="0"/>
                <w:i w:val="0"/>
                <w:sz w:val="20"/>
              </w:rPr>
              <w:t>Extended with annotation actions</w:t>
            </w:r>
          </w:p>
        </w:tc>
      </w:tr>
      <w:tr>
        <w:tc>
          <w:tcPr>
            <w:tcW w:type="dxa" w:w="2880"/>
          </w:tcPr>
          <w:p>
            <w:r/>
            <w:r>
              <w:rPr>
                <w:rFonts w:ascii="Calibri" w:hAnsi="Calibri"/>
                <w:b w:val="0"/>
                <w:i w:val="0"/>
                <w:sz w:val="20"/>
              </w:rPr>
              <w:t>`selectedPosition` tag</w:t>
            </w:r>
          </w:p>
        </w:tc>
        <w:tc>
          <w:tcPr>
            <w:tcW w:type="dxa" w:w="2880"/>
          </w:tcPr>
          <w:p>
            <w:r/>
            <w:r>
              <w:rPr>
                <w:rFonts w:ascii="Calibri" w:hAnsi="Calibri"/>
                <w:b w:val="0"/>
                <w:i w:val="0"/>
                <w:sz w:val="20"/>
              </w:rPr>
              <w:t>[consts.ts:36](libraries/bio/src/utils/macromolecule/consts.ts)</w:t>
            </w:r>
          </w:p>
        </w:tc>
        <w:tc>
          <w:tcPr>
            <w:tcW w:type="dxa" w:w="2880"/>
          </w:tcPr>
          <w:p>
            <w:r/>
            <w:r>
              <w:rPr>
                <w:rFonts w:ascii="Calibri" w:hAnsi="Calibri"/>
                <w:b w:val="0"/>
                <w:i w:val="0"/>
                <w:sz w:val="20"/>
              </w:rPr>
              <w:t>Highlight-on-click</w:t>
            </w:r>
          </w:p>
        </w:tc>
      </w:tr>
    </w:tbl>
    <w:p>
      <w:pPr>
        <w:pStyle w:val="Heading1"/>
      </w:pPr>
      <w:r>
        <w:t>11. Potential Challenges</w:t>
      </w:r>
    </w:p>
    <w:p>
      <w:pPr>
        <w:pStyle w:val="ListNumber"/>
      </w:pPr>
      <w:r>
        <w:rPr>
          <w:rFonts w:ascii="Calibri" w:hAnsi="Calibri"/>
          <w:b/>
          <w:i w:val="0"/>
          <w:sz w:val="22"/>
        </w:rPr>
        <w:t>Performance of row-level JSON parsing</w:t>
      </w:r>
      <w:r>
        <w:rPr>
          <w:rFonts w:ascii="Calibri" w:hAnsi="Calibri"/>
          <w:b w:val="0"/>
          <w:i w:val="0"/>
          <w:sz w:val="22"/>
        </w:rPr>
        <w:t xml:space="preserve">: Parsing JSON per cell on every render frame would be slow. Mitigation: </w:t>
      </w:r>
      <w:r>
        <w:rPr>
          <w:rFonts w:ascii="Consolas" w:hAnsi="Consolas"/>
          <w:b w:val="0"/>
          <w:i w:val="0"/>
          <w:color w:val="505050"/>
          <w:sz w:val="20"/>
        </w:rPr>
        <w:t>AnnotationRenderer</w:t>
      </w:r>
      <w:r>
        <w:rPr>
          <w:rFonts w:ascii="Calibri" w:hAnsi="Calibri"/>
          <w:b w:val="0"/>
          <w:i w:val="0"/>
          <w:sz w:val="22"/>
        </w:rPr>
        <w:t xml:space="preserve"> caches parsed data, keyed by annotation column version. Only re-parses on change.</w:t>
      </w:r>
    </w:p>
    <w:p>
      <w:pPr>
        <w:pStyle w:val="ListNumber"/>
      </w:pPr>
      <w:r>
        <w:rPr>
          <w:rFonts w:ascii="Calibri" w:hAnsi="Calibri"/>
          <w:b/>
          <w:i w:val="0"/>
          <w:sz w:val="22"/>
        </w:rPr>
        <w:t>Annotation overlay vs. existing diff highlighting</w:t>
      </w:r>
      <w:r>
        <w:rPr>
          <w:rFonts w:ascii="Calibri" w:hAnsi="Calibri"/>
          <w:b w:val="0"/>
          <w:i w:val="0"/>
          <w:sz w:val="22"/>
        </w:rPr>
        <w:t>: Reference sequence comparison uses transparency to dim matching monomers. Annotation backgrounds must use very low opacity (0.10-0.15) to avoid visual conflict. Underline markers provide a non-overlapping secondary channel.</w:t>
      </w:r>
    </w:p>
    <w:p>
      <w:pPr>
        <w:pStyle w:val="ListNumber"/>
      </w:pPr>
      <w:r>
        <w:rPr>
          <w:rFonts w:ascii="Calibri" w:hAnsi="Calibri"/>
          <w:b/>
          <w:i w:val="0"/>
          <w:sz w:val="22"/>
        </w:rPr>
        <w:t>Position mapping for unaligned sequences</w:t>
      </w:r>
      <w:r>
        <w:rPr>
          <w:rFonts w:ascii="Calibri" w:hAnsi="Calibri"/>
          <w:b w:val="0"/>
          <w:i w:val="0"/>
          <w:sz w:val="22"/>
        </w:rPr>
        <w:t xml:space="preserve">: Row-level liability positions are relative to each row's own sequence. For MSA, the renderer translates through </w:t>
      </w:r>
      <w:r>
        <w:rPr>
          <w:rFonts w:ascii="Consolas" w:hAnsi="Consolas"/>
          <w:b w:val="0"/>
          <w:i w:val="0"/>
          <w:color w:val="505050"/>
          <w:sz w:val="20"/>
        </w:rPr>
        <w:t>getSplitted()</w:t>
      </w:r>
      <w:r>
        <w:rPr>
          <w:rFonts w:ascii="Calibri" w:hAnsi="Calibri"/>
          <w:b w:val="0"/>
          <w:i w:val="0"/>
          <w:sz w:val="22"/>
        </w:rPr>
        <w:t xml:space="preserve"> per row.</w:t>
      </w:r>
    </w:p>
    <w:p>
      <w:pPr>
        <w:pStyle w:val="ListNumber"/>
      </w:pPr>
      <w:r>
        <w:rPr>
          <w:rFonts w:ascii="Calibri" w:hAnsi="Calibri"/>
          <w:b/>
          <w:i w:val="0"/>
          <w:sz w:val="22"/>
        </w:rPr>
        <w:t>Numbering accuracy</w:t>
      </w:r>
      <w:r>
        <w:rPr>
          <w:rFonts w:ascii="Calibri" w:hAnsi="Calibri"/>
          <w:b w:val="0"/>
          <w:i w:val="0"/>
          <w:sz w:val="22"/>
        </w:rPr>
        <w:t>: The TypeScript heuristic approach works well for common human antibody frameworks but may struggle with unusual germlines (camelid, shark) or heavily engineered sequences. The Python/ANARCI fallback covers these cases when server scripting is available. The UI should clearly indicate which engine was used.</w:t>
      </w:r>
    </w:p>
    <w:p>
      <w:pPr>
        <w:pStyle w:val="ListNumber"/>
      </w:pPr>
      <w:r>
        <w:rPr>
          <w:rFonts w:ascii="Calibri" w:hAnsi="Calibri"/>
          <w:b/>
          <w:i w:val="0"/>
          <w:sz w:val="22"/>
        </w:rPr>
        <w:t>Backward compat with `.regions` consumers</w:t>
      </w:r>
      <w:r>
        <w:rPr>
          <w:rFonts w:ascii="Calibri" w:hAnsi="Calibri"/>
          <w:b w:val="0"/>
          <w:i w:val="0"/>
          <w:sz w:val="22"/>
        </w:rPr>
        <w:t xml:space="preserve">: Keep </w:t>
      </w:r>
      <w:r>
        <w:rPr>
          <w:rFonts w:ascii="Consolas" w:hAnsi="Consolas"/>
          <w:b w:val="0"/>
          <w:i w:val="0"/>
          <w:color w:val="505050"/>
          <w:sz w:val="20"/>
        </w:rPr>
        <w:t>.regions</w:t>
      </w:r>
      <w:r>
        <w:rPr>
          <w:rFonts w:ascii="Calibri" w:hAnsi="Calibri"/>
          <w:b w:val="0"/>
          <w:i w:val="0"/>
          <w:sz w:val="22"/>
        </w:rPr>
        <w:t xml:space="preserve"> in sync when writing </w:t>
      </w:r>
      <w:r>
        <w:rPr>
          <w:rFonts w:ascii="Consolas" w:hAnsi="Consolas"/>
          <w:b w:val="0"/>
          <w:i w:val="0"/>
          <w:color w:val="505050"/>
          <w:sz w:val="20"/>
        </w:rPr>
        <w:t>.annotations</w:t>
      </w:r>
      <w:r>
        <w:rPr>
          <w:rFonts w:ascii="Calibri" w:hAnsi="Calibri"/>
          <w:b w:val="0"/>
          <w:i w:val="0"/>
          <w:sz w:val="22"/>
        </w:rPr>
        <w:t xml:space="preserve">, so </w:t>
      </w:r>
      <w:r>
        <w:rPr>
          <w:rFonts w:ascii="Consolas" w:hAnsi="Consolas"/>
          <w:b w:val="0"/>
          <w:i w:val="0"/>
          <w:color w:val="505050"/>
          <w:sz w:val="20"/>
        </w:rPr>
        <w:t>GetRegionFuncEditor</w:t>
      </w:r>
      <w:r>
        <w:rPr>
          <w:rFonts w:ascii="Calibri" w:hAnsi="Calibri"/>
          <w:b w:val="0"/>
          <w:i w:val="0"/>
          <w:sz w:val="22"/>
        </w:rPr>
        <w:t xml:space="preserve"> and </w:t>
      </w:r>
      <w:r>
        <w:rPr>
          <w:rFonts w:ascii="Consolas" w:hAnsi="Consolas"/>
          <w:b w:val="0"/>
          <w:i w:val="0"/>
          <w:color w:val="505050"/>
          <w:sz w:val="20"/>
        </w:rPr>
        <w:t>getRegionDo()</w:t>
      </w:r>
      <w:r>
        <w:rPr>
          <w:rFonts w:ascii="Calibri" w:hAnsi="Calibri"/>
          <w:b w:val="0"/>
          <w:i w:val="0"/>
          <w:sz w:val="22"/>
        </w:rPr>
        <w:t xml:space="preserve"> continue to work.</w:t>
      </w:r>
    </w:p>
    <w:p>
      <w:pPr>
        <w:pStyle w:val="Heading1"/>
      </w:pPr>
      <w:r>
        <w:t>12. Verification</w:t>
      </w:r>
    </w:p>
    <w:p>
      <w:r>
        <w:rPr>
          <w:rFonts w:ascii="Calibri" w:hAnsi="Calibri"/>
          <w:b w:val="0"/>
          <w:i w:val="0"/>
          <w:sz w:val="22"/>
        </w:rPr>
        <w:t>After implementation, verify with this end-to-end test:</w:t>
      </w:r>
    </w:p>
    <w:p>
      <w:pPr>
        <w:pStyle w:val="ListNumber"/>
      </w:pPr>
      <w:r>
        <w:rPr>
          <w:rFonts w:ascii="Calibri" w:hAnsi="Calibri"/>
          <w:b w:val="0"/>
          <w:i w:val="0"/>
          <w:sz w:val="22"/>
        </w:rPr>
        <w:t>Load a table with aligned antibody heavy chain sequences (FASTA, MSA).</w:t>
      </w:r>
    </w:p>
    <w:p>
      <w:pPr>
        <w:pStyle w:val="ListNumber"/>
      </w:pPr>
      <w:r>
        <w:rPr>
          <w:rFonts w:ascii="Consolas" w:hAnsi="Consolas"/>
          <w:b w:val="0"/>
          <w:i w:val="0"/>
          <w:color w:val="505050"/>
          <w:sz w:val="20"/>
        </w:rPr>
        <w:t>Bio | Annotate | Apply Numbering Scheme</w:t>
      </w:r>
      <w:r>
        <w:rPr>
          <w:rFonts w:ascii="Calibri" w:hAnsi="Calibri"/>
          <w:b w:val="0"/>
          <w:i w:val="0"/>
          <w:sz w:val="22"/>
        </w:rPr>
        <w:t xml:space="preserve"> → select IMGT → verify </w:t>
      </w:r>
      <w:r>
        <w:rPr>
          <w:rFonts w:ascii="Consolas" w:hAnsi="Consolas"/>
          <w:b w:val="0"/>
          <w:i w:val="0"/>
          <w:color w:val="505050"/>
          <w:sz w:val="20"/>
        </w:rPr>
        <w:t>.positionNames</w:t>
      </w:r>
      <w:r>
        <w:rPr>
          <w:rFonts w:ascii="Calibri" w:hAnsi="Calibri"/>
          <w:b w:val="0"/>
          <w:i w:val="0"/>
          <w:sz w:val="22"/>
        </w:rPr>
        <w:t xml:space="preserve"> and </w:t>
      </w:r>
      <w:r>
        <w:rPr>
          <w:rFonts w:ascii="Consolas" w:hAnsi="Consolas"/>
          <w:b w:val="0"/>
          <w:i w:val="0"/>
          <w:color w:val="505050"/>
          <w:sz w:val="20"/>
        </w:rPr>
        <w:t>.annotations</w:t>
      </w:r>
      <w:r>
        <w:rPr>
          <w:rFonts w:ascii="Calibri" w:hAnsi="Calibri"/>
          <w:b w:val="0"/>
          <w:i w:val="0"/>
          <w:sz w:val="22"/>
        </w:rPr>
        <w:t xml:space="preserve"> tags are set, VdRegionsViewer shows FR/CDR regions.</w:t>
      </w:r>
    </w:p>
    <w:p>
      <w:pPr>
        <w:pStyle w:val="ListNumber"/>
      </w:pPr>
      <w:r>
        <w:rPr>
          <w:rFonts w:ascii="Consolas" w:hAnsi="Consolas"/>
          <w:b w:val="0"/>
          <w:i w:val="0"/>
          <w:color w:val="505050"/>
          <w:sz w:val="20"/>
        </w:rPr>
        <w:t>Bio | Annotate | Scan Liabilities</w:t>
      </w:r>
      <w:r>
        <w:rPr>
          <w:rFonts w:ascii="Calibri" w:hAnsi="Calibri"/>
          <w:b w:val="0"/>
          <w:i w:val="0"/>
          <w:sz w:val="22"/>
        </w:rPr>
        <w:t xml:space="preserve"> → enable all rules → verify companion annotation column is created, cell renderer shows region backgrounds and liability underlines.</w:t>
      </w:r>
    </w:p>
    <w:p>
      <w:pPr>
        <w:pStyle w:val="ListNumber"/>
      </w:pPr>
      <w:r>
        <w:rPr>
          <w:rFonts w:ascii="Calibri" w:hAnsi="Calibri"/>
          <w:b w:val="0"/>
          <w:i w:val="0"/>
          <w:sz w:val="22"/>
        </w:rPr>
        <w:t>Hover over an annotated position → verify tooltip shows region name + liability info.</w:t>
      </w:r>
    </w:p>
    <w:p>
      <w:pPr>
        <w:pStyle w:val="ListNumber"/>
      </w:pPr>
      <w:r>
        <w:rPr>
          <w:rFonts w:ascii="Calibri" w:hAnsi="Calibri"/>
          <w:b w:val="0"/>
          <w:i w:val="0"/>
          <w:sz w:val="22"/>
        </w:rPr>
        <w:t>Scroll through MSA header → verify annotation track shows region bands aligned with WebLogo.</w:t>
      </w:r>
    </w:p>
    <w:p>
      <w:pPr>
        <w:pStyle w:val="ListNumber"/>
      </w:pPr>
      <w:r>
        <w:rPr>
          <w:rFonts w:ascii="Calibri" w:hAnsi="Calibri"/>
          <w:b w:val="0"/>
          <w:i w:val="0"/>
          <w:sz w:val="22"/>
        </w:rPr>
        <w:t>Right-click on a CDR position → "Extract CDR2 as Column" → verify new column contains the correct sub-sequences.</w:t>
      </w:r>
    </w:p>
    <w:p>
      <w:pPr>
        <w:pStyle w:val="ListNumber"/>
      </w:pPr>
      <w:r>
        <w:rPr>
          <w:rFonts w:ascii="Calibri" w:hAnsi="Calibri"/>
          <w:b w:val="0"/>
          <w:i w:val="0"/>
          <w:sz w:val="22"/>
        </w:rPr>
        <w:t>Save and reload project → verify all annotations persist.</w:t>
      </w:r>
    </w:p>
    <w:p>
      <w:pPr>
        <w:pStyle w:val="ListNumber"/>
      </w:pPr>
      <w:r>
        <w:rPr>
          <w:rFonts w:ascii="Calibri" w:hAnsi="Calibri"/>
          <w:b w:val="0"/>
          <w:i w:val="0"/>
          <w:sz w:val="22"/>
        </w:rPr>
        <w:t xml:space="preserve">Run </w:t>
      </w:r>
      <w:r>
        <w:rPr>
          <w:rFonts w:ascii="Consolas" w:hAnsi="Consolas"/>
          <w:b w:val="0"/>
          <w:i w:val="0"/>
          <w:color w:val="505050"/>
          <w:sz w:val="20"/>
        </w:rPr>
        <w:t>npm run test</w:t>
      </w:r>
      <w:r>
        <w:rPr>
          <w:rFonts w:ascii="Calibri" w:hAnsi="Calibri"/>
          <w:b w:val="0"/>
          <w:i w:val="0"/>
          <w:sz w:val="22"/>
        </w:rPr>
        <w:t xml:space="preserve"> to verify no regressions.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