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2E1A47"/>
          <w:sz w:val="56"/>
          <w:szCs w:val="56"/>
        </w:rPr>
        <w:t xml:space="preserve">MediLink</w:t>
      </w:r>
    </w:p>
    <w:p>
      <w:pPr>
        <w:spacing w:after="40"/>
      </w:pPr>
      <w:r>
        <w:rPr>
          <w:color w:val="2E1A47"/>
          <w:sz w:val="30"/>
          <w:szCs w:val="30"/>
        </w:rPr>
        <w:t xml:space="preserve">Phase 2 — Scope &amp; Screen Breakdown</w:t>
      </w:r>
    </w:p>
    <w:p>
      <w:pPr>
        <w:pBdr>
          <w:bottom w:val="single" w:color="DFC8E7" w:sz="12" w:space="4"/>
        </w:pBdr>
        <w:spacing w:after="60"/>
      </w:pPr>
      <w:r>
        <w:rPr>
          <w:i/>
          <w:iCs/>
          <w:color w:val="666666"/>
          <w:sz w:val="20"/>
          <w:szCs w:val="20"/>
        </w:rPr>
        <w:t xml:space="preserve">Mobile App + Web App  ·  Planning baseline for design &amp; development</w:t>
      </w:r>
    </w:p>
    <w:p>
      <w:pPr>
        <w:spacing w:after="0" w:before="120"/>
      </w:pPr>
      <w:r>
        <w:rPr>
          <w:b/>
          <w:bCs/>
          <w:sz w:val="18"/>
          <w:szCs w:val="18"/>
        </w:rPr>
        <w:t xml:space="preserve">Status: </w:t>
      </w:r>
      <w:r>
        <w:rPr>
          <w:sz w:val="18"/>
          <w:szCs w:val="18"/>
        </w:rPr>
        <w:t xml:space="preserve">Draft for team review</w:t>
      </w:r>
      <w:r>
        <w:rPr>
          <w:b/>
          <w:bCs/>
          <w:sz w:val="18"/>
          <w:szCs w:val="18"/>
        </w:rPr>
        <w:t xml:space="preserve">    Stack: </w:t>
      </w:r>
      <w:r>
        <w:rPr>
          <w:sz w:val="18"/>
          <w:szCs w:val="18"/>
        </w:rPr>
        <w:t xml:space="preserve">Next.js · Supabase · React Native (Expo)</w:t>
      </w:r>
      <w:r>
        <w:rPr>
          <w:b/>
          <w:bCs/>
          <w:sz w:val="18"/>
          <w:szCs w:val="18"/>
        </w:rPr>
        <w:t xml:space="preserve">    Region: </w:t>
      </w:r>
      <w:r>
        <w:rPr>
          <w:sz w:val="18"/>
          <w:szCs w:val="18"/>
        </w:rPr>
        <w:t xml:space="preserve">Oman</w:t>
      </w:r>
    </w:p>
    <w:p>
      <w:pPr>
        <w:pStyle w:val="Heading1"/>
      </w:pPr>
      <w:r>
        <w:t xml:space="preserve">0. Purpose of this document</w:t>
      </w:r>
    </w:p>
    <w:p>
      <w:pPr>
        <w:spacing w:after="120"/>
      </w:pPr>
      <w:r>
        <w:t xml:space="preserve">This is a working scope and screen map for Phase 2 of MediLink — the healthcare appointment platform that connects patients with clinics, doctors, technicians, and platform admins. It exists to align the team before design and development begin: who we are building for, which screens each surface needs, what ships in Phase 2 versus later, and the open questions we must close first.</w:t>
      </w:r>
    </w:p>
    <w:p>
      <w:pPr>
        <w:spacing w:after="120"/>
      </w:pPr>
      <w:r>
        <w:t xml:space="preserve">It is deliberately lean. Detailed feature mechanics already live in the feature spec (F01–F60) and the role walkthrough (“Who Does What &amp; How”); this document references those rather than repeating them.</w:t>
      </w:r>
    </w:p>
    <w:p>
      <w:pPr>
        <w:pStyle w:val="Heading1"/>
      </w:pPr>
      <w:r>
        <w:t xml:space="preserve">1. User types (roles)</w:t>
      </w:r>
    </w:p>
    <w:p>
      <w:pPr>
        <w:spacing w:after="120"/>
      </w:pPr>
      <w:r>
        <w:t xml:space="preserve">MediLink has five roles. Accounts are created in a strict chain — the platform owner seeds clinics, clinics onboard their own staff, and patients self-register. No role can create a role above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60"/>
        <w:gridCol w:w="1900"/>
        <w:gridCol w:w="19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 of access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 MediLink company staff running the platform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(private)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Seeded in DB at launch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platform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Clinic Admin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manager / front-desk supervisor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(clinic portal)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Admin email invite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clinic only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Doctor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Licensed physician at a clinic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(clinic portal)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Admin email invite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schedule + assigned patients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Technician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 / radiology staff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(clinic portal, restricted)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Admin email invite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 result uploads only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Patient</w:t>
            </w:r>
          </w:p>
        </w:tc>
        <w:tc>
          <w:tcPr>
            <w:tcW w:type="dxa" w:w="23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Anyone booking care in Oman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+ Web (public)</w:t>
            </w:r>
          </w:p>
        </w:tc>
        <w:tc>
          <w:tcPr>
            <w:tcW w:type="dxa" w:w="1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Self-registered</w:t>
            </w:r>
          </w:p>
        </w:tc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bookings, records, payments</w:t>
            </w:r>
          </w:p>
        </w:tc>
      </w:tr>
    </w:tbl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Note: Doctor and Technician share the same clinic portal but see very different views — enforced at the database level via Supabase RLS, not just hidden UI.</w:t>
      </w:r>
    </w:p>
    <w:p>
      <w:r>
        <w:br w:type="page"/>
      </w:r>
    </w:p>
    <w:p>
      <w:pPr>
        <w:pStyle w:val="Heading1"/>
      </w:pPr>
      <w:r>
        <w:t xml:space="preserve">2. Mobile app — screen list (Patient only)</w:t>
      </w:r>
    </w:p>
    <w:p>
      <w:pPr>
        <w:spacing w:after="120"/>
      </w:pPr>
      <w:r>
        <w:t xml:space="preserve">The mobile app is patient-facing only. Clinic staff and admins never use it. Screens are grouped by the patient journey.</w:t>
      </w:r>
    </w:p>
    <w:p>
      <w:pPr>
        <w:pStyle w:val="Heading3"/>
      </w:pPr>
      <w:r>
        <w:t xml:space="preserve">Onboarding &amp;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Splash / welcome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(email+password, Google, Apple)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verification (OTP)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/ reset password</w:t>
      </w:r>
    </w:p>
    <w:p>
      <w:pPr>
        <w:pStyle w:val="Heading3"/>
      </w:pPr>
      <w:r>
        <w:t xml:space="preserve">Profile &amp;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setup (photo, DOB, gender, blood group, address, emergency contact)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history form (allergies, conditions, medications, surgeries)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/ manage family members (up to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Vault (upload &amp; view prescriptions, reports, imaging, insurance)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card entry</w:t>
      </w:r>
    </w:p>
    <w:p>
      <w:pPr>
        <w:pStyle w:val="Heading3"/>
      </w:pPr>
      <w:r>
        <w:t xml:space="preserve">Discovery &amp;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dashboard (next appointment, recent doctors, reminders, AI entry 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/ explore doctors (filters: specialty, location, distance, fee, 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symptom checker / doctor suggestion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profile (bio, fees, ratings, live availability, slot picker)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Facility / clinic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Slot picker (date &amp; 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review (who it's for, type, fee 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handoff (Thawani / Ompay) + return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waitlist (when fully booked)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/ walk-in request</w:t>
      </w:r>
    </w:p>
    <w:p>
      <w:pPr>
        <w:pStyle w:val="Heading3"/>
      </w:pPr>
      <w:r>
        <w:t xml:space="preserve">Appointment Day &amp;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appointments (upcoming / past tabs)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detail card with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Pre-consultation form (online visits)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waiting room (online visits)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call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 summary (AI plain-language)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 view + 24h pharmacy share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results view (Document Vault)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rating &amp;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One-tap follow-up rebooking</w:t>
      </w:r>
    </w:p>
    <w:p>
      <w:pPr>
        <w:pStyle w:val="Heading3"/>
      </w:pPr>
      <w:r>
        <w:t xml:space="preserve">Communication &amp;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doctor messaging (7-day window post-visit)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notification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(language EN/AR, theme, notification prefs)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&amp; data (export data, delete account, consent toggles)</w:t>
      </w:r>
    </w:p>
    <w:p>
      <w:r>
        <w:br w:type="page"/>
      </w:r>
    </w:p>
    <w:p>
      <w:pPr>
        <w:pStyle w:val="Heading1"/>
      </w:pPr>
      <w:r>
        <w:t xml:space="preserve">3. Web app — screen list</w:t>
      </w:r>
    </w:p>
    <w:p>
      <w:pPr>
        <w:spacing w:after="120"/>
      </w:pPr>
      <w:r>
        <w:t xml:space="preserve">The web app covers three distinct portals plus the public patient site. They share a codebase and design system but are gated by role.</w:t>
      </w:r>
    </w:p>
    <w:p>
      <w:pPr>
        <w:pStyle w:val="Heading2"/>
      </w:pPr>
      <w:r>
        <w:t xml:space="preserve">3a. Public Patient Web (medilink.com)</w:t>
      </w:r>
    </w:p>
    <w:p>
      <w:pPr>
        <w:spacing w:after="120"/>
      </w:pPr>
      <w:r>
        <w:t xml:space="preserve">Mirrors the mobile patient experience, plus SEO-driven discovery pages. Same auth, booking, records, and post-visit flows as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/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doctor profile pages (SEO, JSON-LD)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clinic profile pages (SEO, JSON-LD)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&amp; filter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patient auth, booking, payment, records, messaging (web versions of the mobile screens above)</w:t>
      </w:r>
    </w:p>
    <w:p>
      <w:pPr>
        <w:pStyle w:val="Heading2"/>
      </w:pPr>
      <w:r>
        <w:t xml:space="preserve">3b. Clinic Portal (medilink.com/clinic)</w:t>
      </w:r>
    </w:p>
    <w:p>
      <w:pPr>
        <w:spacing w:after="120"/>
      </w:pPr>
      <w:r>
        <w:t xml:space="preserve">Used by Clinic Admins, Doctors, and Technicians — one portal, three role-based views.</w:t>
      </w:r>
    </w:p>
    <w:p>
      <w:pPr>
        <w:pStyle w:val="Heading3"/>
      </w:pPr>
      <w:r>
        <w:t xml:space="preserve">Clinic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Activation: set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Facility dashboard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 profile editor (logo, cover, address+map pin, hours, services, gallery, insurances)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doctor (5-step onboarding form)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technician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calendar (multi-doctor day/week, drag-to-reassign)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/ reception (real-time check-ins, call next, walk-in add, emergency approve/reject)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panel (reply, flag/escalate)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Announcements (broadcast to clinic patients)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 dashboard (revenue by period, per-doctor, payment split, payouts)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(busiest hours, top doctors, demographics, no-show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report export</w:t>
      </w:r>
    </w:p>
    <w:p>
      <w:pPr>
        <w:pStyle w:val="Heading3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dashboard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status toggle (Available / With Patient / On Break / Unavailable)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detail panel (patient history, pre-consult form, attached docs)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call + patient panel (side by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clinical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digital prescription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request (creates technician task)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messaging threads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performance / own metrics</w:t>
      </w:r>
    </w:p>
    <w:p>
      <w:pPr>
        <w:pStyle w:val="Heading3"/>
      </w:pPr>
      <w:r>
        <w:t xml:space="preserve">Technician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Activation: set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requests list (pending / processing / uploaded)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result form (file + notes → deliver to patient)</w:t>
      </w:r>
    </w:p>
    <w:p>
      <w:pPr>
        <w:pStyle w:val="Heading2"/>
      </w:pPr>
      <w:r>
        <w:t xml:space="preserve">3c. Super Admin Panel (medilink.com/super-admin)</w:t>
      </w:r>
    </w:p>
    <w:p>
      <w:pPr>
        <w:spacing w:after="120"/>
      </w:pPr>
      <w:r>
        <w:t xml:space="preserve">Private, IP-allowlisted, mandatory 2FA. Platform health and governance — not day-to-day clinic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+ 2FA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dashboard (cross-clinic bookings, revenue, active users)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 management (create clinic, set admin seats &amp; permissions, suspend/unsuspend)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clinic admin (invite)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 (search, change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moderation (escalated/flagged reviews)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 (immutable, searchable)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config (SMS templates, AI prompts, fee %)</w:t>
      </w:r>
    </w:p>
    <w:p>
      <w:r>
        <w:br w:type="page"/>
      </w:r>
    </w:p>
    <w:p>
      <w:pPr>
        <w:pStyle w:val="Heading1"/>
      </w:pPr>
      <w:r>
        <w:t xml:space="preserve">4. Phase 2 vs. later</w:t>
      </w:r>
    </w:p>
    <w:p>
      <w:pPr>
        <w:spacing w:after="120"/>
      </w:pPr>
      <w:r>
        <w:t xml:space="preserve">Phase 2 should deliver a complete, bookable, paid, end-to-end care loop across all five roles. The principle: everything required to find a doctor, book, pay, attend (in-person or video), and receive records ships in Phase 2. Convenience, optimisation, and compliance-hardening layers come after, except where a regulator or launch market forces them earlier.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30"/>
        <w:gridCol w:w="3330"/>
      </w:tblGrid>
      <w:tr>
        <w:trPr>
          <w:tblHeader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2 (must ship)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Later phase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Email/password, OTP phone verify, social login, RBAC, 2FA for admin/doctor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Patient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Profile, family accounts, medical history, home dashboard, Document Vault, favourites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Doctor/Facility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 &amp; facility profiles, team calendar, reviews, live availability status, review moderation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Scheduling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Booking, reschedule/cancel, queue, web check-in, overbooking control, follow-up rebooking, emergency/walk-in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Waitlist automation, calendar sync (Google/iCal/Outlook), multi-location booking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Payments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Thawani/Ompay integration, invoice/receipt PDF, earnings dashboard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Refund automation, insurance auto-verification (manual confirm in P2)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SMS/email/WhatsApp reminders, push, in-app centre, secure messaging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Broadcast announcements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Symptom checker, AI doctor suggestion, AI post-visit summary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scheduling assistant, prescription OCR scanner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Telehealth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consultation, pre-consultation form, virtual waiting room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 (all core to P2)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Records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Prescription management, lab results delivery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Analytics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Facility analytics, revenue reports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performance metrics, PDF report export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System</w:t>
            </w:r>
          </w:p>
        </w:tc>
        <w:tc>
          <w:tcPr>
            <w:tcW w:type="dxa" w:w="4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Bilingual EN/AR (RTL), super admin panel, audit logs, CI/CD, SEO</w:t>
            </w:r>
          </w:p>
        </w:tc>
        <w:tc>
          <w:tcPr>
            <w:tcW w:type="dxa" w:w="333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mode (mobile), dark mode, full GDPR tooling (export/delete) — confirm legal timing</w:t>
            </w:r>
          </w:p>
        </w:tc>
      </w:tr>
    </w:tbl>
    <w:p>
      <w:pPr>
        <w:spacing w:after="60" w:before="100"/>
      </w:pPr>
      <w:r>
        <w:rPr>
          <w:i/>
          <w:iCs/>
          <w:color w:val="2E1A47"/>
          <w:sz w:val="18"/>
          <w:szCs w:val="18"/>
        </w:rPr>
        <w:t xml:space="preserve">Open call for the team: confirm whether telehealth (video) is genuinely Phase 2 or a fast-follow. It is the single biggest scope driver and is marked here as in-scope.</w:t>
      </w:r>
    </w:p>
    <w:p>
      <w:r>
        <w:br w:type="page"/>
      </w:r>
    </w:p>
    <w:p>
      <w:pPr>
        <w:pStyle w:val="Heading1"/>
      </w:pPr>
      <w:r>
        <w:t xml:space="preserve">5. Open questions to close before design/dev</w:t>
      </w:r>
    </w:p>
    <w:p>
      <w:pPr>
        <w:spacing w:after="120"/>
      </w:pPr>
      <w:r>
        <w:t xml:space="preserve">These need answers from product/business before we lock screens. Grouped by theme.</w:t>
      </w:r>
    </w:p>
    <w:p>
      <w:pPr>
        <w:pStyle w:val="Heading3"/>
      </w:pPr>
      <w:r>
        <w:t xml:space="preserve">Scope &amp; sequencing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video telehealth in Phase 2, or a fast-follow? (Biggest scope lever.)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 public SEO patient web a Phase 2 deliverable, or does Phase 2 ship mobile + clinic/admin portals first?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clinic at launch, or multi-clinic from day one? Affects super-admin tooling priority.</w:t>
      </w:r>
    </w:p>
    <w:p>
      <w:pPr>
        <w:pStyle w:val="Heading3"/>
      </w:pPr>
      <w:r>
        <w:t xml:space="preserve">Payments &amp; money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Thawani or Ompay first — or both at launch? Which is the primary gateway?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platform fee model (percentage per booking)? Needed for the payments schema and super-admin config.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Refund policy specifics: full vs. partial cut-off hours, who approves.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Insurance: confirmed as manual admin verification for Phase 2 (auto-verification later)?</w:t>
      </w:r>
    </w:p>
    <w:p>
      <w:pPr>
        <w:pStyle w:val="Heading3"/>
      </w:pPr>
      <w:r>
        <w:t xml:space="preserve">Clinical &amp; compliance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Oman health-data / privacy regulations apply, and do data export + account deletion need to ship in Phase 2 or can they follow?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Digital prescription: is a doctor e-signature legally sufficient in Oman, or is additional verification required?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residency: must patient data be hosted in-region? Affects Supabase project region.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 retention period and what counts as a 'sensitive action' to log.</w:t>
      </w:r>
    </w:p>
    <w:p>
      <w:pPr>
        <w:pStyle w:val="Heading3"/>
      </w:pPr>
      <w:r>
        <w:t xml:space="preserve">Product behaviour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 reminders require pre-approved Meta message templates — who owns getting these approved before launch?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provider: is Daily.co confirmed, and is the per-minute cost acceptable at expected volume?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Bilingual scope: is full Arabic RTL required at launch, or English-first with Arabic as a fast-follow?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Family members are sub-profiles (not separate logins) — confirm this is acceptable for booking on behalf of minors/dependents.</w:t>
      </w:r>
    </w:p>
    <w:p>
      <w:r>
        <w:br w:type="page"/>
      </w:r>
    </w:p>
    <w:p>
      <w:pPr>
        <w:pStyle w:val="Heading1"/>
      </w:pPr>
      <w:r>
        <w:t xml:space="preserve">6. Brand &amp; UI notes (from the guidelines)</w:t>
      </w:r>
    </w:p>
    <w:p>
      <w:pPr>
        <w:spacing w:after="120"/>
      </w:pPr>
      <w:r>
        <w:t xml:space="preserve">These are binding for design and front-end. Pulled directly from the MediLink Brand Identity Guidelines v1.0.</w:t>
      </w:r>
    </w:p>
    <w:p>
      <w:pPr>
        <w:pStyle w:val="Heading2"/>
      </w:pPr>
      <w: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60"/>
        <w:gridCol w:w="3900"/>
      </w:tblGrid>
      <w:tr>
        <w:trPr>
          <w:tblHeader/>
        </w:trPr>
        <w:tc>
          <w:tcPr>
            <w:tcW w:type="dxa" w:w="22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8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3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Russian Violet</w:t>
            </w:r>
          </w:p>
        </w:tc>
        <w:tc>
          <w:tcPr>
            <w:tcW w:type="dxa" w:w="14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#2E1A47</w:t>
            </w:r>
          </w:p>
        </w:tc>
        <w:tc>
          <w:tcPr>
            <w:tcW w:type="dxa" w:w="18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46, 26, 71</w:t>
            </w:r>
          </w:p>
        </w:tc>
        <w:tc>
          <w:tcPr>
            <w:tcW w:type="dxa" w:w="3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brand colour, dark backgrounds, headings, logo on light</w:t>
            </w:r>
          </w:p>
        </w:tc>
      </w:tr>
      <w:tr>
        <w:tc>
          <w:tcPr>
            <w:tcW w:type="dxa" w:w="22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Shocking Lavender</w:t>
            </w:r>
          </w:p>
        </w:tc>
        <w:tc>
          <w:tcPr>
            <w:tcW w:type="dxa" w:w="14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DFC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1A47"/>
                <w:sz w:val="18"/>
                <w:szCs w:val="18"/>
              </w:rPr>
              <w:t xml:space="preserve">#DFC8E7</w:t>
            </w:r>
          </w:p>
        </w:tc>
        <w:tc>
          <w:tcPr>
            <w:tcW w:type="dxa" w:w="18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223, 200, 231</w:t>
            </w:r>
          </w:p>
        </w:tc>
        <w:tc>
          <w:tcPr>
            <w:tcW w:type="dxa" w:w="3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Accent, CTAs, logo on dark, highlights</w:t>
            </w:r>
          </w:p>
        </w:tc>
      </w:tr>
      <w:tr>
        <w:tc>
          <w:tcPr>
            <w:tcW w:type="dxa" w:w="22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Smooth Pastel Blue</w:t>
            </w:r>
          </w:p>
        </w:tc>
        <w:tc>
          <w:tcPr>
            <w:tcW w:type="dxa" w:w="14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C3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1A47"/>
                <w:sz w:val="18"/>
                <w:szCs w:val="18"/>
              </w:rPr>
              <w:t xml:space="preserve">#C3D7EE</w:t>
            </w:r>
          </w:p>
        </w:tc>
        <w:tc>
          <w:tcPr>
            <w:tcW w:type="dxa" w:w="18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195, 215, 238</w:t>
            </w:r>
          </w:p>
        </w:tc>
        <w:tc>
          <w:tcPr>
            <w:tcW w:type="dxa" w:w="3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accent, calm surfaces</w:t>
            </w:r>
          </w:p>
        </w:tc>
      </w:tr>
      <w:tr>
        <w:tc>
          <w:tcPr>
            <w:tcW w:type="dxa" w:w="22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Eye White</w:t>
            </w:r>
          </w:p>
        </w:tc>
        <w:tc>
          <w:tcPr>
            <w:tcW w:type="dxa" w:w="14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shd w:fill="F9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1A47"/>
                <w:sz w:val="18"/>
                <w:szCs w:val="18"/>
              </w:rPr>
              <w:t xml:space="preserve">#F9F4FA</w:t>
            </w:r>
          </w:p>
        </w:tc>
        <w:tc>
          <w:tcPr>
            <w:tcW w:type="dxa" w:w="186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249, 244, 250</w:t>
            </w:r>
          </w:p>
        </w:tc>
        <w:tc>
          <w:tcPr>
            <w:tcW w:type="dxa" w:w="3900"/>
            <w:tcBorders>
              <w:top w:val="single" w:color="D8CCE4" w:sz="1"/>
              <w:left w:val="single" w:color="D8CCE4" w:sz="1"/>
              <w:bottom w:val="single" w:color="D8CCE4" w:sz="1"/>
              <w:right w:val="single" w:color="D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/ base surface</w:t>
            </w:r>
          </w:p>
        </w:tc>
      </w:tr>
    </w:tbl>
    <w:p>
      <w:pPr>
        <w:spacing w:after="60" w:before="80"/>
      </w:pPr>
      <w:r>
        <w:rPr>
          <w:i/>
          <w:iCs/>
          <w:color w:val="666666"/>
          <w:sz w:val="18"/>
          <w:szCs w:val="18"/>
        </w:rPr>
        <w:t xml:space="preserve">Pairings should create soft contrast and a calm, trustworthy healthcare feel. In dark mode, avoid pure black — use a dark surface, not #000.</w:t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Agatho (serif): </w:t>
      </w:r>
      <w:r>
        <w:t xml:space="preserve">headlines, highlighted words, distinctive brand moments. Refined, premium, human.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Manrope (sans): </w:t>
      </w:r>
      <w:r>
        <w:t xml:space="preserve">long-form text, descriptions, captions, and all digital UI content. This is the workhorse interface font.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Abigaila Signature: </w:t>
      </w:r>
      <w:r>
        <w:t xml:space="preserve">special brand moments and personal notes only — not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29LT Zarid Sans: </w:t>
      </w:r>
      <w:r>
        <w:t xml:space="preserve">Arabic headlines, body, and bilingual communication.</w:t>
      </w:r>
    </w:p>
    <w:p>
      <w:pPr>
        <w:pStyle w:val="Heading2"/>
      </w:pPr>
      <w:r>
        <w:t xml:space="preserve">Logo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dark purple logo on light backgrounds, light lavender on dark — maintain strong contrast.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clear space around the full logo = the size of the “M”. For the “Me” submark, clear space = ¼ of the “M”.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alter, distort, recolour, outline, add shadows, or reduce logo visibility. Approved versions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“Me” submark for small applications — app icon, favicon, profile avatars.</w:t>
      </w:r>
    </w:p>
    <w:p>
      <w:pPr>
        <w:pStyle w:val="Heading2"/>
      </w:pPr>
      <w:r>
        <w:t xml:space="preserve">Tone of voice</w:t>
      </w:r>
    </w:p>
    <w:p>
      <w:pPr>
        <w:spacing w:after="120"/>
      </w:pPr>
      <w:r>
        <w:t xml:space="preserve">Clear · Human · Empathetic · Trustworthy · Helpful. All UI copy, notifications, AI summaries, and error states must read this way — plain language, no jargon. Tagline: “Your Link to Better Care.”</w:t>
      </w:r>
    </w:p>
    <w:p>
      <w:pPr>
        <w:pStyle w:val="Heading2"/>
      </w:pPr>
      <w: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buttons use the brand's soft angled shape (not plain rectangles) — e.g. “Find Your Care”, “Book Online”, “Book Now”.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soft, connection-inspired shapes and dot/blob patterns as backgrounds and accents — friendly, modern, digital-healthcare feel.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 / nav icons follow the simple line-icon style (Care, Reviews, Book, Tips, Doctors).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identity: app icon and favicon use the “Me” submark on Russian Violet.</w:t>
      </w:r>
    </w:p>
    <w:p>
      <w:pPr>
        <w:pStyle w:val="Heading1"/>
      </w:pPr>
      <w:r>
        <w:t xml:space="preserve">7. Suggested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Team review of this doc — close the Section 5 open questions, especially telehealth scope and gateway choice.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the Phase 2 feature set against the F01–F60 spec based on Section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Design: build the design system first (colours, type, components, the soft-shape CTA) before screen design.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Dev: stand up Supabase schema + RLS and the role/auth chain as the foundation, since every surface depends on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Draft for review · Healthcare © 2026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5EC" w:sz="4" w:space="2"/>
      </w:pBdr>
      <w:tabs>
        <w:tab w:val="right" w:pos="9360"/>
      </w:tabs>
    </w:pPr>
    <w:r>
      <w:rPr>
        <w:b/>
        <w:bCs/>
        <w:color w:val="2E1A47"/>
        <w:sz w:val="18"/>
        <w:szCs w:val="18"/>
      </w:rPr>
      <w:t xml:space="preserve">MediLink</w:t>
    </w:r>
    <w:r>
      <w:rPr>
        <w:color w:val="666666"/>
        <w:sz w:val="16"/>
        <w:szCs w:val="16"/>
      </w:rPr>
      <w:t xml:space="preserve">	Phase 2 — Scope &amp; Screen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1A47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FC8E7" w:sz="6" w:space="4"/>
      </w:pBdr>
      <w:spacing w:after="140" w:before="280"/>
      <w:outlineLvl w:val="0"/>
    </w:pPr>
    <w:rPr>
      <w:rFonts w:ascii="Arial" w:cs="Arial" w:eastAsia="Arial" w:hAnsi="Arial"/>
      <w:b/>
      <w:bCs/>
      <w:color w:val="2E1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1A4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A32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MediLink — Phase 2 Scope &amp; Screen Breakdown</dc:title>
  <dc:creator>MediLink</dc:creator>
  <cp:lastModifiedBy>Un-named</cp:lastModifiedBy>
  <cp:revision>1</cp:revision>
  <dcterms:created xsi:type="dcterms:W3CDTF">2026-06-15T08:38:01.359Z</dcterms:created>
  <dcterms:modified xsi:type="dcterms:W3CDTF">2026-06-15T08:38:01.359Z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