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B5D4B"/>
          <w:sz w:val="44"/>
          <w:szCs w:val="44"/>
        </w:rPr>
        <w:t xml:space="preserve">Mettre en place un laboratoire d’innovation des données</w:t>
      </w:r>
    </w:p>
    <w:p>
      <w:pPr>
        <w:spacing w:after="600"/>
        <w:jc w:val="center"/>
      </w:pPr>
      <w:r>
        <w:rPr>
          <w:color w:val="333333"/>
          <w:sz w:val="28"/>
          <w:szCs w:val="28"/>
        </w:rPr>
        <w:t xml:space="preserve">Synthèse commentée en français du guide pratique de la BAD sur le modèle de maturité de l’innovation des données (initiative DI4A, octobre 2025)</w:t>
      </w:r>
    </w:p>
    <w:p>
      <w:pPr>
        <w:spacing w:after="120"/>
        <w:jc w:val="center"/>
      </w:pPr>
      <w:r>
        <w:rPr>
          <w:b/>
          <w:bCs/>
          <w:sz w:val="24"/>
          <w:szCs w:val="24"/>
        </w:rPr>
        <w:t xml:space="preserve">Document de travail</w:t>
      </w:r>
    </w:p>
    <w:p>
      <w:pPr>
        <w:spacing w:after="1600"/>
        <w:jc w:val="center"/>
      </w:pPr>
      <w:r>
        <w:rPr>
          <w:sz w:val="24"/>
          <w:szCs w:val="24"/>
        </w:rPr>
        <w:t xml:space="preserve">Octobre 2026</w:t>
      </w:r>
    </w:p>
    <w:p>
      <w:pPr>
        <w:pBdr>
          <w:left w:val="single" w:color="0B5D4B" w:sz="18" w:space="8"/>
        </w:pBdr>
        <w:shd w:fill="E6F0ED" w:color="auto" w:val="clear"/>
        <w:spacing w:after="160" w:before="120"/>
        <w:ind w:left="200" w:right="200"/>
      </w:pPr>
      <w:r>
        <w:rPr>
          <w:b/>
          <w:bCs/>
        </w:rPr>
        <w:t xml:space="preserve">Avertissement.</w:t>
      </w:r>
      <w:r>
        <w:t xml:space="preserve"> Ce document n’est pas une traduction du guide original et n’en constitue pas une version officielle. Il s’agit d’une synthèse rédigée en français, qui restitue la structure, les concepts et les recommandations du guide « Establishing a Data Innovation Lab: A Practical Guide to Applying the AfDB’s Data Innovation Maturity Model » (Département des statistiques, Banque africaine de développement, octobre 2025). Pour toute citation ou référence formelle, se reporter au texte original en anglais, disponible sur le site de la BAD.</w:t>
      </w:r>
    </w:p>
    <w:p>
      <w:r>
        <w:br w:type="page"/>
      </w:r>
    </w:p>
    <w:p>
      <w:pPr>
        <w:pStyle w:val="Heading1"/>
      </w:pPr>
      <w:r>
        <w:t xml:space="preserve">Sommaire</w:t>
      </w:r>
    </w:p>
    <w:p>
      <w:pPr>
        <w:tabs>
          <w:tab w:val="right" w:pos="9300" w:leader="dot"/>
        </w:tabs>
        <w:spacing w:after="100"/>
      </w:pPr>
      <w:r>
        <w:t xml:space="preserve">Principaux sigles</w:t>
      </w:r>
      <w:r>
        <w:t xml:space="preserve">	3</w:t>
      </w:r>
    </w:p>
    <w:p>
      <w:pPr>
        <w:tabs>
          <w:tab w:val="right" w:pos="9300" w:leader="dot"/>
        </w:tabs>
        <w:spacing w:after="100"/>
      </w:pPr>
      <w:r>
        <w:t xml:space="preserve">Présentation du guide</w:t>
      </w:r>
      <w:r>
        <w:t xml:space="preserve">	3</w:t>
      </w:r>
    </w:p>
    <w:p>
      <w:pPr>
        <w:tabs>
          <w:tab w:val="right" w:pos="9300" w:leader="dot"/>
        </w:tabs>
        <w:spacing w:after="100"/>
      </w:pPr>
      <w:r>
        <w:t xml:space="preserve">1. Pourquoi innover en statistique</w:t>
      </w:r>
      <w:r>
        <w:t xml:space="preserve">	4</w:t>
      </w:r>
    </w:p>
    <w:p>
      <w:pPr>
        <w:tabs>
          <w:tab w:val="right" w:pos="9300" w:leader="dot"/>
        </w:tabs>
        <w:spacing w:after="100"/>
      </w:pPr>
      <w:r>
        <w:t xml:space="preserve">2. L’innovation dans la chaîne de valeur statistique</w:t>
      </w:r>
      <w:r>
        <w:t xml:space="preserve">	5</w:t>
      </w:r>
    </w:p>
    <w:p>
      <w:pPr>
        <w:tabs>
          <w:tab w:val="right" w:pos="9300" w:leader="dot"/>
        </w:tabs>
        <w:spacing w:after="100"/>
      </w:pPr>
      <w:r>
        <w:t xml:space="preserve">3. Les initiatives de la communauté statistique</w:t>
      </w:r>
      <w:r>
        <w:t xml:space="preserve">	6</w:t>
      </w:r>
    </w:p>
    <w:p>
      <w:pPr>
        <w:tabs>
          <w:tab w:val="right" w:pos="9300" w:leader="dot"/>
        </w:tabs>
        <w:spacing w:after="100"/>
      </w:pPr>
      <w:r>
        <w:t xml:space="preserve">4. L’initiative DIL de la BAD</w:t>
      </w:r>
      <w:r>
        <w:t xml:space="preserve">	7</w:t>
      </w:r>
    </w:p>
    <w:p>
      <w:pPr>
        <w:tabs>
          <w:tab w:val="right" w:pos="9300" w:leader="dot"/>
        </w:tabs>
        <w:spacing w:after="100"/>
      </w:pPr>
      <w:r>
        <w:t xml:space="preserve">5. Le DIL dans l’appui de la BAD aux systèmes statistiques</w:t>
      </w:r>
      <w:r>
        <w:t xml:space="preserve">	7</w:t>
      </w:r>
    </w:p>
    <w:p>
      <w:pPr>
        <w:tabs>
          <w:tab w:val="right" w:pos="9300" w:leader="dot"/>
        </w:tabs>
        <w:spacing w:after="100"/>
      </w:pPr>
      <w:r>
        <w:t xml:space="preserve">6. Qu’est-ce qu’un laboratoire d’innovation des données ?</w:t>
      </w:r>
      <w:r>
        <w:t xml:space="preserve">	8</w:t>
      </w:r>
    </w:p>
    <w:p>
      <w:pPr>
        <w:tabs>
          <w:tab w:val="right" w:pos="9300" w:leader="dot"/>
        </w:tabs>
        <w:spacing w:after="100"/>
      </w:pPr>
      <w:r>
        <w:t xml:space="preserve">7. Les interventions types d’un projet DIL national</w:t>
      </w:r>
      <w:r>
        <w:t xml:space="preserve">	9</w:t>
      </w:r>
    </w:p>
    <w:p>
      <w:pPr>
        <w:tabs>
          <w:tab w:val="right" w:pos="9300" w:leader="dot"/>
        </w:tabs>
        <w:spacing w:after="100"/>
      </w:pPr>
      <w:r>
        <w:t xml:space="preserve">8. Questions de mise en œuvre</w:t>
      </w:r>
      <w:r>
        <w:t xml:space="preserve">	11</w:t>
      </w:r>
    </w:p>
    <w:p>
      <w:pPr>
        <w:tabs>
          <w:tab w:val="right" w:pos="9300" w:leader="dot"/>
        </w:tabs>
        <w:spacing w:after="100"/>
      </w:pPr>
      <w:r>
        <w:t xml:space="preserve">9. Enseignements tirés des pays pilotes</w:t>
      </w:r>
      <w:r>
        <w:t xml:space="preserve">	11</w:t>
      </w:r>
    </w:p>
    <w:p>
      <w:pPr>
        <w:tabs>
          <w:tab w:val="right" w:pos="9300" w:leader="dot"/>
        </w:tabs>
        <w:spacing w:after="100"/>
      </w:pPr>
      <w:r>
        <w:t xml:space="preserve">10. Bonnes pratiques observées</w:t>
      </w:r>
      <w:r>
        <w:t xml:space="preserve">	12</w:t>
      </w:r>
    </w:p>
    <w:p>
      <w:pPr>
        <w:tabs>
          <w:tab w:val="right" w:pos="9300" w:leader="dot"/>
        </w:tabs>
        <w:spacing w:after="100"/>
      </w:pPr>
      <w:r>
        <w:t xml:space="preserve">11. Un modèle simplifié est-il possible ?</w:t>
      </w:r>
      <w:r>
        <w:t xml:space="preserve">	13</w:t>
      </w:r>
    </w:p>
    <w:p>
      <w:pPr>
        <w:tabs>
          <w:tab w:val="right" w:pos="9300" w:leader="dot"/>
        </w:tabs>
        <w:spacing w:after="100"/>
      </w:pPr>
      <w:r>
        <w:t xml:space="preserve">12. Perspectives de l’initiative</w:t>
      </w:r>
      <w:r>
        <w:t xml:space="preserve">	13</w:t>
      </w:r>
    </w:p>
    <w:p>
      <w:pPr>
        <w:tabs>
          <w:tab w:val="right" w:pos="9300" w:leader="dot"/>
        </w:tabs>
        <w:spacing w:after="100"/>
      </w:pPr>
      <w:r>
        <w:t xml:space="preserve">Annexes du guide : présentation</w:t>
      </w:r>
      <w:r>
        <w:t xml:space="preserve">	14</w:t>
      </w:r>
    </w:p>
    <w:p>
      <w:pPr>
        <w:tabs>
          <w:tab w:val="right" w:pos="9300" w:leader="dot"/>
        </w:tabs>
        <w:spacing w:after="100"/>
      </w:pPr>
      <w:r>
        <w:t xml:space="preserve">Observations sur le texte original</w:t>
      </w:r>
      <w:r>
        <w:t xml:space="preserve">	15</w:t>
      </w:r>
    </w:p>
    <w:p>
      <w:r>
        <w:br w:type="page"/>
      </w:r>
    </w:p>
    <w:p>
      <w:pPr>
        <w:pStyle w:val="Heading1"/>
      </w:pPr>
      <w:r>
        <w:t xml:space="preserve">Principaux sigles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00"/>
      </w:tblGrid>
      <w:tr>
        <w:trPr>
          <w:tblHeader/>
        </w:trPr>
        <w:tc>
          <w:tcPr>
            <w:tcW w:type="dxa" w:w="18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Sigle</w:t>
            </w:r>
          </w:p>
        </w:tc>
        <w:tc>
          <w:tcPr>
            <w:tcW w:type="dxa" w:w="37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Signification en français</w:t>
            </w:r>
          </w:p>
        </w:tc>
        <w:tc>
          <w:tcPr>
            <w:tcW w:type="dxa" w:w="35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Équivalent anglais</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BAD</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Banque africaine de développement</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AfDB</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DI4A</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Initiative « Innovation des données pour l’Afrique »</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Data Innovation for Africa</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DIL / LID</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Laboratoire d’innovation des données</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Data Innovation Lab</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AIH</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Autoroute africaine de l’information</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Africa Information Highway</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ECST</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Département des statistiques de la BAD</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Statistics Department</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INS</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Institut national de la statistique</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NSO</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SSN</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Système statistique national</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NSS</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SNDS</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Stratégie nationale de développement de la statistique</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NSDS</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SND</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Stratégie nationale des données</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National Data Strategy</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PMR</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Pays membres régionaux de la BAD</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RMC</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PTF</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Partenaires techniques et financiers</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TFP</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ODD</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Objectifs de développement durable</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SDG</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GSBPM</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Modèle générique du processus de production statistique</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GSBPM</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UNQAF</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Cadre d’assurance qualité des Nations unies</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UNQAF</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SDMX</w:t>
            </w:r>
          </w:p>
        </w:tc>
        <w:tc>
          <w:tcPr>
            <w:tcW w:type="dxa" w:w="3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Norme d’échange de données et métadonnées statistiques</w:t>
            </w:r>
          </w:p>
        </w:tc>
        <w:tc>
          <w:tcPr>
            <w:tcW w:type="dxa" w:w="3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SDMX</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DDP</w:t>
            </w:r>
          </w:p>
        </w:tc>
        <w:tc>
          <w:tcPr>
            <w:tcW w:type="dxa" w:w="3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Partenariat pour les données du développement</w:t>
            </w:r>
          </w:p>
        </w:tc>
        <w:tc>
          <w:tcPr>
            <w:tcW w:type="dxa" w:w="3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Development Data Partnership</w:t>
            </w:r>
          </w:p>
        </w:tc>
      </w:tr>
    </w:tbl>
    <w:p>
      <w:pPr>
        <w:spacing w:after="120"/>
      </w:pPr>
    </w:p>
    <w:p>
      <w:pPr>
        <w:pStyle w:val="Heading1"/>
      </w:pPr>
      <w:r>
        <w:t xml:space="preserve">Présentation du guide</w:t>
      </w:r>
    </w:p>
    <w:p>
      <w:pPr>
        <w:pStyle w:val="Heading2"/>
      </w:pPr>
      <w:r>
        <w:t xml:space="preserve">Objet et public</w:t>
      </w:r>
    </w:p>
    <w:p>
      <w:pPr>
        <w:spacing w:after="120" w:line="276"/>
        <w:jc w:val="both"/>
      </w:pPr>
      <w:r>
        <w:t xml:space="preserve">Le guide est produit par l’équipe « innovation des données » du Département des statistiques de la BAD. Il s’adresse aux instituts nationaux de la statistique africains et à leurs partenaires qui souhaitent intégrer l’innovation dans leur fonctionnement. Il poursuit deux buts : présenter l’initiative DIL de la Banque et ses premiers résultats, et fournir une méthode pour créer un laboratoire d’innovation des données à l’échelle nationale.</w:t>
      </w:r>
    </w:p>
    <w:p>
      <w:pPr>
        <w:pStyle w:val="Heading2"/>
      </w:pPr>
      <w:r>
        <w:t xml:space="preserve">Les questions directrices</w:t>
      </w:r>
    </w:p>
    <w:p>
      <w:pPr>
        <w:spacing w:after="120" w:line="276"/>
        <w:jc w:val="both"/>
      </w:pPr>
      <w:r>
        <w:t xml:space="preserve">L’avant-propos du Directeur du Département des statistiques organise la réflexion autour de quatre interrogations :</w:t>
      </w:r>
    </w:p>
    <w:p>
      <w:pPr>
        <w:pStyle w:val="ListParagraph"/>
        <w:numPr>
          <w:ilvl w:val="0"/>
          <w:numId w:val="2"/>
        </w:numPr>
        <w:spacing w:after="60"/>
      </w:pPr>
      <w:r>
        <w:t xml:space="preserve">Que recouvre l’innovation en statistique ?</w:t>
      </w:r>
    </w:p>
    <w:p>
      <w:pPr>
        <w:pStyle w:val="ListParagraph"/>
        <w:numPr>
          <w:ilvl w:val="0"/>
          <w:numId w:val="2"/>
        </w:numPr>
        <w:spacing w:after="60"/>
      </w:pPr>
      <w:r>
        <w:t xml:space="preserve">En quoi permet-elle de mieux répondre aux besoins changeants des utilisateurs ?</w:t>
      </w:r>
    </w:p>
    <w:p>
      <w:pPr>
        <w:pStyle w:val="ListParagraph"/>
        <w:numPr>
          <w:ilvl w:val="0"/>
          <w:numId w:val="2"/>
        </w:numPr>
        <w:spacing w:after="60"/>
      </w:pPr>
      <w:r>
        <w:t xml:space="preserve">Quelles dimensions prendre en compte pour bâtir un plan d’action d’innovation ?</w:t>
      </w:r>
    </w:p>
    <w:p>
      <w:pPr>
        <w:pStyle w:val="ListParagraph"/>
        <w:numPr>
          <w:ilvl w:val="0"/>
          <w:numId w:val="2"/>
        </w:numPr>
        <w:spacing w:after="60"/>
      </w:pPr>
      <w:r>
        <w:t xml:space="preserve">Comment évaluer si un écosystème de données est prêt à se transformer ?</w:t>
      </w:r>
    </w:p>
    <w:p>
      <w:pPr>
        <w:spacing w:after="120" w:line="276"/>
        <w:jc w:val="both"/>
      </w:pPr>
      <w:r>
        <w:t xml:space="preserve">Le message central est que l’innovation dans les données relève de l’investissement stratégique et non du luxe.</w:t>
      </w:r>
    </w:p>
    <w:p>
      <w:pPr>
        <w:pStyle w:val="Heading2"/>
      </w:pPr>
      <w:r>
        <w:t xml:space="preserve">Les pays pilotes</w:t>
      </w:r>
    </w:p>
    <w:p>
      <w:pPr>
        <w:spacing w:after="120" w:line="276"/>
        <w:jc w:val="both"/>
      </w:pPr>
      <w:r>
        <w:t xml:space="preserve">Le modèle de maturité a été appliqué lors de missions de diagnostic en Tunisie, au Sénégal, en Côte d’Ivoire, au Nigeria, au Cameroun et en Zambie entre fin 2023 et avril 2025. L’annexe 7 mentionne également le Botswana. Les dates de certaines missions diffèrent d’un chapitre à l’autre dans le texte original.</w:t>
      </w:r>
    </w:p>
    <w:p>
      <w:pPr>
        <w:pStyle w:val="Heading1"/>
      </w:pPr>
      <w:r>
        <w:t xml:space="preserve">1. Pourquoi innover en statistique</w:t>
      </w:r>
    </w:p>
    <w:p>
      <w:pPr>
        <w:pStyle w:val="Heading2"/>
      </w:pPr>
      <w:r>
        <w:t xml:space="preserve">1.1 Les défis de la statistique officielle en Afrique</w:t>
      </w:r>
    </w:p>
    <w:p>
      <w:pPr>
        <w:spacing w:after="120" w:line="276"/>
        <w:jc w:val="both"/>
      </w:pPr>
      <w:r>
        <w:t xml:space="preserve">Le guide décrit une convergence de pressions inédite. La statistique officielle s’est toujours adaptée, notamment à l’essor de l’informatique, sans renoncer à ses principes d’indépendance, d’intégrité et de qualité. Mais les tensions actuelles sont d’une autre ampleur :</w:t>
      </w:r>
    </w:p>
    <w:p>
      <w:pPr>
        <w:pStyle w:val="ListParagraph"/>
        <w:numPr>
          <w:ilvl w:val="0"/>
          <w:numId w:val="3"/>
        </w:numPr>
        <w:spacing w:after="60"/>
      </w:pPr>
      <w:r>
        <w:rPr>
          <w:b/>
          <w:bCs/>
        </w:rPr>
        <w:t xml:space="preserve">La surabondance de données.</w:t>
      </w:r>
      <w:r>
        <w:t xml:space="preserve"> Les activités économiques et sociales produisent des volumes considérables d’informations, encore accrus par les initiatives de données ouvertes. La statistique officielle doit défendre sa visibilité face à des données plus rapides mais de qualité incertaine.</w:t>
      </w:r>
    </w:p>
    <w:p>
      <w:pPr>
        <w:pStyle w:val="ListParagraph"/>
        <w:numPr>
          <w:ilvl w:val="0"/>
          <w:numId w:val="3"/>
        </w:numPr>
        <w:spacing w:after="60"/>
      </w:pPr>
      <w:r>
        <w:rPr>
          <w:b/>
          <w:bCs/>
        </w:rPr>
        <w:t xml:space="preserve">Le décalage de temporalité.</w:t>
      </w:r>
      <w:r>
        <w:t xml:space="preserve"> Les utilisateurs veulent des informations immédiates, fines et adaptées à leurs besoins, alors que les méthodes rigoureuses de la statistique officielle demandent du temps.</w:t>
      </w:r>
    </w:p>
    <w:p>
      <w:pPr>
        <w:pStyle w:val="ListParagraph"/>
        <w:numPr>
          <w:ilvl w:val="0"/>
          <w:numId w:val="3"/>
        </w:numPr>
        <w:spacing w:after="60"/>
      </w:pPr>
      <w:r>
        <w:rPr>
          <w:b/>
          <w:bCs/>
        </w:rPr>
        <w:t xml:space="preserve">L’accélération technologique.</w:t>
      </w:r>
      <w:r>
        <w:t xml:space="preserve"> Les outils de collecte, de traitement, de stockage, d’analyse et de diffusion évoluent sans cesse, ce qui exige une veille, de la souplesse organisationnelle et des moyens.</w:t>
      </w:r>
    </w:p>
    <w:p>
      <w:pPr>
        <w:pStyle w:val="ListParagraph"/>
        <w:numPr>
          <w:ilvl w:val="0"/>
          <w:numId w:val="3"/>
        </w:numPr>
        <w:spacing w:after="60"/>
      </w:pPr>
      <w:r>
        <w:rPr>
          <w:b/>
          <w:bCs/>
        </w:rPr>
        <w:t xml:space="preserve">Le facteur humain.</w:t>
      </w:r>
      <w:r>
        <w:t xml:space="preserve"> Il ne s’agit pas de transformer chaque statisticien en data scientist, mais de lui permettre de comprendre le nouvel écosystème. Les compétences pointues restent rares et le secteur privé les attire davantage.</w:t>
      </w:r>
    </w:p>
    <w:p>
      <w:pPr>
        <w:pStyle w:val="ListParagraph"/>
        <w:numPr>
          <w:ilvl w:val="0"/>
          <w:numId w:val="3"/>
        </w:numPr>
        <w:spacing w:after="60"/>
      </w:pPr>
      <w:r>
        <w:rPr>
          <w:b/>
          <w:bCs/>
        </w:rPr>
        <w:t xml:space="preserve">La contrainte financière.</w:t>
      </w:r>
      <w:r>
        <w:t xml:space="preserve"> Les budgets nationaux sont tendus et l’aide internationale est limitée, de court terme et ciblée, ce qui freine une vision de transformation durable.</w:t>
      </w:r>
    </w:p>
    <w:p>
      <w:pPr>
        <w:spacing w:after="120" w:line="276"/>
        <w:jc w:val="both"/>
      </w:pPr>
      <w:r>
        <w:t xml:space="preserve">Le guide conclut que la statistique officielle doit adopter des approches innovantes, tirer parti des progrès technologiques et investir dans le capital humain.</w:t>
      </w:r>
    </w:p>
    <w:p>
      <w:pPr>
        <w:pStyle w:val="Heading2"/>
      </w:pPr>
      <w:r>
        <w:t xml:space="preserve">1.2 Innover ou disparaître</w:t>
      </w:r>
    </w:p>
    <w:p>
      <w:pPr>
        <w:spacing w:after="120" w:line="276"/>
        <w:jc w:val="both"/>
      </w:pPr>
      <w:r>
        <w:t xml:space="preserve">L’innovation statistique est définie comme l’application de techniques avancées et créatives à toute la chaîne de production : collecte, traitement, analyse et présentation de l’information. Son but est d’améliorer l’efficacité, la précision et la pertinence. Une stratégie d’innovation durable repose selon le guide sur quatre piliers étroitement liés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Pilier</w:t>
            </w:r>
          </w:p>
        </w:tc>
        <w:tc>
          <w:tcPr>
            <w:tcW w:type="dxa" w:w="6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Contenu</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Infrastructure</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Systèmes physiques et numériques pour collecter, stocker, traiter et sécuriser les données à grande échelle ; interopérabilité et chaînes de traitement avancées.</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Partenariats</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Coalitions avec le SSN et des acteurs nouveaux de l’écosystème, pour accéder à des expertises, des outils et des jeux de données complémentaires.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Ressources humaines</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Attirer, former et fidéliser des profils en science des données, analytique et intelligence artificielle ; élargir le renforcement des capacités.</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Dimension sociétale</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Protection de la vie privée, sécurité, usage éthique de l’IA, conformité réglementaire et réformes institutionnelles pour répondre aux besoins de la société.</w:t>
            </w:r>
          </w:p>
        </w:tc>
      </w:tr>
    </w:tbl>
    <w:p>
      <w:pPr>
        <w:spacing w:after="120"/>
      </w:pPr>
    </w:p>
    <w:p>
      <w:pPr>
        <w:pStyle w:val="Heading2"/>
      </w:pPr>
      <w:r>
        <w:t xml:space="preserve">1.3 Moderniser ou transformer</w:t>
      </w:r>
    </w:p>
    <w:p>
      <w:pPr>
        <w:spacing w:after="120" w:line="276"/>
        <w:jc w:val="both"/>
      </w:pPr>
      <w:r>
        <w:t xml:space="preserve">Le guide constate que les SNDS récentes visent surtout la modernisation du système statistique : équipement, formation, réforme du cadre légal, partenariats au sein du SSN. L’innovation y apparaît comme une activité isolée. Il plaide pour aller plus loin, vers une transformation de l’écosystème national de données, en progressant sur trois plans :</w:t>
      </w:r>
    </w:p>
    <w:p>
      <w:pPr>
        <w:pStyle w:val="ListParagraph"/>
        <w:numPr>
          <w:ilvl w:val="0"/>
          <w:numId w:val="4"/>
        </w:numPr>
        <w:spacing w:after="60"/>
      </w:pPr>
      <w:r>
        <w:rPr>
          <w:b/>
          <w:bCs/>
        </w:rPr>
        <w:t xml:space="preserve">Élargir le périmètre</w:t>
      </w:r>
      <w:r>
        <w:t xml:space="preserve"> au-delà du SSN, à tous les acteurs qui produisent des données, y compris comme sous-produit de leur activité, et qui peuvent compléter la statistique officielle.</w:t>
      </w:r>
    </w:p>
    <w:p>
      <w:pPr>
        <w:pStyle w:val="ListParagraph"/>
        <w:numPr>
          <w:ilvl w:val="0"/>
          <w:numId w:val="4"/>
        </w:numPr>
        <w:spacing w:after="60"/>
      </w:pPr>
      <w:r>
        <w:rPr>
          <w:b/>
          <w:bCs/>
        </w:rPr>
        <w:t xml:space="preserve">Intégrer l’innovation de façon transversale</w:t>
      </w:r>
      <w:r>
        <w:t xml:space="preserve">, à chaque étape de la chaîne de valeur, plutôt que comme un projet à part.</w:t>
      </w:r>
    </w:p>
    <w:p>
      <w:pPr>
        <w:pStyle w:val="ListParagraph"/>
        <w:numPr>
          <w:ilvl w:val="0"/>
          <w:numId w:val="4"/>
        </w:numPr>
        <w:spacing w:after="60"/>
      </w:pPr>
      <w:r>
        <w:rPr>
          <w:b/>
          <w:bCs/>
        </w:rPr>
        <w:t xml:space="preserve">Renforcer la coordination et la collaboration</w:t>
      </w:r>
      <w:r>
        <w:t xml:space="preserve"> entre acteurs, non seulement pour échanger des données mais pour concevoir ensemble des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Critère</w:t>
            </w:r>
          </w:p>
        </w:tc>
        <w:tc>
          <w:tcPr>
            <w:tcW w:type="dxa" w:w="3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Modernisation du système statistique</w:t>
            </w:r>
          </w:p>
        </w:tc>
        <w:tc>
          <w:tcPr>
            <w:tcW w:type="dxa" w:w="3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Transformation de l’écosystème de données</w:t>
            </w:r>
          </w:p>
        </w:tc>
      </w:tr>
      <w:tr>
        <w:trPr>
          <w:tblHeader w:val="false"/>
        </w:trPr>
        <w:tc>
          <w:tcPr>
            <w:tcW w:type="dxa" w:w="22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Finalité</w:t>
            </w:r>
          </w:p>
        </w:tc>
        <w:tc>
          <w:tcPr>
            <w:tcW w:type="dxa" w:w="3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Améliorer la qualité, la fiabilité et l’accessibilité des statistiques officielles</w:t>
            </w:r>
          </w:p>
        </w:tc>
        <w:tc>
          <w:tcPr>
            <w:tcW w:type="dxa" w:w="3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Créer un environnement ouvert, dynamique et collaboratif autour des données</w:t>
            </w:r>
          </w:p>
        </w:tc>
      </w:tr>
      <w:tr>
        <w:trPr>
          <w:tblHeader w:val="false"/>
        </w:trPr>
        <w:tc>
          <w:tcPr>
            <w:tcW w:type="dxa" w:w="22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Nature</w:t>
            </w:r>
          </w:p>
        </w:tc>
        <w:tc>
          <w:tcPr>
            <w:tcW w:type="dxa" w:w="3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Interne, institutionnelle</w:t>
            </w:r>
          </w:p>
        </w:tc>
        <w:tc>
          <w:tcPr>
            <w:tcW w:type="dxa" w:w="3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Globale, systémique</w:t>
            </w:r>
          </w:p>
        </w:tc>
      </w:tr>
      <w:tr>
        <w:trPr>
          <w:tblHeader w:val="false"/>
        </w:trPr>
        <w:tc>
          <w:tcPr>
            <w:tcW w:type="dxa" w:w="22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Acteurs</w:t>
            </w:r>
          </w:p>
        </w:tc>
        <w:tc>
          <w:tcPr>
            <w:tcW w:type="dxa" w:w="3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Principalement les membres du SSN</w:t>
            </w:r>
          </w:p>
        </w:tc>
        <w:tc>
          <w:tcPr>
            <w:tcW w:type="dxa" w:w="3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Tous les détenteurs, producteurs et utilisateurs de données</w:t>
            </w:r>
          </w:p>
        </w:tc>
      </w:tr>
      <w:tr>
        <w:trPr>
          <w:tblHeader w:val="false"/>
        </w:trPr>
        <w:tc>
          <w:tcPr>
            <w:tcW w:type="dxa" w:w="22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Enjeux clés</w:t>
            </w:r>
          </w:p>
        </w:tc>
        <w:tc>
          <w:tcPr>
            <w:tcW w:type="dxa" w:w="3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Fiabilité, indépendance, accessibilité</w:t>
            </w:r>
          </w:p>
        </w:tc>
        <w:tc>
          <w:tcPr>
            <w:tcW w:type="dxa" w:w="3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Interopérabilité, transparence, gouvernance, innovation</w:t>
            </w:r>
          </w:p>
        </w:tc>
      </w:tr>
    </w:tbl>
    <w:p>
      <w:pPr>
        <w:spacing w:after="120"/>
      </w:pPr>
    </w:p>
    <w:p>
      <w:pPr>
        <w:pStyle w:val="Heading1"/>
      </w:pPr>
      <w:r>
        <w:t xml:space="preserve">2. L’innovation dans la chaîne de valeur statistique</w:t>
      </w:r>
    </w:p>
    <w:p>
      <w:pPr>
        <w:spacing w:after="120" w:line="276"/>
        <w:jc w:val="both"/>
      </w:pPr>
      <w:r>
        <w:t xml:space="preserve">Le guide insiste sur un principe : l’innovation doit naître au plus près des opérations, portée par les techniciens qui connaissent les outils et les processus. Il faut leur donner les compétences, le temps et le soutien nécessaires pour examiner leurs pratiques et proposer des améliorations. L’expertise spécialisée vient en appui, mais ce sont les équipes opérationnelles qui doivent s’approprier et adapter les innovations.</w:t>
      </w:r>
    </w:p>
    <w:p>
      <w:pPr>
        <w:spacing w:after="120" w:line="276"/>
        <w:jc w:val="both"/>
      </w:pPr>
      <w:r>
        <w:t xml:space="preserve">La chaîne de valeur est décrite en six étapes interdépendantes. Le guide précise que la définition des méthodes et des normes, en amont, n’est pas traitée.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Étape</w:t>
            </w:r>
          </w:p>
        </w:tc>
        <w:tc>
          <w:tcPr>
            <w:tcW w:type="dxa" w:w="67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Exemples d’innovations</w:t>
            </w:r>
          </w:p>
        </w:tc>
      </w:tr>
      <w:tr>
        <w:trPr>
          <w:tblHeader w:val="false"/>
        </w:trPr>
        <w:tc>
          <w:tcPr>
            <w:tcW w:type="dxa" w:w="23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Mobilisation des sources</w:t>
            </w:r>
          </w:p>
        </w:tc>
        <w:tc>
          <w:tcPr>
            <w:tcW w:type="dxa" w:w="6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Recensements, enquêtes et fichiers administratifs, mais aussi imagerie satellitaire, téléphonie mobile, capteurs, plateformes numériques, données participatives et données ouvertes.</w:t>
            </w:r>
          </w:p>
        </w:tc>
      </w:tr>
      <w:tr>
        <w:trPr>
          <w:tblHeader w:val="false"/>
        </w:trPr>
        <w:tc>
          <w:tcPr>
            <w:tcW w:type="dxa" w:w="23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Collecte</w:t>
            </w:r>
          </w:p>
        </w:tc>
        <w:tc>
          <w:tcPr>
            <w:tcW w:type="dxa" w:w="6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Collecte assistée par terminal (CAPI), enquêtes par internet ou téléphone, moissonnage du web, objets connectés ; gains de rapidité, de précision et de coût.</w:t>
            </w:r>
          </w:p>
        </w:tc>
      </w:tr>
      <w:tr>
        <w:trPr>
          <w:tblHeader w:val="false"/>
        </w:trPr>
        <w:tc>
          <w:tcPr>
            <w:tcW w:type="dxa" w:w="23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Traitement</w:t>
            </w:r>
          </w:p>
        </w:tc>
        <w:tc>
          <w:tcPr>
            <w:tcW w:type="dxa" w:w="6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Validation automatisée, apprentissage automatique pour l’apurement, flux pilotés par les métadonnées, plateformes infonuagiques et chaînes de traitement.</w:t>
            </w:r>
          </w:p>
        </w:tc>
      </w:tr>
      <w:tr>
        <w:trPr>
          <w:tblHeader w:val="false"/>
        </w:trPr>
        <w:tc>
          <w:tcPr>
            <w:tcW w:type="dxa" w:w="23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Stockage et archivage</w:t>
            </w:r>
          </w:p>
        </w:tc>
        <w:tc>
          <w:tcPr>
            <w:tcW w:type="dxa" w:w="6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Stockage infonuagique, bases de données à grande échelle, catalogues et référentiels normalisés, cybersécurité et gouvernance des données.</w:t>
            </w:r>
          </w:p>
        </w:tc>
      </w:tr>
      <w:tr>
        <w:trPr>
          <w:tblHeader w:val="false"/>
        </w:trPr>
        <w:tc>
          <w:tcPr>
            <w:tcW w:type="dxa" w:w="23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Diffusion</w:t>
            </w:r>
          </w:p>
        </w:tc>
        <w:tc>
          <w:tcPr>
            <w:tcW w:type="dxa" w:w="6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Portails de données ouvertes, tableaux de bord interactifs, interfaces de programmation (API), visualisation, réseaux sociaux.</w:t>
            </w:r>
          </w:p>
        </w:tc>
      </w:tr>
      <w:tr>
        <w:trPr>
          <w:tblHeader w:val="false"/>
        </w:trPr>
        <w:tc>
          <w:tcPr>
            <w:tcW w:type="dxa" w:w="23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Analyse</w:t>
            </w:r>
          </w:p>
        </w:tc>
        <w:tc>
          <w:tcPr>
            <w:tcW w:type="dxa" w:w="6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Modélisation économétrique, analyse prédictive, suivi en temps réel, analyse de réseaux, IA ; langages Python et R.</w:t>
            </w:r>
          </w:p>
        </w:tc>
      </w:tr>
    </w:tbl>
    <w:p>
      <w:pPr>
        <w:spacing w:after="120"/>
      </w:pPr>
    </w:p>
    <w:p>
      <w:pPr>
        <w:pStyle w:val="Heading1"/>
      </w:pPr>
      <w:r>
        <w:t xml:space="preserve">3. Les initiatives de la communauté statistique</w:t>
      </w:r>
    </w:p>
    <w:p>
      <w:pPr>
        <w:spacing w:after="120" w:line="276"/>
        <w:jc w:val="both"/>
      </w:pPr>
      <w:r>
        <w:t xml:space="preserve">Le guide passe en revue plusieurs démarches internationales et continentales qui encadrent ou inspirent l’innovation statistique :</w:t>
      </w:r>
    </w:p>
    <w:p>
      <w:pPr>
        <w:pStyle w:val="ListParagraph"/>
        <w:numPr>
          <w:ilvl w:val="0"/>
          <w:numId w:val="3"/>
        </w:numPr>
        <w:spacing w:after="60"/>
      </w:pPr>
      <w:r>
        <w:rPr>
          <w:b/>
          <w:bCs/>
        </w:rPr>
        <w:t xml:space="preserve">Le cadre des Nations unies lié au Pacte numérique mondial</w:t>
      </w:r>
      <w:r>
        <w:t xml:space="preserve">, avec ses axes sur la gouvernance des données, le partenariat sur la mesure des TIC, les travaux du Comité d’experts sur les mégadonnées et la science des données (UN-CEBD), organisé en neuf équipes thématiques, et des événements d’échange.</w:t>
      </w:r>
    </w:p>
    <w:p>
      <w:pPr>
        <w:pStyle w:val="ListParagraph"/>
        <w:numPr>
          <w:ilvl w:val="0"/>
          <w:numId w:val="3"/>
        </w:numPr>
        <w:spacing w:after="60"/>
      </w:pPr>
      <w:r>
        <w:rPr>
          <w:b/>
          <w:bCs/>
        </w:rPr>
        <w:t xml:space="preserve">« Data for Now » (Division de statistique de l’ONU)</w:t>
      </w:r>
      <w:r>
        <w:t xml:space="preserve">, qui vise à améliorer la rapidité, la couverture et la qualité des données sur les ODD grâce à des méthodes innovantes.</w:t>
      </w:r>
    </w:p>
    <w:p>
      <w:pPr>
        <w:pStyle w:val="ListParagraph"/>
        <w:numPr>
          <w:ilvl w:val="0"/>
          <w:numId w:val="3"/>
        </w:numPr>
        <w:spacing w:after="60"/>
      </w:pPr>
      <w:r>
        <w:rPr>
          <w:b/>
          <w:bCs/>
        </w:rPr>
        <w:t xml:space="preserve">La feuille de route 2023–2030 de la CEA</w:t>
      </w:r>
      <w:r>
        <w:t xml:space="preserve"> pour la transformation et la modernisation de la statistique officielle en Afrique, qui distingue des leviers fondamentaux (développement institutionnel et organisationnel) et des leviers prioritaires (processus, technologie, capital humain, capital organisationnel).</w:t>
      </w:r>
    </w:p>
    <w:p>
      <w:pPr>
        <w:pStyle w:val="ListParagraph"/>
        <w:numPr>
          <w:ilvl w:val="0"/>
          <w:numId w:val="3"/>
        </w:numPr>
        <w:spacing w:after="60"/>
      </w:pPr>
      <w:r>
        <w:rPr>
          <w:b/>
          <w:bCs/>
        </w:rPr>
        <w:t xml:space="preserve">Le Fonds pour l’innovation des données de la Banque mondiale</w:t>
      </w:r>
      <w:r>
        <w:t xml:space="preserve">, qui a financé 38 projets sur environ 900 propositions entre 2016 et 2018, avant de fermer début 2021.</w:t>
      </w:r>
    </w:p>
    <w:p>
      <w:pPr>
        <w:pStyle w:val="ListParagraph"/>
        <w:numPr>
          <w:ilvl w:val="0"/>
          <w:numId w:val="3"/>
        </w:numPr>
        <w:spacing w:after="60"/>
      </w:pPr>
      <w:r>
        <w:rPr>
          <w:b/>
          <w:bCs/>
        </w:rPr>
        <w:t xml:space="preserve">La stratégie de transformation numérique de l’Union africaine 2020–2030</w:t>
      </w:r>
      <w:r>
        <w:t xml:space="preserve">, centrée initialement sur la cybersécurité et la protection des données, et qui met l’accent sur les compétences numériques.</w:t>
      </w:r>
    </w:p>
    <w:p>
      <w:pPr>
        <w:pStyle w:val="Heading1"/>
      </w:pPr>
      <w:r>
        <w:t xml:space="preserve">4. L’initiative DIL de la BAD</w:t>
      </w:r>
    </w:p>
    <w:p>
      <w:pPr>
        <w:pStyle w:val="Heading2"/>
      </w:pPr>
      <w:r>
        <w:t xml:space="preserve">4.1 Définition</w:t>
      </w:r>
    </w:p>
    <w:p>
      <w:pPr>
        <w:spacing w:after="120" w:line="276"/>
        <w:jc w:val="both"/>
      </w:pPr>
      <w:r>
        <w:t xml:space="preserve">Le DIL de la Banque est une initiative stratégique qui vise à encourager l’innovation fondée sur les données, à renforcer les capacités statistiques et à accélérer la transformation numérique des écosystèmes de données africains. Il joue le rôle d’incubateur et de plateforme collaborative pour concevoir, tester, déployer et institutionnaliser de nouvelles approches.</w:t>
      </w:r>
    </w:p>
    <w:p>
      <w:pPr>
        <w:pStyle w:val="Heading2"/>
      </w:pPr>
      <w:r>
        <w:t xml:space="preserve">4.2 Quatre objectifs</w:t>
      </w:r>
    </w:p>
    <w:p>
      <w:pPr>
        <w:pStyle w:val="ListParagraph"/>
        <w:numPr>
          <w:ilvl w:val="0"/>
          <w:numId w:val="5"/>
        </w:numPr>
        <w:spacing w:after="60"/>
      </w:pPr>
      <w:r>
        <w:t xml:space="preserve">Créer un environnement favorable à l’innovation à la Banque et dans les PMR, par l’expérimentation, les projets pilotes et les partenariats.</w:t>
      </w:r>
    </w:p>
    <w:p>
      <w:pPr>
        <w:pStyle w:val="ListParagraph"/>
        <w:numPr>
          <w:ilvl w:val="0"/>
          <w:numId w:val="5"/>
        </w:numPr>
        <w:spacing w:after="60"/>
      </w:pPr>
      <w:r>
        <w:t xml:space="preserve">Produire des données augmentées, plus rapides et moins coûteuses, en combinant méthodes classiques et sources nouvelles (satellite, géospatial, fichiers administratifs).</w:t>
      </w:r>
    </w:p>
    <w:p>
      <w:pPr>
        <w:pStyle w:val="ListParagraph"/>
        <w:numPr>
          <w:ilvl w:val="0"/>
          <w:numId w:val="5"/>
        </w:numPr>
        <w:spacing w:after="60"/>
      </w:pPr>
      <w:r>
        <w:t xml:space="preserve">Démystifier les mégadonnées et la science des données par la formation et les projets conjoints.</w:t>
      </w:r>
    </w:p>
    <w:p>
      <w:pPr>
        <w:pStyle w:val="ListParagraph"/>
        <w:numPr>
          <w:ilvl w:val="0"/>
          <w:numId w:val="5"/>
        </w:numPr>
        <w:spacing w:after="60"/>
      </w:pPr>
      <w:r>
        <w:t xml:space="preserve">Constituer un répertoire d’outils open source testés et réutilisables.</w:t>
      </w:r>
    </w:p>
    <w:p>
      <w:pPr>
        <w:pStyle w:val="Heading2"/>
      </w:pPr>
      <w:r>
        <w:t xml:space="preserve">4.3 Deux piliers de mise en œuvre</w:t>
      </w:r>
    </w:p>
    <w:p>
      <w:pPr>
        <w:pStyle w:val="ListParagraph"/>
        <w:numPr>
          <w:ilvl w:val="0"/>
          <w:numId w:val="3"/>
        </w:numPr>
        <w:spacing w:after="60"/>
      </w:pPr>
      <w:r>
        <w:rPr>
          <w:b/>
          <w:bCs/>
        </w:rPr>
        <w:t xml:space="preserve">Créer de la valeur et de l’impact par l’innovation</w:t>
      </w:r>
      <w:r>
        <w:t xml:space="preserve"> : solutions orientées utilisateurs, cycle d’incubation accéléré, compétences et leadership, cadre réglementaire éthique et sûr.</w:t>
      </w:r>
    </w:p>
    <w:p>
      <w:pPr>
        <w:pStyle w:val="ListParagraph"/>
        <w:numPr>
          <w:ilvl w:val="0"/>
          <w:numId w:val="3"/>
        </w:numPr>
        <w:spacing w:after="60"/>
      </w:pPr>
      <w:r>
        <w:rPr>
          <w:b/>
          <w:bCs/>
        </w:rPr>
        <w:t xml:space="preserve">Bâtir des réseaux et des collaborations</w:t>
      </w:r>
      <w:r>
        <w:t xml:space="preserve"> : plateforme de mise en relation, transfert de technologie, normes ouvertes et interopérabilité, mobilisation de financements.</w:t>
      </w:r>
    </w:p>
    <w:p>
      <w:pPr>
        <w:pStyle w:val="Heading2"/>
      </w:pPr>
      <w:r>
        <w:t xml:space="preserve">4.4 Principes directeurs</w:t>
      </w:r>
    </w:p>
    <w:p>
      <w:pPr>
        <w:pStyle w:val="ListParagraph"/>
        <w:numPr>
          <w:ilvl w:val="0"/>
          <w:numId w:val="3"/>
        </w:numPr>
        <w:spacing w:after="60"/>
      </w:pPr>
      <w:r>
        <w:rPr>
          <w:b/>
          <w:bCs/>
        </w:rPr>
        <w:t xml:space="preserve">Augmentation des données</w:t>
      </w:r>
      <w:r>
        <w:t xml:space="preserve"> : compléter les sources traditionnelles par des données à haute fréquence (satellite, téléphonie, transactions financières numériques, capteurs).</w:t>
      </w:r>
    </w:p>
    <w:p>
      <w:pPr>
        <w:pStyle w:val="ListParagraph"/>
        <w:numPr>
          <w:ilvl w:val="0"/>
          <w:numId w:val="3"/>
        </w:numPr>
        <w:spacing w:after="60"/>
      </w:pPr>
      <w:r>
        <w:rPr>
          <w:b/>
          <w:bCs/>
        </w:rPr>
        <w:t xml:space="preserve">Collecter une fois, réutiliser souvent</w:t>
      </w:r>
      <w:r>
        <w:t xml:space="preserve"> : architectures interopérables limitant les doublons et les coûts.</w:t>
      </w:r>
    </w:p>
    <w:p>
      <w:pPr>
        <w:pStyle w:val="ListParagraph"/>
        <w:numPr>
          <w:ilvl w:val="0"/>
          <w:numId w:val="3"/>
        </w:numPr>
        <w:spacing w:after="60"/>
      </w:pPr>
      <w:r>
        <w:rPr>
          <w:b/>
          <w:bCs/>
        </w:rPr>
        <w:t xml:space="preserve">Réduire les frictions</w:t>
      </w:r>
      <w:r>
        <w:t xml:space="preserve"> : formats normalisés, alignement sur SDMX, automatisation, plateformes partagées.</w:t>
      </w:r>
    </w:p>
    <w:p>
      <w:pPr>
        <w:pStyle w:val="ListParagraph"/>
        <w:numPr>
          <w:ilvl w:val="0"/>
          <w:numId w:val="3"/>
        </w:numPr>
        <w:spacing w:after="60"/>
      </w:pPr>
      <w:r>
        <w:rPr>
          <w:b/>
          <w:bCs/>
        </w:rPr>
        <w:t xml:space="preserve">Le partenariat comme valeur centrale</w:t>
      </w:r>
      <w:r>
        <w:t xml:space="preserve"> : intelligence collective, appropriation partagée, co-construction.</w:t>
      </w:r>
    </w:p>
    <w:p>
      <w:pPr>
        <w:pStyle w:val="Heading2"/>
      </w:pPr>
      <w:r>
        <w:t xml:space="preserve">4.5 Quatre axes de travail</w:t>
      </w:r>
    </w:p>
    <w:p>
      <w:pPr>
        <w:spacing w:after="120" w:line="276"/>
        <w:jc w:val="both"/>
      </w:pPr>
      <w:r>
        <w:t xml:space="preserve">Cas d’usage appliqués ; renforcement des capacités et transfert de connaissances ; diagnostics des écosystèmes et mise en réseau ; partenariats stratégiques et gouvernance. L’annexe 7 en recense les activités entre 2022 et 2025.</w:t>
      </w:r>
    </w:p>
    <w:p>
      <w:pPr>
        <w:pStyle w:val="Heading1"/>
      </w:pPr>
      <w:r>
        <w:t xml:space="preserve">5. Le DIL dans l’appui de la BAD aux systèmes statistiques</w:t>
      </w:r>
    </w:p>
    <w:p>
      <w:pPr>
        <w:spacing w:after="120" w:line="276"/>
        <w:jc w:val="both"/>
      </w:pPr>
      <w:r>
        <w:t xml:space="preserve">Le DIL s’inscrit dans le programme AIH lancé en 2012, dont la devise peut se résumer à « révéler la puissance des données en Afrique ». Ce programme vise l’accès public aux statistiques officielles, l’allègement de la charge déclarative, l’usage des normes internationales, la transparence et le renforcement des écosystèmes statistiques.</w:t>
      </w:r>
    </w:p>
    <w:p>
      <w:pPr>
        <w:spacing w:after="120" w:line="276"/>
        <w:jc w:val="both"/>
      </w:pPr>
      <w:r>
        <w:t xml:space="preserve">L’AIH s’articule autour de l’orchestration de l’écosystème continental, des portails de données ouvertes, de la promotion de SDMX et du soutien à l’innovation. Dans ce dernier volet, la Banque a rejoint en 2023 le Partenariat pour les données du développement, afin de faciliter l’accès à des données innovantes sur l’Afrique, de soutenir des alliances et de développer la formation à distance. Un projet pilote a porté sur l’accessibilité des services de santé.</w:t>
      </w:r>
    </w:p>
    <w:p>
      <w:pPr>
        <w:pStyle w:val="Heading1"/>
      </w:pPr>
      <w:r>
        <w:t xml:space="preserve">6. Qu’est-ce qu’un laboratoire d’innovation des données ?</w:t>
      </w:r>
    </w:p>
    <w:p>
      <w:pPr>
        <w:pStyle w:val="Heading2"/>
      </w:pPr>
      <w:r>
        <w:t xml:space="preserve">6.1 Trois fonctions</w:t>
      </w:r>
    </w:p>
    <w:p>
      <w:pPr>
        <w:spacing w:after="120" w:line="276"/>
        <w:jc w:val="both"/>
      </w:pPr>
      <w:r>
        <w:t xml:space="preserve">Un DIL est une plateforme structurée de coopération, d’expérimentation et d’échange qui réunit producteurs, utilisateurs et innovateurs issus de l’administration, du monde académique, du secteur privé et des organisations de développement. Le guide lui attribue trois rôles complémentaires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Rôle</w:t>
            </w:r>
          </w:p>
        </w:tc>
        <w:tc>
          <w:tcPr>
            <w:tcW w:type="dxa" w:w="70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Description</w:t>
            </w:r>
          </w:p>
        </w:tc>
      </w:tr>
      <w:tr>
        <w:trPr>
          <w:tblHeader w:val="false"/>
        </w:trPr>
        <w:tc>
          <w:tcPr>
            <w:tcW w:type="dxa" w:w="20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Catalyseur</w:t>
            </w:r>
          </w:p>
        </w:tc>
        <w:tc>
          <w:tcPr>
            <w:tcW w:type="dxa" w:w="70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Stimuler les idées nouvelles, encourager l’expérimentation, relier les acteurs et diffuser une culture de l’innovation dans les organisations.</w:t>
            </w:r>
          </w:p>
        </w:tc>
      </w:tr>
      <w:tr>
        <w:trPr>
          <w:tblHeader w:val="false"/>
        </w:trPr>
        <w:tc>
          <w:tcPr>
            <w:tcW w:type="dxa" w:w="20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Facilitateur</w:t>
            </w:r>
          </w:p>
        </w:tc>
        <w:tc>
          <w:tcPr>
            <w:tcW w:type="dxa" w:w="70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Offrir un cadre d’échange de connaissances et de bonnes pratiques, nouer des partenariats, renforcer les capacités, poser des règles de gouvernance et de partage, appuyer le financement.</w:t>
            </w:r>
          </w:p>
        </w:tc>
      </w:tr>
      <w:tr>
        <w:trPr>
          <w:tblHeader w:val="false"/>
        </w:trPr>
        <w:tc>
          <w:tcPr>
            <w:tcW w:type="dxa" w:w="20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Innovateur</w:t>
            </w:r>
          </w:p>
        </w:tc>
        <w:tc>
          <w:tcPr>
            <w:tcW w:type="dxa" w:w="70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Servir de banc d’essai pour l’IA, l’analyse géospatiale, l’intégration en temps réel et les méthodes agiles, en produisant des preuves de concept reproductibles. Ce rôle doit répondre aux besoins exprimés par les utilisateurs, sous peine d’isolement.</w:t>
            </w:r>
          </w:p>
        </w:tc>
      </w:tr>
    </w:tbl>
    <w:p>
      <w:pPr>
        <w:spacing w:after="120"/>
      </w:pPr>
    </w:p>
    <w:p>
      <w:pPr>
        <w:pStyle w:val="Heading2"/>
      </w:pPr>
      <w:r>
        <w:t xml:space="preserve">6.2 Créer un DIL</w:t>
      </w:r>
    </w:p>
    <w:p>
      <w:pPr>
        <w:spacing w:after="120" w:line="276"/>
        <w:jc w:val="both"/>
      </w:pPr>
      <w:r>
        <w:t xml:space="preserve">La création d’un DIL dépasse la simple mise en place d’une structure, physique ou virtuelle. Le processus doit être progressif pour obtenir l’adhésion au sein de l’INS, du SSN et au-delà. Il suppose une vision partagée du rôle de l’innovation et des activités échelonnées à court, moyen et long terme.</w:t>
      </w:r>
    </w:p>
    <w:p>
      <w:pPr>
        <w:pStyle w:val="Heading2"/>
      </w:pPr>
      <w:r>
        <w:t xml:space="preserve">6.3 Le modèle de diagnostic en douze dimensions</w:t>
      </w:r>
    </w:p>
    <w:p>
      <w:pPr>
        <w:spacing w:after="120" w:line="276"/>
        <w:jc w:val="both"/>
      </w:pPr>
      <w:r>
        <w:t xml:space="preserve">Le modèle de maturité évalue les conditions nécessaires à une transformation durable de l’écosystème de données. Il ne pondère pas les dimensions et ne sert ni à noter ni à classer les pays. Le premier diagnostic se fait avec l’équipe de la BAD ; les suivants sont conçus pour être menés en autonomie.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800"/>
      </w:tblGrid>
      <w:tr>
        <w:trPr>
          <w:tblHeader/>
        </w:trPr>
        <w:tc>
          <w:tcPr>
            <w:tcW w:type="dxa" w:w="5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N°</w:t>
            </w:r>
          </w:p>
        </w:tc>
        <w:tc>
          <w:tcPr>
            <w:tcW w:type="dxa" w:w="27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Dimension</w:t>
            </w:r>
          </w:p>
        </w:tc>
        <w:tc>
          <w:tcPr>
            <w:tcW w:type="dxa" w:w="58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Ce qui est examiné</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1</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Leadership et adhésion</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Ancrage de la justification du DIL auprès de la direction et du personnel ; diffusion de l’innovation, résistances au changement, partage de la vision.</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2</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Vision stratégique</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Prise en compte de la transformation dans la SNDS, place de la statistique dans les politiques publiques, stratégie données ou IA, organisation interne de l’INS.</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3</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Cadre juridique et institutionnel</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Coordination du SSN, échange d’expériences, gestion responsable des données, interconnexion des acteurs, rôle du Conseil national de la statistique, suivi des ODD.</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4</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Ressources humaines</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Compétences en science des données, dispositifs de formation, partenariats avec les établissements de formation.</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5</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Technologies de l’information</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Infrastructures de collecte, applications d’IA, outils d’analyse et de diffusion.</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6</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Données administratives</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État des lieux, expériences en cours, difficultés rencontrées.</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7</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Sources non conventionnelles</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Expérimentations en cours, en particulier sur les données de téléphonie mobile.</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8</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Partenariats</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Collaborations au sein du SSN et plateformes ou partenariats extérieurs.</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9</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Qualité, normes et standards</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Cadres qualité utilisés, culture de la qualité, application des normes dans le SSN, réputation de l’INS.</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10</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Communication et relations avec les utilisateurs</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Politique de communication, relations avec les usagers, réactivité, disponibilité des données, demandes spécifiques, suivi des usages.</w:t>
            </w:r>
          </w:p>
        </w:tc>
      </w:tr>
      <w:tr>
        <w:trPr>
          <w:tblHeader w:val="false"/>
        </w:trPr>
        <w:tc>
          <w:tcPr>
            <w:tcW w:type="dxa" w:w="5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11</w:t>
            </w:r>
          </w:p>
        </w:tc>
        <w:tc>
          <w:tcPr>
            <w:tcW w:type="dxa" w:w="27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Recherche et analyse</w:t>
            </w:r>
          </w:p>
        </w:tc>
        <w:tc>
          <w:tcPr>
            <w:tcW w:type="dxa" w:w="5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Collaboration avec l’université, usage de l’IA, analyses complexes, accès aux microdonnées, potentiel de recherche national.</w:t>
            </w:r>
          </w:p>
        </w:tc>
      </w:tr>
      <w:tr>
        <w:trPr>
          <w:tblHeader w:val="false"/>
        </w:trPr>
        <w:tc>
          <w:tcPr>
            <w:tcW w:type="dxa" w:w="5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12</w:t>
            </w:r>
          </w:p>
        </w:tc>
        <w:tc>
          <w:tcPr>
            <w:tcW w:type="dxa" w:w="27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Appui technique et financier</w:t>
            </w:r>
          </w:p>
        </w:tc>
        <w:tc>
          <w:tcPr>
            <w:tcW w:type="dxa" w:w="5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Existence d’un groupe de bailleurs, projets à venir, soutien du budget national.</w:t>
            </w:r>
          </w:p>
        </w:tc>
      </w:tr>
    </w:tbl>
    <w:p>
      <w:pPr>
        <w:spacing w:after="120"/>
      </w:pPr>
    </w:p>
    <w:p>
      <w:pPr>
        <w:pBdr>
          <w:left w:val="single" w:color="0B5D4B" w:sz="18" w:space="8"/>
        </w:pBdr>
        <w:shd w:fill="E6F0ED" w:color="auto" w:val="clear"/>
        <w:spacing w:after="160" w:before="120"/>
        <w:ind w:left="200" w:right="200"/>
      </w:pPr>
      <w:r>
        <w:rPr>
          <w:b/>
          <w:bCs/>
        </w:rPr>
        <w:t xml:space="preserve">Point d’attention.</w:t>
      </w:r>
      <w:r>
        <w:t xml:space="preserve"> La figure du guide original représentant les douze dimensions ne coïncide pas exactement avec la liste du texte : elle distingue « vision » et « leadership » et ne fait pas apparaître la dimension « recherche et analyse ». La présente synthèse suit la liste du texte.</w:t>
      </w:r>
    </w:p>
    <w:p>
      <w:pPr>
        <w:pStyle w:val="Heading2"/>
      </w:pPr>
      <w:r>
        <w:t xml:space="preserve">6.4 Qui réalise le diagnostic ?</w:t>
      </w:r>
    </w:p>
    <w:p>
      <w:pPr>
        <w:spacing w:after="120" w:line="276"/>
        <w:jc w:val="both"/>
      </w:pPr>
      <w:r>
        <w:t xml:space="preserve">Le diagnostic accompagne une démarche nationale déjà engagée par l’INS. Ce n’est pas un outil de comparaison entre pays. Idéalement, l’État le conduit lui-même, l’INS jouant un rôle central en associant les acteurs clés. Le guide recommande une approche mixte : auto-évaluation appuyée par une expertise extérieure ciblée, ou premier diagnostic accompagné suivi d’évaluations menées localement. L’essentiel est le dialogue entre parties prenantes que le processus suscite.</w:t>
      </w:r>
    </w:p>
    <w:p>
      <w:pPr>
        <w:pStyle w:val="Heading2"/>
      </w:pPr>
      <w:r>
        <w:t xml:space="preserve">6.5 Présenter les résultats</w:t>
      </w:r>
    </w:p>
    <w:p>
      <w:pPr>
        <w:spacing w:after="120" w:line="276"/>
        <w:jc w:val="both"/>
      </w:pPr>
      <w:r>
        <w:t xml:space="preserve">Chaque question reçoit un code couleur : </w:t>
      </w:r>
      <w:r>
        <w:rPr>
          <w:b/>
          <w:bCs/>
        </w:rPr>
        <w:t xml:space="preserve">vert</w:t>
      </w:r>
      <w:r>
        <w:t xml:space="preserve"> lorsque la situation est favorable, </w:t>
      </w:r>
      <w:r>
        <w:rPr>
          <w:b/>
          <w:bCs/>
        </w:rPr>
        <w:t xml:space="preserve">orange</w:t>
      </w:r>
      <w:r>
        <w:t xml:space="preserve"> lorsqu’elle appelle une attention soutenue, </w:t>
      </w:r>
      <w:r>
        <w:rPr>
          <w:b/>
          <w:bCs/>
        </w:rPr>
        <w:t xml:space="preserve">rouge</w:t>
      </w:r>
      <w:r>
        <w:t xml:space="preserve"> lorsqu’elle exige des mesures prioritaires. Le guide souligne que la réflexion compte davantage que la couleur et qu’il faut repérer des tendances plutôt que fixer des critères rigides. Les résultats sont ensuite présentés sous deux formes : une analyse technique détaillée, question par question, et une synthèse pour les décideurs et les bailleurs, au niveau des douze dimensions ou d’une soixantaine de composantes.</w:t>
      </w:r>
    </w:p>
    <w:p>
      <w:pPr>
        <w:pStyle w:val="Heading1"/>
      </w:pPr>
      <w:r>
        <w:t xml:space="preserve">7. Les interventions types d’un projet DIL national</w:t>
      </w:r>
    </w:p>
    <w:p>
      <w:pPr>
        <w:pStyle w:val="Heading2"/>
      </w:pPr>
      <w:r>
        <w:t xml:space="preserve">7.1 Facteurs de soutien et facteurs d’orientation</w:t>
      </w:r>
    </w:p>
    <w:p>
      <w:pPr>
        <w:spacing w:after="120" w:line="276"/>
        <w:jc w:val="both"/>
      </w:pPr>
      <w:r>
        <w:t xml:space="preserve">Le guide classe les leviers en deux familles :</w:t>
      </w:r>
    </w:p>
    <w:p>
      <w:pPr>
        <w:pStyle w:val="ListParagraph"/>
        <w:numPr>
          <w:ilvl w:val="0"/>
          <w:numId w:val="3"/>
        </w:numPr>
        <w:spacing w:after="60"/>
      </w:pPr>
      <w:r>
        <w:rPr>
          <w:b/>
          <w:bCs/>
        </w:rPr>
        <w:t xml:space="preserve">Facteurs de soutien</w:t>
      </w:r>
      <w:r>
        <w:t xml:space="preserve">, largement maîtrisés par l’INS : vision interne, ressources humaines formées, infrastructure informatique, expériences innovantes déjà menées, qualité et normes.</w:t>
      </w:r>
    </w:p>
    <w:p>
      <w:pPr>
        <w:pStyle w:val="ListParagraph"/>
        <w:numPr>
          <w:ilvl w:val="0"/>
          <w:numId w:val="3"/>
        </w:numPr>
        <w:spacing w:after="60"/>
      </w:pPr>
      <w:r>
        <w:rPr>
          <w:b/>
          <w:bCs/>
        </w:rPr>
        <w:t xml:space="preserve">Facteurs d’orientation</w:t>
      </w:r>
      <w:r>
        <w:t xml:space="preserve">, sur lesquels l’INS a moins de prise mais qui sont décisifs : cadres juridique, institutionnel et stratégique, partenariats, ouverture aux usages des données, communication et financement.</w:t>
      </w:r>
    </w:p>
    <w:p>
      <w:pPr>
        <w:spacing w:after="120" w:line="276"/>
        <w:jc w:val="both"/>
      </w:pPr>
      <w:r>
        <w:t xml:space="preserve">Les interventions doivent s’inscrire dans une démarche de long terme visant à repositionner l’INS dans la transformation de l’écosystème, qui touche à la fois l’offre de données (nouvelles sources et nouveaux acteurs) et la demande (nouvelles habitudes de consommation de l’information). Le diagnostic constitue la première étape.</w:t>
      </w:r>
    </w:p>
    <w:p>
      <w:pPr>
        <w:pStyle w:val="Heading2"/>
      </w:pPr>
      <w:r>
        <w:t xml:space="preserve">7.2 Exemples d’activités sur les facteurs de soutien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Domaine</w:t>
            </w:r>
          </w:p>
        </w:tc>
        <w:tc>
          <w:tcPr>
            <w:tcW w:type="dxa" w:w="6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Activités proposées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Vision interne</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Note interne sur la vision du DIL ; discussions par département ; rubrique innovation sur l’intranet ; feuille de route ; partage avec les partenaires.</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Ressources humaines</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Sensibilisation générale ; formations diplômantes pour quelques experts clés ; modules spécialisés ; référentiel des métiers de la donnée ; incitations à l’innovation ; cartographie des formations ; recrutements ciblés.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Infrastructure TIC</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Renforcement en visualisation ; mise à niveau des équipements et logiciels ; veille technologique ; compétences en réseaux, virtualisation, automatisation et sécurité ; équipement pour l’IA.</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Expériences innovantes</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Évaluation des travaux en cours ; collecte des idées des services ; groupe national de spécialistes ; stages de master et de doctorat ; mécanismes d’échange.</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Qualité</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Cadre national de qualité ; suivi de son application ; appui aux acteurs du SSN pour l’application des normes.</w:t>
            </w:r>
          </w:p>
        </w:tc>
      </w:tr>
    </w:tbl>
    <w:p>
      <w:pPr>
        <w:spacing w:after="120"/>
      </w:pPr>
    </w:p>
    <w:p>
      <w:pPr>
        <w:pStyle w:val="Heading2"/>
      </w:pPr>
      <w:r>
        <w:t xml:space="preserve">7.3 Exemples d’activités sur les facteurs d’orientation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Domaine</w:t>
            </w:r>
          </w:p>
        </w:tc>
        <w:tc>
          <w:tcPr>
            <w:tcW w:type="dxa" w:w="6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Activités proposées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Cadre juridique</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Réforme de la loi statistique pour mobiliser les sources non conventionnelles, revoir les compétences de l’autorité statistique et étendre l’obligation de transmission des données.</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Cadre stratégique</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Révision de la SNDS pour y intégrer l’innovation ; plaidoyer pour une stratégie nationale des données ; choix de domaines prioritaires.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Partenariats</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Accords avec un noyau dur de partenaires ; inventaire des données disponibles ; tests de collaboration (accès, valorisation, compétences, formation, veille) ; élargissement progressif ; liens privilégiés avec l’université et les collectivités locales ; partenariats régionaux et internationaux.</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Communication et usagers</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Politique de communication ; présentations aux utilisateurs ; événements ; notes de sensibilisation ; cartographie et études des usages ; outils d’évaluation de la demande ; visualisation et produits pour les réseaux sociaux ; amélioration du site ; formation des journalistes et chercheurs.</w:t>
            </w:r>
          </w:p>
        </w:tc>
      </w:tr>
      <w:tr>
        <w:trPr>
          <w:tblHeader w:val="false"/>
        </w:trPr>
        <w:tc>
          <w:tcPr>
            <w:tcW w:type="dxa" w:w="2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Financement</w:t>
            </w:r>
          </w:p>
        </w:tc>
        <w:tc>
          <w:tcPr>
            <w:tcW w:type="dxa" w:w="6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Groupe de bailleurs spécialisés ; projets à soumettre au financement ; plaidoyer pour un budget national accru.</w:t>
            </w:r>
          </w:p>
        </w:tc>
      </w:tr>
      <w:tr>
        <w:trPr>
          <w:tblHeader w:val="false"/>
        </w:trPr>
        <w:tc>
          <w:tcPr>
            <w:tcW w:type="dxa" w:w="2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Analytique</w:t>
            </w:r>
          </w:p>
        </w:tc>
        <w:tc>
          <w:tcPr>
            <w:tcW w:type="dxa" w:w="6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Valorisation des archives de l’INS ; collaborations avec des chercheurs ; usage de l’IA générative ; valorisation des données des partenaires.</w:t>
            </w:r>
          </w:p>
        </w:tc>
      </w:tr>
    </w:tbl>
    <w:p>
      <w:pPr>
        <w:spacing w:after="120"/>
      </w:pPr>
    </w:p>
    <w:p>
      <w:pPr>
        <w:pStyle w:val="Heading1"/>
      </w:pPr>
      <w:r>
        <w:t xml:space="preserve">8. Questions de mise en œuvre</w:t>
      </w:r>
    </w:p>
    <w:p>
      <w:pPr>
        <w:pStyle w:val="Heading2"/>
      </w:pPr>
      <w:r>
        <w:t xml:space="preserve">8.1 La vision stratégique du DIL</w:t>
      </w:r>
    </w:p>
    <w:p>
      <w:pPr>
        <w:spacing w:after="120" w:line="276"/>
        <w:jc w:val="both"/>
      </w:pPr>
      <w:r>
        <w:t xml:space="preserve">Rédiger un document de vision présente un double intérêt : recueillir et intégrer les points de vue internes pour favoriser l’appropriation, et disposer d’une référence claire pour mobiliser les partenaires. La restitution doit se faire à trois niveaux : au sein de l’INS, en accompagnant les craintes liées au changement ; auprès des partenaires de l’écosystème, en clarifiant ce qu’on attend d’eux ; auprès des partenaires techniques et financiers, pour qu’ils positionnent leur appui. Un modèle figure en annexe 4.</w:t>
      </w:r>
    </w:p>
    <w:p>
      <w:pPr>
        <w:pStyle w:val="Heading2"/>
      </w:pPr>
      <w:r>
        <w:t xml:space="preserve">8.2 La question technologique</w:t>
      </w:r>
    </w:p>
    <w:p>
      <w:pPr>
        <w:spacing w:after="120" w:line="276"/>
        <w:jc w:val="both"/>
      </w:pPr>
      <w:r>
        <w:t xml:space="preserve">Une infrastructure performante est un atout, mais son absence ne doit pas bloquer la démarche. Les diagnostics ont montré que des capacités de calcul et de stockage existent souvent dans d’autres structures publiques et peuvent être utilisées sous conditions de confidentialité. Il est possible de commencer avec l’existant, de monter en puissance progressivement dans une architecture cohérente, et de mutualiser les capacités, la veille et même les achats. L’annexe 5 sert de référence et non de prérequis.</w:t>
      </w:r>
    </w:p>
    <w:p>
      <w:pPr>
        <w:pStyle w:val="Heading2"/>
      </w:pPr>
      <w:r>
        <w:t xml:space="preserve">8.3 État d’avancement de l’initiative</w:t>
      </w:r>
    </w:p>
    <w:p>
      <w:pPr>
        <w:spacing w:after="120" w:line="276"/>
        <w:jc w:val="both"/>
      </w:pPr>
      <w:r>
        <w:t xml:space="preserve">Le point dressé à fin 2024 recense : des activités internes à la BAD (formation, algorithmes, statistiques issues des mégadonnées) ; un test de cohérence sur les données de santé ; la création d’un réseau des pays francophones ayant réalisé le diagnostic, puis d’un réseau anglophone ; la préparation du guide ; deux symposiums « Innovate Africa » (Johannesburg 2023, Kigali 2024) et la participation aux travaux du groupe technique de l’UA sur les questions émergentes (STG17).</w:t>
      </w:r>
    </w:p>
    <w:p>
      <w:pPr>
        <w:pStyle w:val="Heading1"/>
      </w:pPr>
      <w:r>
        <w:t xml:space="preserve">9. Enseignements tirés des pays pilotes</w:t>
      </w:r>
    </w:p>
    <w:p>
      <w:pPr>
        <w:pStyle w:val="Heading2"/>
      </w:pPr>
      <w:r>
        <w:t xml:space="preserve">9.1 Structure physique ou plateforme virtuelle ?</w:t>
      </w:r>
    </w:p>
    <w:p>
      <w:pPr>
        <w:spacing w:after="120" w:line="276"/>
        <w:jc w:val="both"/>
      </w:pPr>
      <w:r>
        <w:t xml:space="preserve">Les pays ont adopté des formules variées, entre deux pôles : une unité dédiée au sein de l’INS, souvent rattachée à l’informatique ou aux méthodes, ou une responsabilité partagée entre services avec une simple fonction de coordination.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Option</w:t>
            </w:r>
          </w:p>
        </w:tc>
        <w:tc>
          <w:tcPr>
            <w:tcW w:type="dxa" w:w="3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Avantages</w:t>
            </w:r>
          </w:p>
        </w:tc>
        <w:tc>
          <w:tcPr>
            <w:tcW w:type="dxa" w:w="3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Risques</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DIL physique</w:t>
            </w:r>
          </w:p>
        </w:tc>
        <w:tc>
          <w:tcPr>
            <w:tcW w:type="dxa" w:w="3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Visibilité dans l’organigramme</w:t>
            </w:r>
          </w:p>
          <w:p>
            <w:pPr>
              <w:spacing w:after="40"/>
            </w:pPr>
            <w:r>
              <w:t xml:space="preserve">Clarté des affectations</w:t>
            </w:r>
          </w:p>
          <w:p>
            <w:pPr>
              <w:spacing w:after="40"/>
            </w:pPr>
            <w:r>
              <w:t xml:space="preserve">Gestion budgétaire simplifiée</w:t>
            </w:r>
          </w:p>
        </w:tc>
        <w:tc>
          <w:tcPr>
            <w:tcW w:type="dxa" w:w="3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Appropriation exclusive de l’innovation par l’unité</w:t>
            </w:r>
          </w:p>
          <w:p>
            <w:pPr>
              <w:spacing w:after="40"/>
            </w:pPr>
            <w:r>
              <w:t xml:space="preserve">Désengagement des services techniques</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DIL virtuel</w:t>
            </w:r>
          </w:p>
        </w:tc>
        <w:tc>
          <w:tcPr>
            <w:tcW w:type="dxa" w:w="3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Mobilisation de toute l’institution</w:t>
            </w:r>
          </w:p>
          <w:p>
            <w:pPr>
              <w:spacing w:after="40"/>
            </w:pPr>
            <w:r>
              <w:t xml:space="preserve">Investissements au plus près des opérations</w:t>
            </w:r>
          </w:p>
        </w:tc>
        <w:tc>
          <w:tcPr>
            <w:tcW w:type="dxa" w:w="3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Dilution des responsabilités</w:t>
            </w:r>
          </w:p>
          <w:p>
            <w:pPr>
              <w:spacing w:after="40"/>
            </w:pPr>
            <w:r>
              <w:t xml:space="preserve">Perte de cohérence de la vision</w:t>
            </w:r>
          </w:p>
        </w:tc>
      </w:tr>
    </w:tbl>
    <w:p>
      <w:pPr>
        <w:spacing w:after="120"/>
      </w:pPr>
    </w:p>
    <w:p>
      <w:pPr>
        <w:spacing w:after="120" w:line="276"/>
        <w:jc w:val="both"/>
      </w:pPr>
      <w:r>
        <w:t xml:space="preserve">Dans la pratique, la solution se situe souvent entre les deux. Deux conditions s’imposent : garder l’innovation proche des opérations, et coordonner l’ensemble des investissements pour pouvoir en démontrer les résultats.</w:t>
      </w:r>
    </w:p>
    <w:p>
      <w:pPr>
        <w:pStyle w:val="Heading2"/>
      </w:pPr>
      <w:r>
        <w:t xml:space="preserve">9.2 Suivi et évaluation</w:t>
      </w:r>
    </w:p>
    <w:p>
      <w:pPr>
        <w:spacing w:after="120" w:line="276"/>
        <w:jc w:val="both"/>
      </w:pPr>
      <w:r>
        <w:t xml:space="preserve">Deux niveaux sont prévus : chaque expérimentation doit être documentée et évaluée pour juger de son intérêt et de sa reproductibilité ; le diagnostic de maturité doit être répété à intervalles réguliers pour mesurer les progrès de l’INS et de l’écosystème, l’INS pouvant se fixer des objectifs précis entre deux diagnostics.</w:t>
      </w:r>
    </w:p>
    <w:p>
      <w:pPr>
        <w:pStyle w:val="Heading2"/>
      </w:pPr>
      <w:r>
        <w:t xml:space="preserve">9.3 Un référentiel de compétences en science des données</w:t>
      </w:r>
    </w:p>
    <w:p>
      <w:pPr>
        <w:spacing w:after="120" w:line="276"/>
        <w:jc w:val="both"/>
      </w:pPr>
      <w:r>
        <w:t xml:space="preserve">Les équipes techniques des INS sont composées surtout de statisticiens, de démographes et d’informaticiens. Les data scientists y sont rares, du fait de leur rareté sur le marché et de la concurrence du secteur privé. Leur recrutement est aussi freiné par l’absence de référentiel de compétences qui leur donnerait un statut dans les grilles de la fonction publique.</w:t>
      </w:r>
    </w:p>
    <w:p>
      <w:pPr>
        <w:pStyle w:val="Heading2"/>
      </w:pPr>
      <w:r>
        <w:t xml:space="preserve">9.4 Faire émerger des projets innovants</w:t>
      </w:r>
    </w:p>
    <w:p>
      <w:pPr>
        <w:spacing w:after="120" w:line="276"/>
        <w:jc w:val="both"/>
      </w:pPr>
      <w:r>
        <w:t xml:space="preserve">Les services techniques ont des idées claires d’amélioration, mais il leur manque une meilleure connaissance des possibilités de la science des données, un accès rapide à l’expertise, des circuits pour présenter, évaluer et financer les projets, et du temps. Le guide suggère d’instituer un « temps d’innovation » comparable au temps de formation, et un comité léger chargé d’examiner régulièrement les projets et leurs résultats.</w:t>
      </w:r>
    </w:p>
    <w:p>
      <w:pPr>
        <w:pStyle w:val="Heading2"/>
      </w:pPr>
      <w:r>
        <w:t xml:space="preserve">9.5 Partenariats et coalitions</w:t>
      </w:r>
    </w:p>
    <w:p>
      <w:pPr>
        <w:spacing w:after="120" w:line="276"/>
        <w:jc w:val="both"/>
      </w:pPr>
      <w:r>
        <w:t xml:space="preserve">L’INS ne peut porter seul la transformation. Comme les partenaires n’ont ni le même niveau ni les mêmes priorités, il est conseillé de commencer avec un noyau restreint d’acteurs partageant les mêmes préoccupations, d’obtenir des résultats tangibles, puis de s’en servir pour élargir la coalition. Chaque pays pilote disposait de tels partenaires.</w:t>
      </w:r>
    </w:p>
    <w:p>
      <w:pPr>
        <w:pStyle w:val="Heading1"/>
      </w:pPr>
      <w:r>
        <w:t xml:space="preserve">10. Bonnes pratiques observées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Pays / thème</w:t>
            </w:r>
          </w:p>
        </w:tc>
        <w:tc>
          <w:tcPr>
            <w:tcW w:type="dxa" w:w="72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Pratiques relevées</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Sénégal</w:t>
            </w:r>
          </w:p>
        </w:tc>
        <w:tc>
          <w:tcPr>
            <w:tcW w:type="dxa" w:w="72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Système de « cas d’usage » appuyé par des stagiaires de l’école nationale de statistique ; usage des données de transferts par téléphonie mobile pour prévoir des indicateurs de pauvreté ; ciblage algorithmique des ménages avec le ministère des Finances, à valider par une enquête légère ; discussions avec l’opérateur national de télécommunications.</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Tunisie</w:t>
            </w:r>
          </w:p>
        </w:tc>
        <w:tc>
          <w:tcPr>
            <w:tcW w:type="dxa" w:w="72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Données de téléphonie mobile pour mesurer la migration interne, avec l’appui de la Banque mondiale et une concertation de haut niveau avec les opérateurs, et validation par le recensement ; coopération avec le Centre national de télédétection pour le recensement et un futur registre national des adresses ; indicateurs ODD issus du satellite dans le cadre de « Data for Now ».</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Côte d’Ivoire</w:t>
            </w:r>
          </w:p>
        </w:tc>
        <w:tc>
          <w:tcPr>
            <w:tcW w:type="dxa" w:w="72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Échanges avec un opérateur sur l’usage des données mobiles et le partage des coûts ; projet de rencontres « Parlons stats » sur l’innovation ; tests d’imagerie gratuite (Google Earth, Sentinel-2) puis d’imagerie commerciale à plus haute résolution.</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Nigeria</w:t>
            </w:r>
          </w:p>
        </w:tc>
        <w:tc>
          <w:tcPr>
            <w:tcW w:type="dxa" w:w="72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Corpus de stratégies nationales en appui : stratégie nationale des données, loi sur la protection des données, politiques de l’économie numérique, du haut débit, de l’informatique en nuage, de l’interopérabilité et des données ouvertes.</w:t>
            </w:r>
          </w:p>
        </w:tc>
      </w:tr>
      <w:tr>
        <w:trPr>
          <w:tblHeader w:val="false"/>
        </w:trPr>
        <w:tc>
          <w:tcPr>
            <w:tcW w:type="dxa" w:w="18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Cameroun</w:t>
            </w:r>
          </w:p>
        </w:tc>
        <w:tc>
          <w:tcPr>
            <w:tcW w:type="dxa" w:w="72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Atelier sur l’usage des données satellitaires pour les statistiques de population, ouvert au SSN, aux universités et au secteur privé.</w:t>
            </w:r>
          </w:p>
        </w:tc>
      </w:tr>
      <w:tr>
        <w:trPr>
          <w:tblHeader w:val="false"/>
        </w:trPr>
        <w:tc>
          <w:tcPr>
            <w:tcW w:type="dxa" w:w="18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Moissonnage du web</w:t>
            </w:r>
          </w:p>
        </w:tc>
        <w:tc>
          <w:tcPr>
            <w:tcW w:type="dxa" w:w="72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Utilisé pour compléter les enquêtes de prix en Côte d’Ivoire, au Cameroun et au Sénégal, et pour les offres d’emploi en Côte d’Ivoire.</w:t>
            </w:r>
          </w:p>
        </w:tc>
      </w:tr>
    </w:tbl>
    <w:p>
      <w:pPr>
        <w:spacing w:after="120"/>
      </w:pPr>
    </w:p>
    <w:p>
      <w:pPr>
        <w:spacing w:after="120" w:line="276"/>
        <w:jc w:val="both"/>
      </w:pPr>
      <w:r>
        <w:t xml:space="preserve">Le guide souligne que l’imagerie satellitaire est prometteuse mais se heurte au coût des images de haute qualité.</w:t>
      </w:r>
    </w:p>
    <w:p>
      <w:pPr>
        <w:pStyle w:val="Heading1"/>
      </w:pPr>
      <w:r>
        <w:t xml:space="preserve">11. Un modèle simplifié est-il possible ?</w:t>
      </w:r>
    </w:p>
    <w:p>
      <w:pPr>
        <w:spacing w:after="120" w:line="276"/>
        <w:jc w:val="both"/>
      </w:pPr>
      <w:r>
        <w:t xml:space="preserve">Le diagnostic complet reste gérable : environ deux à trois mois par pays entre l’envoi du questionnaire et le rapport provisoire, avec une mission d’expert de cinq à six jours. Une version simplifiée (annexe 6) aborde les mêmes thèmes de façon globale. La BAD recommande toutefois de commencer par le questionnaire complet, puis d’utiliser le modèle simplifié pour le suivi régulier.</w:t>
      </w:r>
    </w:p>
    <w:p>
      <w:pPr>
        <w:pStyle w:val="Heading1"/>
      </w:pPr>
      <w:r>
        <w:t xml:space="preserve">12. Perspectives de l’initiative</w:t>
      </w:r>
    </w:p>
    <w:p>
      <w:pPr>
        <w:spacing w:after="120" w:line="276"/>
        <w:jc w:val="both"/>
      </w:pPr>
      <w:r>
        <w:t xml:space="preserve">La BAD entend accompagner le déploiement des DIL à travers un dialogue régional sur la transformation des écosystèmes. Cinq orientations sont envisagées :</w:t>
      </w:r>
    </w:p>
    <w:p>
      <w:pPr>
        <w:pStyle w:val="ListParagraph"/>
        <w:numPr>
          <w:ilvl w:val="0"/>
          <w:numId w:val="6"/>
        </w:numPr>
        <w:spacing w:after="60"/>
      </w:pPr>
      <w:r>
        <w:t xml:space="preserve">Appuyer directement la mise en œuvre des plans d’action nationaux et mobiliser d’autres soutiens.</w:t>
      </w:r>
    </w:p>
    <w:p>
      <w:pPr>
        <w:pStyle w:val="ListParagraph"/>
        <w:numPr>
          <w:ilvl w:val="0"/>
          <w:numId w:val="6"/>
        </w:numPr>
        <w:spacing w:after="60"/>
      </w:pPr>
      <w:r>
        <w:t xml:space="preserve">Multiplier les diagnostics pays, avec ou sans expertise extérieure.</w:t>
      </w:r>
    </w:p>
    <w:p>
      <w:pPr>
        <w:pStyle w:val="ListParagraph"/>
        <w:numPr>
          <w:ilvl w:val="0"/>
          <w:numId w:val="6"/>
        </w:numPr>
        <w:spacing w:after="60"/>
      </w:pPr>
      <w:r>
        <w:t xml:space="preserve">Soutenir des diagnostics de suivi, principalement en auto-évaluation.</w:t>
      </w:r>
    </w:p>
    <w:p>
      <w:pPr>
        <w:pStyle w:val="ListParagraph"/>
        <w:numPr>
          <w:ilvl w:val="0"/>
          <w:numId w:val="6"/>
        </w:numPr>
        <w:spacing w:after="60"/>
      </w:pPr>
      <w:r>
        <w:t xml:space="preserve">Renforcer la mise en réseau des pays engagés.</w:t>
      </w:r>
    </w:p>
    <w:p>
      <w:pPr>
        <w:pStyle w:val="ListParagraph"/>
        <w:numPr>
          <w:ilvl w:val="0"/>
          <w:numId w:val="6"/>
        </w:numPr>
        <w:spacing w:after="60"/>
      </w:pPr>
      <w:r>
        <w:t xml:space="preserve">Mobiliser les acteurs continentaux autour des conclusions du symposium « Innovate Africa » et de cadres stratégiques régionaux.</w:t>
      </w:r>
    </w:p>
    <w:p>
      <w:r>
        <w:br w:type="page"/>
      </w:r>
    </w:p>
    <w:p>
      <w:pPr>
        <w:pStyle w:val="Heading1"/>
      </w:pPr>
      <w:r>
        <w:t xml:space="preserve">Annexes du guide : présentation</w:t>
      </w:r>
    </w:p>
    <w:p>
      <w:pPr>
        <w:pStyle w:val="Heading2"/>
      </w:pPr>
      <w:r>
        <w:t xml:space="preserve">Annexe 1 – Questionnaire du modèle de maturité</w:t>
      </w:r>
    </w:p>
    <w:p>
      <w:pPr>
        <w:spacing w:after="120" w:line="276"/>
        <w:jc w:val="both"/>
      </w:pPr>
      <w:r>
        <w:t xml:space="preserve">Le questionnaire prépare la mission de diagnostic. Il est organisé en douze blocs correspondant aux dimensions, chacun précisant l’objectif de l’évaluation, les sources à mobiliser (déclarations de la direction, documents stratégiques, textes juridiques, inventaires informatiques, conventions de partenariat, entretiens) et une série de questions ouvertes adaptables au contexte national. Il compte 94 questions au total. À titre d’illustration, les thèmes abordés sont les suivants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Dimension</w:t>
            </w:r>
          </w:p>
        </w:tc>
        <w:tc>
          <w:tcPr>
            <w:tcW w:type="dxa" w:w="6400"/>
            <w:tcBorders>
              <w:top w:val="single" w:color="B7C9C3" w:sz="4"/>
              <w:left w:val="single" w:color="B7C9C3" w:sz="4"/>
              <w:bottom w:val="single" w:color="B7C9C3" w:sz="4"/>
              <w:right w:val="single" w:color="B7C9C3" w:sz="4"/>
            </w:tcBorders>
            <w:shd w:fill="0B5D4B" w:color="auto" w:val="clear"/>
            <w:tcMar>
              <w:top w:type="dxa" w:w="60"/>
              <w:left w:type="dxa" w:w="100"/>
              <w:bottom w:type="dxa" w:w="60"/>
              <w:right w:type="dxa" w:w="100"/>
            </w:tcMar>
          </w:tcPr>
          <w:p>
            <w:pPr>
              <w:spacing w:after="40"/>
            </w:pPr>
            <w:r>
              <w:rPr>
                <w:b/>
                <w:bCs/>
                <w:color w:val="FFFFFF"/>
              </w:rPr>
              <w:t xml:space="preserve">Thèmes des questions</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1. Leadership</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Pratiques de diffusion de l’innovation ; rôle de l’encadrement intermédiaire ; adhésion et résistances du personnel ; marges d’initiative ; documents de vision ; « champions » internes.</w:t>
            </w:r>
          </w:p>
        </w:tc>
      </w:tr>
      <w:tr>
        <w:trPr>
          <w:tblHeader w:val="false"/>
        </w:trPr>
        <w:tc>
          <w:tcPr>
            <w:tcW w:type="dxa" w:w="2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2. Vision stratégique</w:t>
            </w:r>
          </w:p>
        </w:tc>
        <w:tc>
          <w:tcPr>
            <w:tcW w:type="dxa" w:w="6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Place de la transformation dans la SNDS ; expériences existantes ; usage de la statistique dans les stratégies publiques ; stratégie des données ; organisation et coordination internes ; autonomie organisationnelle.</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3. Cadre juridique</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Rôle de coordination dans la loi et en pratique ; accès aux données des partenaires et du privé ; échanges d’expériences ; gestion responsable des données ; interconnexion ; Conseil national de la statistique ; ODD.</w:t>
            </w:r>
          </w:p>
        </w:tc>
      </w:tr>
      <w:tr>
        <w:trPr>
          <w:tblHeader w:val="false"/>
        </w:trPr>
        <w:tc>
          <w:tcPr>
            <w:tcW w:type="dxa" w:w="2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4. Ressources humaines</w:t>
            </w:r>
          </w:p>
        </w:tc>
        <w:tc>
          <w:tcPr>
            <w:tcW w:type="dxa" w:w="6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Effectifs spécialisés ; dispositifs et plans de formation ; échanges internes ; partenariats nationaux et internationaux de formation.</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5. Informatique</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Modernité des équipements, applications, site web et sécurité ; outils d’enquête, d’analyse et de diffusion ; usage des données administratives et des registres.</w:t>
            </w:r>
          </w:p>
        </w:tc>
      </w:tr>
      <w:tr>
        <w:trPr>
          <w:tblHeader w:val="false"/>
        </w:trPr>
        <w:tc>
          <w:tcPr>
            <w:tcW w:type="dxa" w:w="2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6–7. Sources de données</w:t>
            </w:r>
          </w:p>
        </w:tc>
        <w:tc>
          <w:tcPr>
            <w:tcW w:type="dxa" w:w="6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Expériences en données administratives et difficultés ; expériences en données ouvertes, satellitaires, de capteurs, de téléphonie et de transport.</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8. Partenariats</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Diffusion des pratiques dans le SSN ; partenaires ouverts à la science des données ; plateformes d’échange ; contacts avec le privé et la société civile ; autorisations nécessaires.</w:t>
            </w:r>
          </w:p>
        </w:tc>
      </w:tr>
      <w:tr>
        <w:trPr>
          <w:tblHeader w:val="false"/>
        </w:trPr>
        <w:tc>
          <w:tcPr>
            <w:tcW w:type="dxa" w:w="2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9. Qualité</w:t>
            </w:r>
          </w:p>
        </w:tc>
        <w:tc>
          <w:tcPr>
            <w:tcW w:type="dxa" w:w="6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Cadres qualité utilisés et suivis ; culture d’excellence ; échanges régionaux ; conformité aux normes ; appui au SSN ; réputation internationale.</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10. Utilisateurs</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Politique de communication et image ; relations et retours des usagers ; réactivité ; disponibilité et lacunes des données ; politique d’accès ; demandes multidimensionnelles ; usage des données.</w:t>
            </w:r>
          </w:p>
        </w:tc>
      </w:tr>
      <w:tr>
        <w:trPr>
          <w:tblHeader w:val="false"/>
        </w:trPr>
        <w:tc>
          <w:tcPr>
            <w:tcW w:type="dxa" w:w="26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11. Recherche</w:t>
            </w:r>
          </w:p>
        </w:tc>
        <w:tc>
          <w:tcPr>
            <w:tcW w:type="dxa" w:w="6400"/>
            <w:tcBorders>
              <w:top w:val="single" w:color="B7C9C3" w:sz="4"/>
              <w:left w:val="single" w:color="B7C9C3" w:sz="4"/>
              <w:bottom w:val="single" w:color="B7C9C3" w:sz="4"/>
              <w:right w:val="single" w:color="B7C9C3" w:sz="4"/>
            </w:tcBorders>
            <w:shd w:fill="F5F9F8" w:color="auto" w:val="clear"/>
            <w:tcMar>
              <w:top w:type="dxa" w:w="60"/>
              <w:left w:type="dxa" w:w="100"/>
              <w:bottom w:type="dxa" w:w="60"/>
              <w:right w:type="dxa" w:w="100"/>
            </w:tcMar>
          </w:tcPr>
          <w:p>
            <w:pPr>
              <w:spacing w:after="40"/>
            </w:pPr>
            <w:r>
              <w:t xml:space="preserve">Collaboration avec l’université ; applications d’IA ; études approfondies ; outils de prévision ; accès des chercheurs aux microdonnées et confidentialité ; potentiel national.</w:t>
            </w:r>
          </w:p>
        </w:tc>
      </w:tr>
      <w:tr>
        <w:trPr>
          <w:tblHeader w:val="false"/>
        </w:trPr>
        <w:tc>
          <w:tcPr>
            <w:tcW w:type="dxa" w:w="26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12. Financement</w:t>
            </w:r>
          </w:p>
        </w:tc>
        <w:tc>
          <w:tcPr>
            <w:tcW w:type="dxa" w:w="6400"/>
            <w:tcBorders>
              <w:top w:val="single" w:color="B7C9C3" w:sz="4"/>
              <w:left w:val="single" w:color="B7C9C3" w:sz="4"/>
              <w:bottom w:val="single" w:color="B7C9C3" w:sz="4"/>
              <w:right w:val="single" w:color="B7C9C3" w:sz="4"/>
            </w:tcBorders>
            <w:tcMar>
              <w:top w:type="dxa" w:w="60"/>
              <w:left w:type="dxa" w:w="100"/>
              <w:bottom w:type="dxa" w:w="60"/>
              <w:right w:type="dxa" w:w="100"/>
            </w:tcMar>
          </w:tcPr>
          <w:p>
            <w:pPr>
              <w:spacing w:after="40"/>
            </w:pPr>
            <w:r>
              <w:t xml:space="preserve">Groupe de bailleurs ; projets financés à venir ; soutien budgétaire national attendu.</w:t>
            </w:r>
          </w:p>
        </w:tc>
      </w:tr>
    </w:tbl>
    <w:p>
      <w:pPr>
        <w:spacing w:after="120"/>
      </w:pPr>
    </w:p>
    <w:p>
      <w:pPr>
        <w:pStyle w:val="Heading2"/>
      </w:pPr>
      <w:r>
        <w:t xml:space="preserve">Annexe 2 – Grille de synthèse des résultats</w:t>
      </w:r>
    </w:p>
    <w:p>
      <w:pPr>
        <w:spacing w:after="120" w:line="276"/>
        <w:jc w:val="both"/>
      </w:pPr>
      <w:r>
        <w:t xml:space="preserve">Elle reprend l’ensemble des questions avec une colonne pour le code couleur (vert, orange, rouge), le gris signalant une absence de réponse ou une question non pertinente.</w:t>
      </w:r>
    </w:p>
    <w:p>
      <w:pPr>
        <w:pStyle w:val="Heading2"/>
      </w:pPr>
      <w:r>
        <w:t xml:space="preserve">Annexe 3 – Présentation des recommandations</w:t>
      </w:r>
    </w:p>
    <w:p>
      <w:pPr>
        <w:spacing w:after="120" w:line="276"/>
        <w:jc w:val="both"/>
      </w:pPr>
      <w:r>
        <w:t xml:space="preserve">Une matrice croise les facteurs de soutien et d’orientation avec la description des interventions proposées et leur horizon (court, moyen ou long terme).</w:t>
      </w:r>
    </w:p>
    <w:p>
      <w:pPr>
        <w:pStyle w:val="Heading2"/>
      </w:pPr>
      <w:r>
        <w:t xml:space="preserve">Annexe 4 – Modèle de document de vision stratégique</w:t>
      </w:r>
    </w:p>
    <w:p>
      <w:pPr>
        <w:spacing w:after="120" w:line="276"/>
        <w:jc w:val="both"/>
      </w:pPr>
      <w:r>
        <w:t xml:space="preserve">Plan type : résumé ; contexte et résultats du diagnostic ; énoncé de vision, objectif global et objectifs spécifiques (idéalement moins de cinq) ; activités par objectif ; fonctions, mise en place et organisation du DIL ; risques et mesures d’atténuation ; partenariats ; suivi-évaluation ; articulation avec les projets statistiques en cours ; chronogramme et projections financières sur trois ans. Le modèle comporte des exemples rédigés, notamment sur la motivation du personnel et sur les risques liés aux ressources humaines ou à la légitimité de l’INS.</w:t>
      </w:r>
    </w:p>
    <w:p>
      <w:pPr>
        <w:pStyle w:val="Heading2"/>
      </w:pPr>
      <w:r>
        <w:t xml:space="preserve">Annexe 5 – Référentiel TIC</w:t>
      </w:r>
    </w:p>
    <w:p>
      <w:pPr>
        <w:spacing w:after="120" w:line="276"/>
        <w:jc w:val="both"/>
      </w:pPr>
      <w:r>
        <w:t xml:space="preserve">Il décrit une infrastructure de référence pour l’innovation : quelques serveurs de calcul, pare-feu redondants, alimentation secourue, climatisation de précision, solution de sauvegarde, commutateurs à haut débit, hyperviseur open source, et cartes graphiques pour l’IA. Il liste aussi, par domaine (infrastructure, science des données, développement, gestion des données), les questions d’évaluation et les compétences minimales : virtualisation et conteneurs, supervision, cybersécurité, infrastructure comme code, apprentissage automatique et profond, méthodes agiles, DevOps et MLOps, technologies de mégadonnées, catalogue, qualité et gouvernance des données.</w:t>
      </w:r>
    </w:p>
    <w:p>
      <w:pPr>
        <w:pStyle w:val="Heading2"/>
      </w:pPr>
      <w:r>
        <w:t xml:space="preserve">Annexe 6 – Modèle simplifié</w:t>
      </w:r>
    </w:p>
    <w:p>
      <w:pPr>
        <w:spacing w:after="120" w:line="276"/>
        <w:jc w:val="both"/>
      </w:pPr>
      <w:r>
        <w:t xml:space="preserve">Pour chaque dimension, il oppose une situation favorable et une situation embryonnaire, indique les moyens d’évaluation et propose des activités adaptées à chacune des deux situations. Il sert d’« évaluation rapide » en phase initiale et d’outil de suivi.</w:t>
      </w:r>
    </w:p>
    <w:p>
      <w:pPr>
        <w:pStyle w:val="Heading2"/>
      </w:pPr>
      <w:r>
        <w:t xml:space="preserve">Annexe 7 – Activités du DIL de la BAD (2022–2025)</w:t>
      </w:r>
    </w:p>
    <w:p>
      <w:pPr>
        <w:spacing w:after="120" w:line="276"/>
        <w:jc w:val="both"/>
      </w:pPr>
      <w:r>
        <w:t xml:space="preserve">Le tableau relie chaque activité aux objectifs, piliers et principes. On y trouve notamment : un modèle d’accessibilité aux services de santé et d’éducation ; une cartographie de l’inclusion haut débit ; l’analyse des lumières nocturnes au Burkina Faso ; une mission sur l’accès scolaire au Rwanda ; des ateliers régionaux à Kigali en 2023 ; des formations sur les mégadonnées, le géospatial et l’IA ; un programme sur les données de santé avec la Banque mondiale ; un cadre intégré de données de santé ; des webinaires ; les symposiums « Innovate Africa » ; un événement en marge de la Commission de statistique de l’ONU ; les réseaux DIL francophone et anglophone ; le secrétariat du STG17 de l’UA ; les diagnostics pays ; des accords d’accès aux données avec des fournisseurs privés ; et un répertoire d’outils open source.</w:t>
      </w:r>
    </w:p>
    <w:p>
      <w:pPr>
        <w:pStyle w:val="Heading1"/>
      </w:pPr>
      <w:r>
        <w:t xml:space="preserve">Observations sur le texte original</w:t>
      </w:r>
    </w:p>
    <w:p>
      <w:pPr>
        <w:spacing w:after="120" w:line="276"/>
        <w:jc w:val="both"/>
      </w:pPr>
      <w:r>
        <w:t xml:space="preserve">Pour faciliter une éventuelle révision du guide, voici les principales incohérences relevées à la lecture :</w:t>
      </w:r>
    </w:p>
    <w:p>
      <w:pPr>
        <w:pStyle w:val="ListParagraph"/>
        <w:numPr>
          <w:ilvl w:val="0"/>
          <w:numId w:val="3"/>
        </w:numPr>
        <w:spacing w:after="60"/>
      </w:pPr>
      <w:r>
        <w:t xml:space="preserve">Dates des missions au Sénégal et en Côte d’Ivoire différentes entre la présentation et le chapitre 9.</w:t>
      </w:r>
    </w:p>
    <w:p>
      <w:pPr>
        <w:pStyle w:val="ListParagraph"/>
        <w:numPr>
          <w:ilvl w:val="0"/>
          <w:numId w:val="3"/>
        </w:numPr>
        <w:spacing w:after="60"/>
      </w:pPr>
      <w:r>
        <w:t xml:space="preserve">Six pays diagnostiqués dans le texte, sept dans l’annexe 7 (ajout du Botswana).</w:t>
      </w:r>
    </w:p>
    <w:p>
      <w:pPr>
        <w:pStyle w:val="ListParagraph"/>
        <w:numPr>
          <w:ilvl w:val="0"/>
          <w:numId w:val="3"/>
        </w:numPr>
        <w:spacing w:after="60"/>
      </w:pPr>
      <w:r>
        <w:t xml:space="preserve">Lancement de l’initiative daté de 2023, mais « deux ans d’existence » à fin 2024 et activités recensées dès 2022.</w:t>
      </w:r>
    </w:p>
    <w:p>
      <w:pPr>
        <w:pStyle w:val="ListParagraph"/>
        <w:numPr>
          <w:ilvl w:val="0"/>
          <w:numId w:val="3"/>
        </w:numPr>
        <w:spacing w:after="60"/>
      </w:pPr>
      <w:r>
        <w:t xml:space="preserve">Programme AIH présenté avec quatre composantes puis « ces trois composantes ».</w:t>
      </w:r>
    </w:p>
    <w:p>
      <w:pPr>
        <w:pStyle w:val="ListParagraph"/>
        <w:numPr>
          <w:ilvl w:val="0"/>
          <w:numId w:val="3"/>
        </w:numPr>
        <w:spacing w:after="60"/>
      </w:pPr>
      <w:r>
        <w:t xml:space="preserve">Figure des douze dimensions non alignée sur la liste du texte.</w:t>
      </w:r>
    </w:p>
    <w:p>
      <w:pPr>
        <w:pStyle w:val="ListParagraph"/>
        <w:numPr>
          <w:ilvl w:val="0"/>
          <w:numId w:val="3"/>
        </w:numPr>
        <w:spacing w:after="60"/>
      </w:pPr>
      <w:r>
        <w:t xml:space="preserve">Environ 60 composantes annoncées contre 94 questions dans la grille de synthèse.</w:t>
      </w:r>
    </w:p>
    <w:p>
      <w:pPr>
        <w:pStyle w:val="ListParagraph"/>
        <w:numPr>
          <w:ilvl w:val="0"/>
          <w:numId w:val="3"/>
        </w:numPr>
        <w:spacing w:after="60"/>
      </w:pPr>
      <w:r>
        <w:t xml:space="preserve">Deux tableaux numérotés « Tableau 2 » ; liens erronés ou au format d’extension de navigateur dans le tableau sur le Nigeria.</w:t>
      </w:r>
    </w:p>
    <w:p>
      <w:pPr>
        <w:pStyle w:val="ListParagraph"/>
        <w:numPr>
          <w:ilvl w:val="0"/>
          <w:numId w:val="3"/>
        </w:numPr>
        <w:spacing w:after="60"/>
      </w:pPr>
      <w:r>
        <w:t xml:space="preserve">Point d’étape arrêté à fin 2024 et passages au futur concernant 2025 dans un guide d’octobre 2025.</w:t>
      </w:r>
    </w:p>
    <w:p>
      <w:pPr>
        <w:pStyle w:val="ListParagraph"/>
        <w:numPr>
          <w:ilvl w:val="0"/>
          <w:numId w:val="3"/>
        </w:numPr>
        <w:spacing w:after="60"/>
      </w:pPr>
      <w:r>
        <w:t xml:space="preserve">Absence de critères explicites pour attribuer les couleurs, ce qui limite la comparabilité des diagnostics successifs.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6"/>
        <w:szCs w:val="16"/>
      </w:rPr>
      <w:t xml:space="preserve">Laboratoire d’innovation des données – synthèse en français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5D4B" w:sz="6" w:space="4"/>
      </w:pBdr>
      <w:spacing w:after="160" w:before="360"/>
      <w:outlineLvl w:val="0"/>
    </w:pPr>
    <w:rPr>
      <w:rFonts w:ascii="Calibri" w:cs="Calibri" w:eastAsia="Calibri" w:hAnsi="Calibri"/>
      <w:b/>
      <w:bCs/>
      <w:color w:val="0B5D4B"/>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1F4E4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Mettre en place un laboratoire d’innovation des données – synthèse en français</dc:title>
  <dc:creator>Document de travail</dc:creator>
  <cp:lastModifiedBy>Un-named</cp:lastModifiedBy>
  <cp:revision>1</cp:revision>
  <dcterms:created xsi:type="dcterms:W3CDTF">2026-10-18T08:52:15.474Z</dcterms:created>
  <dcterms:modified xsi:type="dcterms:W3CDTF">2026-10-18T08:52:15.474Z</dcterms:modified>
</cp:coreProperties>
</file>

<file path=docProps/custom.xml><?xml version="1.0" encoding="utf-8"?>
<Properties xmlns="http://schemas.openxmlformats.org/officeDocument/2006/custom-properties" xmlns:vt="http://schemas.openxmlformats.org/officeDocument/2006/docPropsVTypes"/>
</file>