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749"/>
      </w:tblGrid>
      <w:tr>
        <w:tc>
          <w:tcPr>
            <w:tcW w:type="dxa" w:w="9792"/>
            <w:shd w:val="clear" w:fill="F4F8F5"/>
          </w:tcPr>
          <w:p>
            <w:pPr>
              <w:spacing w:before="200" w:after="200"/>
              <w:jc w:val="center"/>
            </w:pPr>
            <w:r/>
            <w:r>
              <w:rPr>
                <w:rFonts w:ascii="Calibri" w:hAnsi="Calibri"/>
                <w:b w:val="0"/>
                <w:color w:val="6B7B75"/>
                <w:sz w:val="18"/>
              </w:rPr>
              <w:t>African Development Bank  ·  African Union  ·  SHaSA II</w:t>
            </w:r>
            <w:r>
              <w:rPr>
                <w:rFonts w:ascii="Calibri" w:hAnsi="Calibri"/>
                <w:b w:val="0"/>
                <w:color w:val="6B7B75"/>
                <w:sz w:val="18"/>
              </w:rPr>
              <w:br/>
              <w:t>Specialized Technical Group on Emerging Issues</w:t>
            </w:r>
            <w:r>
              <w:rPr>
                <w:rFonts w:ascii="Cambria" w:hAnsi="Cambria"/>
                <w:b/>
                <w:color w:val="C08A1E"/>
                <w:sz w:val="44"/>
              </w:rPr>
              <w:br/>
              <w:t>STG17</w:t>
            </w:r>
            <w:r>
              <w:rPr>
                <w:rFonts w:ascii="Cambria" w:hAnsi="Cambria"/>
                <w:b w:val="0"/>
                <w:color w:val="6B7B75"/>
                <w:sz w:val="22"/>
              </w:rPr>
              <w:br/>
              <w:t>Technical Workshop</w:t>
            </w:r>
            <w:r>
              <w:rPr>
                <w:rFonts w:ascii="Cambria" w:hAnsi="Cambria"/>
                <w:b/>
                <w:color w:val="0A3527"/>
                <w:sz w:val="34"/>
              </w:rPr>
              <w:br/>
              <w:t>Emerging Issues, Emerging Practice</w:t>
            </w:r>
            <w:r>
              <w:rPr>
                <w:rFonts w:ascii="Cambria" w:hAnsi="Cambria"/>
                <w:b w:val="0"/>
                <w:color w:val="0A3527"/>
                <w:sz w:val="24"/>
              </w:rPr>
              <w:br/>
              <w:t>Innovating the Data Value Chain</w:t>
            </w:r>
            <w:r>
              <w:rPr>
                <w:rFonts w:ascii="Calibri" w:hAnsi="Calibri"/>
                <w:b w:val="0"/>
                <w:color w:val="33403A"/>
                <w:sz w:val="20"/>
              </w:rPr>
              <w:br/>
              <w:t>Artificial Intelligence, Large Language Models and Big Data for Official Statistics</w:t>
            </w:r>
            <w:r>
              <w:rPr>
                <w:rFonts w:ascii="Calibri" w:hAnsi="Calibri"/>
                <w:b w:val="0"/>
                <w:color w:val="6B7B75"/>
                <w:sz w:val="20"/>
              </w:rPr>
              <w:br/>
              <w:t>Hands-on applications to Ookla, WorldPop and Night-Time Lights</w:t>
            </w:r>
          </w:p>
        </w:tc>
      </w:tr>
    </w:tbl>
    <w:p>
      <w:pPr>
        <w:spacing w:after="80"/>
      </w:pPr>
    </w:p>
    <w:tbl>
      <w:tblPr>
        <w:tblW w:type="auto" w:w="0"/>
        <w:jc w:val="center"/>
        <w:tblLayout w:type="fixed"/>
        <w:tblLook w:firstColumn="1" w:firstRow="1" w:lastColumn="0" w:lastRow="0" w:noHBand="0" w:noVBand="1" w:val="04A0"/>
      </w:tblPr>
      <w:tblGrid>
        <w:gridCol w:w="4874"/>
        <w:gridCol w:w="4874"/>
      </w:tblGrid>
      <w:tr>
        <w:tc>
          <w:tcPr>
            <w:tcW w:type="dxa" w:w="2160"/>
            <w:shd w:val="clear" w:fill="F4F8F5"/>
          </w:tcPr>
          <w:p>
            <w:pPr>
              <w:spacing w:before="40" w:after="40"/>
            </w:pPr>
            <w:r/>
            <w:r>
              <w:rPr>
                <w:rFonts w:ascii="Calibri" w:hAnsi="Calibri"/>
                <w:b w:val="0"/>
                <w:color w:val="33403A"/>
                <w:sz w:val="17"/>
              </w:rPr>
              <w:t>Duration</w:t>
            </w:r>
          </w:p>
        </w:tc>
        <w:tc>
          <w:tcPr>
            <w:tcW w:type="dxa" w:w="7632"/>
            <w:shd w:val="clear" w:fill="F4F8F5"/>
          </w:tcPr>
          <w:p>
            <w:pPr>
              <w:spacing w:before="40" w:after="40"/>
            </w:pPr>
            <w:r/>
            <w:r>
              <w:rPr>
                <w:rFonts w:ascii="Calibri" w:hAnsi="Calibri"/>
                <w:b w:val="0"/>
                <w:color w:val="33403A"/>
                <w:sz w:val="17"/>
              </w:rPr>
              <w:t>5 days — 27 contact hours (Monday to Thursday: 6 h per day; Friday: morning only)</w:t>
            </w:r>
          </w:p>
        </w:tc>
      </w:tr>
      <w:tr>
        <w:tc>
          <w:tcPr>
            <w:tcW w:type="dxa" w:w="2160"/>
          </w:tcPr>
          <w:p>
            <w:pPr>
              <w:spacing w:before="40" w:after="40"/>
            </w:pPr>
            <w:r/>
            <w:r>
              <w:rPr>
                <w:rFonts w:ascii="Calibri" w:hAnsi="Calibri"/>
                <w:b w:val="0"/>
                <w:color w:val="33403A"/>
                <w:sz w:val="17"/>
              </w:rPr>
              <w:t>Daily rhythm</w:t>
            </w:r>
          </w:p>
        </w:tc>
        <w:tc>
          <w:tcPr>
            <w:tcW w:type="dxa" w:w="7632"/>
          </w:tcPr>
          <w:p>
            <w:pPr>
              <w:spacing w:before="40" w:after="40"/>
            </w:pPr>
            <w:r/>
            <w:r>
              <w:rPr>
                <w:rFonts w:ascii="Calibri" w:hAnsi="Calibri"/>
                <w:b w:val="0"/>
                <w:color w:val="33403A"/>
                <w:sz w:val="17"/>
              </w:rPr>
              <w:t>Morning 09:00 – 12:30  ·  Lunch 12:30 – 14:00  ·  Afternoon 14:00 – 17:00</w:t>
            </w:r>
          </w:p>
        </w:tc>
      </w:tr>
      <w:tr>
        <w:tc>
          <w:tcPr>
            <w:tcW w:type="dxa" w:w="2160"/>
            <w:shd w:val="clear" w:fill="F4F8F5"/>
          </w:tcPr>
          <w:p>
            <w:pPr>
              <w:spacing w:before="40" w:after="40"/>
            </w:pPr>
            <w:r/>
            <w:r>
              <w:rPr>
                <w:rFonts w:ascii="Calibri" w:hAnsi="Calibri"/>
                <w:b w:val="0"/>
                <w:color w:val="33403A"/>
                <w:sz w:val="17"/>
              </w:rPr>
              <w:t>Format</w:t>
            </w:r>
          </w:p>
        </w:tc>
        <w:tc>
          <w:tcPr>
            <w:tcW w:type="dxa" w:w="7632"/>
            <w:shd w:val="clear" w:fill="F4F8F5"/>
          </w:tcPr>
          <w:p>
            <w:pPr>
              <w:spacing w:before="40" w:after="40"/>
            </w:pPr>
            <w:r/>
            <w:r>
              <w:rPr>
                <w:rFonts w:ascii="Calibri" w:hAnsi="Calibri"/>
                <w:b w:val="0"/>
                <w:color w:val="33403A"/>
                <w:sz w:val="17"/>
              </w:rPr>
              <w:t>Hybrid workshop — each half-day pairs a short presentation with an extended hands-on laboratory</w:t>
            </w:r>
          </w:p>
        </w:tc>
      </w:tr>
      <w:tr>
        <w:tc>
          <w:tcPr>
            <w:tcW w:type="dxa" w:w="2160"/>
          </w:tcPr>
          <w:p>
            <w:pPr>
              <w:spacing w:before="40" w:after="40"/>
            </w:pPr>
            <w:r/>
            <w:r>
              <w:rPr>
                <w:rFonts w:ascii="Calibri" w:hAnsi="Calibri"/>
                <w:b w:val="0"/>
                <w:color w:val="33403A"/>
                <w:sz w:val="17"/>
              </w:rPr>
              <w:t>Structure</w:t>
            </w:r>
          </w:p>
        </w:tc>
        <w:tc>
          <w:tcPr>
            <w:tcW w:type="dxa" w:w="7632"/>
          </w:tcPr>
          <w:p>
            <w:pPr>
              <w:spacing w:before="40" w:after="40"/>
            </w:pPr>
            <w:r/>
            <w:r>
              <w:rPr>
                <w:rFonts w:ascii="Calibri" w:hAnsi="Calibri"/>
                <w:b w:val="0"/>
                <w:color w:val="33403A"/>
                <w:sz w:val="17"/>
              </w:rPr>
              <w:t>28 sessions: 9 presentations, 13 laboratory slots covering 13 specified laboratories, plus ceremonies, plenaries and facilitated discussion</w:t>
            </w:r>
          </w:p>
        </w:tc>
      </w:tr>
      <w:tr>
        <w:tc>
          <w:tcPr>
            <w:tcW w:type="dxa" w:w="2160"/>
            <w:shd w:val="clear" w:fill="F4F8F5"/>
          </w:tcPr>
          <w:p>
            <w:pPr>
              <w:spacing w:before="40" w:after="40"/>
            </w:pPr>
            <w:r/>
            <w:r>
              <w:rPr>
                <w:rFonts w:ascii="Calibri" w:hAnsi="Calibri"/>
                <w:b w:val="0"/>
                <w:color w:val="33403A"/>
                <w:sz w:val="17"/>
              </w:rPr>
              <w:t>Organisers</w:t>
            </w:r>
          </w:p>
        </w:tc>
        <w:tc>
          <w:tcPr>
            <w:tcW w:type="dxa" w:w="7632"/>
            <w:shd w:val="clear" w:fill="F4F8F5"/>
          </w:tcPr>
          <w:p>
            <w:pPr>
              <w:spacing w:before="40" w:after="40"/>
            </w:pPr>
            <w:r/>
            <w:r>
              <w:rPr>
                <w:rFonts w:ascii="Calibri" w:hAnsi="Calibri"/>
                <w:b w:val="0"/>
                <w:color w:val="33403A"/>
                <w:sz w:val="17"/>
              </w:rPr>
              <w:t>African Development Bank (AfDB), Secretariat of STG17, with AU STATAFRIC</w:t>
            </w:r>
          </w:p>
        </w:tc>
      </w:tr>
      <w:tr>
        <w:tc>
          <w:tcPr>
            <w:tcW w:type="dxa" w:w="2160"/>
          </w:tcPr>
          <w:p>
            <w:pPr>
              <w:spacing w:before="40" w:after="40"/>
            </w:pPr>
            <w:r/>
            <w:r>
              <w:rPr>
                <w:rFonts w:ascii="Calibri" w:hAnsi="Calibri"/>
                <w:b w:val="0"/>
                <w:color w:val="33403A"/>
                <w:sz w:val="17"/>
              </w:rPr>
              <w:t>Opening &amp; closing</w:t>
            </w:r>
          </w:p>
        </w:tc>
        <w:tc>
          <w:tcPr>
            <w:tcW w:type="dxa" w:w="7632"/>
          </w:tcPr>
          <w:p>
            <w:pPr>
              <w:spacing w:before="40" w:after="40"/>
            </w:pPr>
            <w:r/>
            <w:r>
              <w:rPr>
                <w:rFonts w:ascii="Calibri" w:hAnsi="Calibri"/>
                <w:b w:val="0"/>
                <w:color w:val="33403A"/>
                <w:sz w:val="17"/>
              </w:rPr>
              <w:t>Jointly by AfDB and AU STATAFRIC — Day 1 morning and Day 5 morning</w:t>
            </w:r>
          </w:p>
        </w:tc>
      </w:tr>
      <w:tr>
        <w:tc>
          <w:tcPr>
            <w:tcW w:type="dxa" w:w="2160"/>
            <w:shd w:val="clear" w:fill="F4F8F5"/>
          </w:tcPr>
          <w:p>
            <w:pPr>
              <w:spacing w:before="40" w:after="40"/>
            </w:pPr>
            <w:r/>
            <w:r>
              <w:rPr>
                <w:rFonts w:ascii="Calibri" w:hAnsi="Calibri"/>
                <w:b w:val="0"/>
                <w:color w:val="33403A"/>
                <w:sz w:val="17"/>
              </w:rPr>
              <w:t>Participants</w:t>
            </w:r>
          </w:p>
        </w:tc>
        <w:tc>
          <w:tcPr>
            <w:tcW w:type="dxa" w:w="7632"/>
            <w:shd w:val="clear" w:fill="F4F8F5"/>
          </w:tcPr>
          <w:p>
            <w:pPr>
              <w:spacing w:before="40" w:after="40"/>
            </w:pPr>
            <w:r/>
            <w:r>
              <w:rPr>
                <w:rFonts w:ascii="Calibri" w:hAnsi="Calibri"/>
                <w:b w:val="0"/>
                <w:color w:val="33403A"/>
                <w:sz w:val="17"/>
              </w:rPr>
              <w:t>Senior NSO officials in statistical innovation, IT and data science; REC and AFRISTAT experts</w:t>
            </w:r>
          </w:p>
        </w:tc>
      </w:tr>
      <w:tr>
        <w:tc>
          <w:tcPr>
            <w:tcW w:type="dxa" w:w="2160"/>
          </w:tcPr>
          <w:p>
            <w:pPr>
              <w:spacing w:before="40" w:after="40"/>
            </w:pPr>
            <w:r/>
            <w:r>
              <w:rPr>
                <w:rFonts w:ascii="Calibri" w:hAnsi="Calibri"/>
                <w:b w:val="0"/>
                <w:color w:val="33403A"/>
                <w:sz w:val="17"/>
              </w:rPr>
              <w:t>Working languages</w:t>
            </w:r>
          </w:p>
        </w:tc>
        <w:tc>
          <w:tcPr>
            <w:tcW w:type="dxa" w:w="7632"/>
          </w:tcPr>
          <w:p>
            <w:pPr>
              <w:spacing w:before="40" w:after="40"/>
            </w:pPr>
            <w:r/>
            <w:r>
              <w:rPr>
                <w:rFonts w:ascii="Calibri" w:hAnsi="Calibri"/>
                <w:b w:val="0"/>
                <w:color w:val="33403A"/>
                <w:sz w:val="17"/>
              </w:rPr>
              <w:t>English and French throughout. Every presentation and every notebook is produced in both languages from a single source, so the two versions cannot drift apart</w:t>
            </w:r>
          </w:p>
        </w:tc>
      </w:tr>
      <w:tr>
        <w:tc>
          <w:tcPr>
            <w:tcW w:type="dxa" w:w="2160"/>
            <w:shd w:val="clear" w:fill="F4F8F5"/>
          </w:tcPr>
          <w:p>
            <w:pPr>
              <w:spacing w:before="40" w:after="40"/>
            </w:pPr>
            <w:r/>
            <w:r>
              <w:rPr>
                <w:rFonts w:ascii="Calibri" w:hAnsi="Calibri"/>
                <w:b w:val="0"/>
                <w:color w:val="33403A"/>
                <w:sz w:val="17"/>
              </w:rPr>
              <w:t>Country coverage</w:t>
            </w:r>
          </w:p>
        </w:tc>
        <w:tc>
          <w:tcPr>
            <w:tcW w:type="dxa" w:w="7632"/>
            <w:shd w:val="clear" w:fill="F4F8F5"/>
          </w:tcPr>
          <w:p>
            <w:pPr>
              <w:spacing w:before="40" w:after="40"/>
            </w:pPr>
            <w:r/>
            <w:r>
              <w:rPr>
                <w:rFonts w:ascii="Calibri" w:hAnsi="Calibri"/>
                <w:b w:val="0"/>
                <w:color w:val="33403A"/>
                <w:sz w:val="17"/>
              </w:rPr>
              <w:t>All 55 African Union member states. Each notebook is driven by one country parameter; the registry supplies boundaries, satellite tiles and projection for every member state</w:t>
            </w:r>
          </w:p>
        </w:tc>
      </w:tr>
      <w:tr>
        <w:tc>
          <w:tcPr>
            <w:tcW w:type="dxa" w:w="2160"/>
          </w:tcPr>
          <w:p>
            <w:pPr>
              <w:spacing w:before="40" w:after="40"/>
            </w:pPr>
            <w:r/>
            <w:r>
              <w:rPr>
                <w:rFonts w:ascii="Calibri" w:hAnsi="Calibri"/>
                <w:b w:val="0"/>
                <w:color w:val="33403A"/>
                <w:sz w:val="17"/>
              </w:rPr>
              <w:t>Shared output</w:t>
            </w:r>
          </w:p>
        </w:tc>
        <w:tc>
          <w:tcPr>
            <w:tcW w:type="dxa" w:w="7632"/>
          </w:tcPr>
          <w:p>
            <w:pPr>
              <w:spacing w:before="40" w:after="40"/>
            </w:pPr>
            <w:r/>
            <w:r>
              <w:rPr>
                <w:rFonts w:ascii="Calibri" w:hAnsi="Calibri"/>
                <w:b w:val="0"/>
                <w:color w:val="33403A"/>
                <w:sz w:val="17"/>
              </w:rPr>
              <w:t>All laboratory work published on the workshop GitHub organisation</w:t>
            </w:r>
          </w:p>
        </w:tc>
      </w:tr>
      <w:tr>
        <w:tc>
          <w:tcPr>
            <w:tcW w:type="dxa" w:w="2160"/>
            <w:shd w:val="clear" w:fill="F4F8F5"/>
          </w:tcPr>
          <w:p>
            <w:pPr>
              <w:spacing w:before="40" w:after="40"/>
            </w:pPr>
            <w:r/>
            <w:r>
              <w:rPr>
                <w:rFonts w:ascii="Calibri" w:hAnsi="Calibri"/>
                <w:b w:val="0"/>
                <w:color w:val="33403A"/>
                <w:sz w:val="17"/>
              </w:rPr>
              <w:t>Anchored in</w:t>
            </w:r>
          </w:p>
        </w:tc>
        <w:tc>
          <w:tcPr>
            <w:tcW w:type="dxa" w:w="7632"/>
            <w:shd w:val="clear" w:fill="F4F8F5"/>
          </w:tcPr>
          <w:p>
            <w:pPr>
              <w:spacing w:before="40" w:after="40"/>
            </w:pPr>
            <w:r/>
            <w:r>
              <w:rPr>
                <w:rFonts w:ascii="Calibri" w:hAnsi="Calibri"/>
                <w:b w:val="0"/>
                <w:color w:val="33403A"/>
                <w:sz w:val="17"/>
              </w:rPr>
              <w:t>STG17 Action Plan 2025–2030 — Work Package 4.2, feeding WP 1, 2, 3 and 4</w:t>
            </w:r>
          </w:p>
        </w:tc>
      </w:tr>
    </w:tbl>
    <w:p>
      <w:pPr>
        <w:pStyle w:val="Heading1"/>
        <w:spacing w:before="280" w:after="120"/>
      </w:pPr>
      <w:r>
        <w:rPr>
          <w:rFonts w:ascii="Cambria" w:hAnsi="Cambria"/>
          <w:b/>
          <w:color w:val="C08A1E"/>
          <w:sz w:val="26"/>
        </w:rPr>
        <w:t>1  Background</w:t>
      </w:r>
    </w:p>
    <w:p>
      <w:pPr>
        <w:pStyle w:val="Heading3"/>
        <w:spacing w:before="200" w:after="120"/>
      </w:pPr>
      <w:r>
        <w:rPr>
          <w:rFonts w:ascii="Cambria" w:hAnsi="Cambria"/>
          <w:b/>
          <w:color w:val="0A3527"/>
          <w:sz w:val="22"/>
        </w:rPr>
        <w:t>From SHaSA II to a Specialized Technical Group on Emerging Issues</w:t>
      </w:r>
    </w:p>
    <w:p>
      <w:pPr>
        <w:spacing w:after="120"/>
        <w:jc w:val="both"/>
      </w:pPr>
      <w:r>
        <w:rPr>
          <w:rFonts w:ascii="Calibri" w:hAnsi="Calibri"/>
          <w:i w:val="0"/>
          <w:color w:val="33403A"/>
          <w:sz w:val="19"/>
        </w:rPr>
        <w:t>The Executive Council of the thirtieth African Union Summit, held in Addis Ababa on 28 and 29 January 2018, adopted SHaSA II together with its action plan, financing plan and resource mobilisation strategy, as the continental strategy for the development of statistics in Africa, and invited Member States to implement it. SHaSA II is operationalised through Specialized Technical Groups, one for each of its eighteen priority focus areas. STG17 is the group responsible for emerging issues — big data, open data and, increasingly, artificial intelligence.</w:t>
      </w:r>
    </w:p>
    <w:p>
      <w:pPr>
        <w:pStyle w:val="Heading3"/>
        <w:spacing w:before="200" w:after="120"/>
      </w:pPr>
      <w:r>
        <w:rPr>
          <w:rFonts w:ascii="Cambria" w:hAnsi="Cambria"/>
          <w:b/>
          <w:color w:val="0A3527"/>
          <w:sz w:val="22"/>
        </w:rPr>
        <w:t>The first Annual Meeting — Kigali, 10–12 September 2025</w:t>
      </w:r>
    </w:p>
    <w:p>
      <w:pPr>
        <w:spacing w:after="120"/>
        <w:jc w:val="both"/>
      </w:pPr>
      <w:r>
        <w:rPr>
          <w:rFonts w:ascii="Calibri" w:hAnsi="Calibri"/>
          <w:i w:val="0"/>
          <w:color w:val="33403A"/>
          <w:sz w:val="19"/>
        </w:rPr>
        <w:t>The African Development Bank, as Secretariat of STG17, and AU STATAFRIC convened the group’s first Annual Meeting in Kigali. The meeting validated the terms of reference of STG17, established its Bureau — chaired by Somalia, with Tunisia, Mozambique and Cameroon as vice-chairs and Côte d’Ivoire as rapporteur — and agreed the continental medium-term Action Plan 2025–2030 that this workshop serves.</w:t>
      </w:r>
    </w:p>
    <w:p>
      <w:pPr>
        <w:pStyle w:val="Heading3"/>
        <w:spacing w:before="200" w:after="120"/>
      </w:pPr>
      <w:r>
        <w:rPr>
          <w:rFonts w:ascii="Cambria" w:hAnsi="Cambria"/>
          <w:b/>
          <w:color w:val="0A3527"/>
          <w:sz w:val="22"/>
        </w:rPr>
        <w:t>What the countries said they needed</w:t>
      </w:r>
    </w:p>
    <w:p>
      <w:pPr>
        <w:spacing w:after="120"/>
        <w:jc w:val="both"/>
      </w:pPr>
      <w:r>
        <w:rPr>
          <w:rFonts w:ascii="Calibri" w:hAnsi="Calibri"/>
          <w:i w:val="0"/>
          <w:color w:val="33403A"/>
          <w:sz w:val="19"/>
        </w:rPr>
        <w:t>Country presentations and two working groups converged, without much dissent, on the same diagnosis. Considerable experience already exists across the continent — data innovation labs, mobile phone and satellite imagery projects, national AI and data strategies — but it is unevenly documented and rarely shared in a form others can reuse. Five obstacles were identified as holding back the effective and systematic use of alternative data sources. This workshop is built around them.</w:t>
      </w:r>
    </w:p>
    <w:p>
      <w:pPr>
        <w:spacing w:after="120"/>
        <w:jc w:val="both"/>
      </w:pPr>
      <w:r>
        <w:rPr>
          <w:rFonts w:ascii="Calibri" w:hAnsi="Calibri"/>
          <w:i w:val="0"/>
          <w:color w:val="33403A"/>
          <w:sz w:val="19"/>
        </w:rPr>
        <w:t>The meeting also asked that artificial intelligence be taken seriously but handled carefully, with quality and ethics kept in view. That caution is deliberately built into the agenda rather than confined to a closing disclaimer: verification of LLM output before publication, confidentiality rules for microdata, evaluation sets, and honest statements of what a proxy indicator cannot support.</w:t>
      </w:r>
    </w:p>
    <w:tbl>
      <w:tblPr>
        <w:tblW w:type="auto" w:w="0"/>
        <w:jc w:val="center"/>
        <w:tblLayout w:type="fixed"/>
        <w:tblLook w:firstColumn="1" w:firstRow="1" w:lastColumn="0" w:lastRow="0" w:noHBand="0" w:noVBand="1" w:val="04A0"/>
      </w:tblPr>
      <w:tblGrid>
        <w:gridCol w:w="4874"/>
        <w:gridCol w:w="4874"/>
      </w:tblGrid>
      <w:tr>
        <w:tc>
          <w:tcPr>
            <w:tcW w:type="dxa" w:w="4320"/>
            <w:shd w:val="clear" w:fill="0B2545"/>
          </w:tcPr>
          <w:p>
            <w:pPr>
              <w:spacing w:before="40" w:after="40"/>
            </w:pPr>
            <w:r/>
            <w:r>
              <w:rPr>
                <w:rFonts w:ascii="Calibri" w:hAnsi="Calibri"/>
                <w:b/>
                <w:color w:val="FFFFFF"/>
                <w:sz w:val="17"/>
              </w:rPr>
              <w:t>Obstacle identified in Kigali</w:t>
            </w:r>
          </w:p>
        </w:tc>
        <w:tc>
          <w:tcPr>
            <w:tcW w:type="dxa" w:w="5472"/>
            <w:shd w:val="clear" w:fill="0B2545"/>
          </w:tcPr>
          <w:p>
            <w:pPr>
              <w:spacing w:before="40" w:after="40"/>
            </w:pPr>
            <w:r/>
            <w:r>
              <w:rPr>
                <w:rFonts w:ascii="Calibri" w:hAnsi="Calibri"/>
                <w:b/>
                <w:color w:val="FFFFFF"/>
                <w:sz w:val="17"/>
              </w:rPr>
              <w:t>How this workshop responds</w:t>
            </w:r>
          </w:p>
        </w:tc>
      </w:tr>
      <w:tr>
        <w:tc>
          <w:tcPr>
            <w:tcW w:type="dxa" w:w="4320"/>
          </w:tcPr>
          <w:p>
            <w:pPr>
              <w:spacing w:before="40" w:after="40"/>
            </w:pPr>
            <w:r/>
            <w:r>
              <w:rPr>
                <w:rFonts w:ascii="Calibri" w:hAnsi="Calibri"/>
                <w:b w:val="0"/>
                <w:color w:val="33403A"/>
                <w:sz w:val="16"/>
              </w:rPr>
              <w:t>Obstacles to accessing new data sources — legal frameworks, cost of access, usability</w:t>
            </w:r>
          </w:p>
        </w:tc>
        <w:tc>
          <w:tcPr>
            <w:tcW w:type="dxa" w:w="5472"/>
          </w:tcPr>
          <w:p>
            <w:pPr>
              <w:spacing w:before="40" w:after="40"/>
            </w:pPr>
            <w:r/>
            <w:r>
              <w:rPr>
                <w:rFonts w:ascii="Calibri" w:hAnsi="Calibri"/>
                <w:b w:val="0"/>
                <w:color w:val="33403A"/>
                <w:sz w:val="16"/>
              </w:rPr>
              <w:t>Access and partnership models with private data holders (Day 3 morning); working directly with an openly licensed source and its restrictions (Ookla, CC BY-NC-SA); licensing, DOI and citation in the publication session (Day 5)</w:t>
            </w:r>
          </w:p>
        </w:tc>
      </w:tr>
      <w:tr>
        <w:tc>
          <w:tcPr>
            <w:tcW w:type="dxa" w:w="4320"/>
            <w:shd w:val="clear" w:fill="F4F8F5"/>
          </w:tcPr>
          <w:p>
            <w:pPr>
              <w:spacing w:before="40" w:after="40"/>
            </w:pPr>
            <w:r/>
            <w:r>
              <w:rPr>
                <w:rFonts w:ascii="Calibri" w:hAnsi="Calibri"/>
                <w:b w:val="0"/>
                <w:color w:val="33403A"/>
                <w:sz w:val="16"/>
              </w:rPr>
              <w:t>Absence of harmonised methodologies, preventing efficient exchange between countries</w:t>
            </w:r>
          </w:p>
        </w:tc>
        <w:tc>
          <w:tcPr>
            <w:tcW w:type="dxa" w:w="5472"/>
            <w:shd w:val="clear" w:fill="F4F8F5"/>
          </w:tcPr>
          <w:p>
            <w:pPr>
              <w:spacing w:before="40" w:after="40"/>
            </w:pPr>
            <w:r/>
            <w:r>
              <w:rPr>
                <w:rFonts w:ascii="Calibri" w:hAnsi="Calibri"/>
                <w:b w:val="0"/>
                <w:color w:val="33403A"/>
                <w:sz w:val="16"/>
              </w:rPr>
              <w:t>Every country team runs the same documented pipeline on the same three sources; all notebooks and READMEs land in one public GitHub organisation, forming the raw material for the methodological guidelines under activity 2.1.1</w:t>
            </w:r>
          </w:p>
        </w:tc>
      </w:tr>
      <w:tr>
        <w:tc>
          <w:tcPr>
            <w:tcW w:type="dxa" w:w="4320"/>
          </w:tcPr>
          <w:p>
            <w:pPr>
              <w:spacing w:before="40" w:after="40"/>
            </w:pPr>
            <w:r/>
            <w:r>
              <w:rPr>
                <w:rFonts w:ascii="Calibri" w:hAnsi="Calibri"/>
                <w:b w:val="0"/>
                <w:color w:val="33403A"/>
                <w:sz w:val="16"/>
              </w:rPr>
              <w:t>Open questions on the quality of alternative sources and the applicability of official quality frameworks</w:t>
            </w:r>
          </w:p>
        </w:tc>
        <w:tc>
          <w:tcPr>
            <w:tcW w:type="dxa" w:w="5472"/>
          </w:tcPr>
          <w:p>
            <w:pPr>
              <w:spacing w:before="40" w:after="40"/>
            </w:pPr>
            <w:r/>
            <w:r>
              <w:rPr>
                <w:rFonts w:ascii="Calibri" w:hAnsi="Calibri"/>
                <w:b w:val="0"/>
                <w:color w:val="33403A"/>
                <w:sz w:val="16"/>
              </w:rPr>
              <w:t>Coverage and selection bias in non-probabilistic sources (Day 3); validation of the NTL proxy against official subnational statistics, and an explicit limitations statement as part of every deliverable (Day 4)</w:t>
            </w:r>
          </w:p>
        </w:tc>
      </w:tr>
      <w:tr>
        <w:tc>
          <w:tcPr>
            <w:tcW w:type="dxa" w:w="4320"/>
            <w:shd w:val="clear" w:fill="F4F8F5"/>
          </w:tcPr>
          <w:p>
            <w:pPr>
              <w:spacing w:before="40" w:after="40"/>
            </w:pPr>
            <w:r/>
            <w:r>
              <w:rPr>
                <w:rFonts w:ascii="Calibri" w:hAnsi="Calibri"/>
                <w:b w:val="0"/>
                <w:color w:val="33403A"/>
                <w:sz w:val="16"/>
              </w:rPr>
              <w:t>Weaknesses in NSO IT and big data infrastructure</w:t>
            </w:r>
          </w:p>
        </w:tc>
        <w:tc>
          <w:tcPr>
            <w:tcW w:type="dxa" w:w="5472"/>
            <w:shd w:val="clear" w:fill="F4F8F5"/>
          </w:tcPr>
          <w:p>
            <w:pPr>
              <w:spacing w:before="40" w:after="40"/>
            </w:pPr>
            <w:r/>
            <w:r>
              <w:rPr>
                <w:rFonts w:ascii="Calibri" w:hAnsi="Calibri"/>
                <w:b w:val="0"/>
                <w:color w:val="33403A"/>
                <w:sz w:val="16"/>
              </w:rPr>
              <w:t>AI infrastructure fundamentals, cost modelling and sovereignty trade-offs (Day 1 afternoon); big data technologies and a hands-on comparison of when the added complexity is warranted (Day 3 afternoon) — feeding activity 4.2.3</w:t>
            </w:r>
          </w:p>
        </w:tc>
      </w:tr>
      <w:tr>
        <w:tc>
          <w:tcPr>
            <w:tcW w:type="dxa" w:w="4320"/>
          </w:tcPr>
          <w:p>
            <w:pPr>
              <w:spacing w:before="40" w:after="40"/>
            </w:pPr>
            <w:r/>
            <w:r>
              <w:rPr>
                <w:rFonts w:ascii="Calibri" w:hAnsi="Calibri"/>
                <w:b w:val="0"/>
                <w:color w:val="33403A"/>
                <w:sz w:val="16"/>
              </w:rPr>
              <w:t>Gaps in human resources, skills and data roles</w:t>
            </w:r>
          </w:p>
        </w:tc>
        <w:tc>
          <w:tcPr>
            <w:tcW w:type="dxa" w:w="5472"/>
          </w:tcPr>
          <w:p>
            <w:pPr>
              <w:spacing w:before="40" w:after="40"/>
            </w:pPr>
            <w:r/>
            <w:r>
              <w:rPr>
                <w:rFonts w:ascii="Calibri" w:hAnsi="Calibri"/>
                <w:b w:val="0"/>
                <w:color w:val="33403A"/>
                <w:sz w:val="16"/>
              </w:rPr>
              <w:t>The workshop itself, framed by a baseline and end-line self-assessment feeding the competencies framework (4.1.1), and by draft chapters for the reference manual on key data skills (4.2.1)</w:t>
            </w:r>
          </w:p>
        </w:tc>
      </w:tr>
      <w:tr>
        <w:tc>
          <w:tcPr>
            <w:tcW w:type="dxa" w:w="4320"/>
            <w:shd w:val="clear" w:fill="F4F8F5"/>
          </w:tcPr>
          <w:p>
            <w:pPr>
              <w:spacing w:before="40" w:after="40"/>
            </w:pPr>
            <w:r/>
            <w:r>
              <w:rPr>
                <w:rFonts w:ascii="Calibri" w:hAnsi="Calibri"/>
                <w:b w:val="0"/>
                <w:color w:val="33403A"/>
                <w:sz w:val="16"/>
              </w:rPr>
              <w:t>Need for a champion system and for structured exchange between offices</w:t>
            </w:r>
          </w:p>
        </w:tc>
        <w:tc>
          <w:tcPr>
            <w:tcW w:type="dxa" w:w="5472"/>
            <w:shd w:val="clear" w:fill="F4F8F5"/>
          </w:tcPr>
          <w:p>
            <w:pPr>
              <w:spacing w:before="40" w:after="40"/>
            </w:pPr>
            <w:r/>
            <w:r>
              <w:rPr>
                <w:rFonts w:ascii="Calibri" w:hAnsi="Calibri"/>
                <w:b w:val="0"/>
                <w:color w:val="33403A"/>
                <w:sz w:val="16"/>
              </w:rPr>
              <w:t>Country experience exchange on Day 1 and country presentations on Day 5, both designed to surface reusable work and name owners for follow-up projects (3.1.1, 3.1.2)</w:t>
            </w:r>
          </w:p>
        </w:tc>
      </w:tr>
    </w:tbl>
    <w:p>
      <w:pPr>
        <w:pStyle w:val="Heading1"/>
        <w:spacing w:before="280" w:after="120"/>
      </w:pPr>
      <w:r>
        <w:rPr>
          <w:rFonts w:ascii="Cambria" w:hAnsi="Cambria"/>
          <w:b/>
          <w:color w:val="C08A1E"/>
          <w:sz w:val="26"/>
        </w:rPr>
        <w:t>2  Rationale and link with the STG17 Action Plan</w:t>
      </w:r>
    </w:p>
    <w:p>
      <w:pPr>
        <w:spacing w:after="120"/>
        <w:jc w:val="both"/>
      </w:pPr>
      <w:r>
        <w:rPr>
          <w:rFonts w:ascii="Calibri" w:hAnsi="Calibri"/>
          <w:i w:val="0"/>
          <w:color w:val="33403A"/>
          <w:sz w:val="19"/>
        </w:rPr>
        <w:t>This workshop is a direct operational instrument of Work Package 4 — Capacity building and transfer, specifically activity 4.2 “Capacity Building on Emerging Technologies: project-driven training”. It is deliberately designed so that its outputs are not consumed by the training alone, but feed four other work packages of the Action Plan.</w:t>
      </w:r>
    </w:p>
    <w:tbl>
      <w:tblPr>
        <w:tblW w:type="auto" w:w="0"/>
        <w:jc w:val="center"/>
        <w:tblLayout w:type="fixed"/>
        <w:tblLook w:firstColumn="1" w:firstRow="1" w:lastColumn="0" w:lastRow="0" w:noHBand="0" w:noVBand="1" w:val="04A0"/>
      </w:tblPr>
      <w:tblGrid>
        <w:gridCol w:w="4874"/>
        <w:gridCol w:w="4874"/>
      </w:tblGrid>
      <w:tr>
        <w:tc>
          <w:tcPr>
            <w:tcW w:type="dxa" w:w="5184"/>
            <w:shd w:val="clear" w:fill="0B2545"/>
          </w:tcPr>
          <w:p>
            <w:pPr>
              <w:spacing w:before="40" w:after="40"/>
            </w:pPr>
            <w:r/>
            <w:r>
              <w:rPr>
                <w:rFonts w:ascii="Calibri" w:hAnsi="Calibri"/>
                <w:b/>
                <w:color w:val="FFFFFF"/>
                <w:sz w:val="17"/>
              </w:rPr>
              <w:t>Workshop output</w:t>
            </w:r>
          </w:p>
        </w:tc>
        <w:tc>
          <w:tcPr>
            <w:tcW w:type="dxa" w:w="4608"/>
            <w:shd w:val="clear" w:fill="0B2545"/>
          </w:tcPr>
          <w:p>
            <w:pPr>
              <w:spacing w:before="40" w:after="40"/>
            </w:pPr>
            <w:r/>
            <w:r>
              <w:rPr>
                <w:rFonts w:ascii="Calibri" w:hAnsi="Calibri"/>
                <w:b/>
                <w:color w:val="FFFFFF"/>
                <w:sz w:val="17"/>
              </w:rPr>
              <w:t>Feeds STG17 Action Plan activity</w:t>
            </w:r>
          </w:p>
        </w:tc>
      </w:tr>
      <w:tr>
        <w:tc>
          <w:tcPr>
            <w:tcW w:type="dxa" w:w="5184"/>
          </w:tcPr>
          <w:p>
            <w:pPr>
              <w:spacing w:before="40" w:after="40"/>
            </w:pPr>
            <w:r/>
            <w:r>
              <w:rPr>
                <w:rFonts w:ascii="Calibri" w:hAnsi="Calibri"/>
                <w:b w:val="0"/>
                <w:color w:val="33403A"/>
                <w:sz w:val="16"/>
              </w:rPr>
              <w:t>Public GitHub repository: notebooks, dashboards and technical notes on Ookla, WorldPop and NTL</w:t>
            </w:r>
          </w:p>
        </w:tc>
        <w:tc>
          <w:tcPr>
            <w:tcW w:type="dxa" w:w="4608"/>
          </w:tcPr>
          <w:p>
            <w:pPr>
              <w:spacing w:before="40" w:after="40"/>
            </w:pPr>
            <w:r/>
            <w:r>
              <w:rPr>
                <w:rFonts w:ascii="Calibri" w:hAnsi="Calibri"/>
                <w:b w:val="0"/>
                <w:color w:val="33403A"/>
                <w:sz w:val="16"/>
              </w:rPr>
              <w:t>2.1.1 — Methodological guidelines for the use of new data sources (1 topic/year)</w:t>
            </w:r>
          </w:p>
        </w:tc>
      </w:tr>
      <w:tr>
        <w:tc>
          <w:tcPr>
            <w:tcW w:type="dxa" w:w="5184"/>
            <w:shd w:val="clear" w:fill="F4F8F5"/>
          </w:tcPr>
          <w:p>
            <w:pPr>
              <w:spacing w:before="40" w:after="40"/>
            </w:pPr>
            <w:r/>
            <w:r>
              <w:rPr>
                <w:rFonts w:ascii="Calibri" w:hAnsi="Calibri"/>
                <w:b w:val="0"/>
                <w:color w:val="33403A"/>
                <w:sz w:val="16"/>
              </w:rPr>
              <w:t>Draft chapters for the reference manual on key data skills</w:t>
            </w:r>
          </w:p>
        </w:tc>
        <w:tc>
          <w:tcPr>
            <w:tcW w:type="dxa" w:w="4608"/>
            <w:shd w:val="clear" w:fill="F4F8F5"/>
          </w:tcPr>
          <w:p>
            <w:pPr>
              <w:spacing w:before="40" w:after="40"/>
            </w:pPr>
            <w:r/>
            <w:r>
              <w:rPr>
                <w:rFonts w:ascii="Calibri" w:hAnsi="Calibri"/>
                <w:b w:val="0"/>
                <w:color w:val="33403A"/>
                <w:sz w:val="16"/>
              </w:rPr>
              <w:t>4.2.1 — Reference manuals developed and webinar on key data skills</w:t>
            </w:r>
          </w:p>
        </w:tc>
      </w:tr>
      <w:tr>
        <w:tc>
          <w:tcPr>
            <w:tcW w:type="dxa" w:w="5184"/>
          </w:tcPr>
          <w:p>
            <w:pPr>
              <w:spacing w:before="40" w:after="40"/>
            </w:pPr>
            <w:r/>
            <w:r>
              <w:rPr>
                <w:rFonts w:ascii="Calibri" w:hAnsi="Calibri"/>
                <w:b w:val="0"/>
                <w:color w:val="33403A"/>
                <w:sz w:val="16"/>
              </w:rPr>
              <w:t>Country experience exchange on AI and non-traditional data (Day 1 morning)</w:t>
            </w:r>
          </w:p>
        </w:tc>
        <w:tc>
          <w:tcPr>
            <w:tcW w:type="dxa" w:w="4608"/>
          </w:tcPr>
          <w:p>
            <w:pPr>
              <w:spacing w:before="40" w:after="40"/>
            </w:pPr>
            <w:r/>
            <w:r>
              <w:rPr>
                <w:rFonts w:ascii="Calibri" w:hAnsi="Calibri"/>
                <w:b w:val="0"/>
                <w:color w:val="33403A"/>
                <w:sz w:val="16"/>
              </w:rPr>
              <w:t>3.3.2 — AI strategy: sharing of experience; 3.1.2 — Regional pooling of efforts</w:t>
            </w:r>
          </w:p>
        </w:tc>
      </w:tr>
      <w:tr>
        <w:tc>
          <w:tcPr>
            <w:tcW w:type="dxa" w:w="5184"/>
            <w:shd w:val="clear" w:fill="F4F8F5"/>
          </w:tcPr>
          <w:p>
            <w:pPr>
              <w:spacing w:before="40" w:after="40"/>
            </w:pPr>
            <w:r/>
            <w:r>
              <w:rPr>
                <w:rFonts w:ascii="Calibri" w:hAnsi="Calibri"/>
                <w:b w:val="0"/>
                <w:color w:val="33403A"/>
                <w:sz w:val="16"/>
              </w:rPr>
              <w:t>AI infrastructure requirements assessed by participants (Day 1 afternoon)</w:t>
            </w:r>
          </w:p>
        </w:tc>
        <w:tc>
          <w:tcPr>
            <w:tcW w:type="dxa" w:w="4608"/>
            <w:shd w:val="clear" w:fill="F4F8F5"/>
          </w:tcPr>
          <w:p>
            <w:pPr>
              <w:spacing w:before="40" w:after="40"/>
            </w:pPr>
            <w:r/>
            <w:r>
              <w:rPr>
                <w:rFonts w:ascii="Calibri" w:hAnsi="Calibri"/>
                <w:b w:val="0"/>
                <w:color w:val="33403A"/>
                <w:sz w:val="16"/>
              </w:rPr>
              <w:t>4.2.3 — Framework on infrastructure architecture approaches</w:t>
            </w:r>
          </w:p>
        </w:tc>
      </w:tr>
      <w:tr>
        <w:tc>
          <w:tcPr>
            <w:tcW w:type="dxa" w:w="5184"/>
          </w:tcPr>
          <w:p>
            <w:pPr>
              <w:spacing w:before="40" w:after="40"/>
            </w:pPr>
            <w:r/>
            <w:r>
              <w:rPr>
                <w:rFonts w:ascii="Calibri" w:hAnsi="Calibri"/>
                <w:b w:val="0"/>
                <w:color w:val="33403A"/>
                <w:sz w:val="16"/>
              </w:rPr>
              <w:t>Ethics, licensing and data-acquisition checklist</w:t>
            </w:r>
          </w:p>
        </w:tc>
        <w:tc>
          <w:tcPr>
            <w:tcW w:type="dxa" w:w="4608"/>
          </w:tcPr>
          <w:p>
            <w:pPr>
              <w:spacing w:before="40" w:after="40"/>
            </w:pPr>
            <w:r/>
            <w:r>
              <w:rPr>
                <w:rFonts w:ascii="Calibri" w:hAnsi="Calibri"/>
                <w:b w:val="0"/>
                <w:color w:val="33403A"/>
                <w:sz w:val="16"/>
              </w:rPr>
              <w:t>4.3 — Reference guide on Data Governance</w:t>
            </w:r>
          </w:p>
        </w:tc>
      </w:tr>
      <w:tr>
        <w:tc>
          <w:tcPr>
            <w:tcW w:type="dxa" w:w="5184"/>
            <w:shd w:val="clear" w:fill="F4F8F5"/>
          </w:tcPr>
          <w:p>
            <w:pPr>
              <w:spacing w:before="40" w:after="40"/>
            </w:pPr>
            <w:r/>
            <w:r>
              <w:rPr>
                <w:rFonts w:ascii="Calibri" w:hAnsi="Calibri"/>
                <w:b w:val="0"/>
                <w:color w:val="33403A"/>
                <w:sz w:val="16"/>
              </w:rPr>
              <w:t>Baseline and end-line skills self-assessment</w:t>
            </w:r>
          </w:p>
        </w:tc>
        <w:tc>
          <w:tcPr>
            <w:tcW w:type="dxa" w:w="4608"/>
            <w:shd w:val="clear" w:fill="F4F8F5"/>
          </w:tcPr>
          <w:p>
            <w:pPr>
              <w:spacing w:before="40" w:after="40"/>
            </w:pPr>
            <w:r/>
            <w:r>
              <w:rPr>
                <w:rFonts w:ascii="Calibri" w:hAnsi="Calibri"/>
                <w:b w:val="0"/>
                <w:color w:val="33403A"/>
                <w:sz w:val="16"/>
              </w:rPr>
              <w:t>4.1.1 — Competencies reference framework</w:t>
            </w:r>
          </w:p>
        </w:tc>
      </w:tr>
      <w:tr>
        <w:tc>
          <w:tcPr>
            <w:tcW w:type="dxa" w:w="5184"/>
          </w:tcPr>
          <w:p>
            <w:pPr>
              <w:spacing w:before="40" w:after="40"/>
            </w:pPr>
            <w:r/>
            <w:r>
              <w:rPr>
                <w:rFonts w:ascii="Calibri" w:hAnsi="Calibri"/>
                <w:b w:val="0"/>
                <w:color w:val="33403A"/>
                <w:sz w:val="16"/>
              </w:rPr>
              <w:t>Country presentations of work produced during the week (Day 5)</w:t>
            </w:r>
          </w:p>
        </w:tc>
        <w:tc>
          <w:tcPr>
            <w:tcW w:type="dxa" w:w="4608"/>
          </w:tcPr>
          <w:p>
            <w:pPr>
              <w:spacing w:before="40" w:after="40"/>
            </w:pPr>
            <w:r/>
            <w:r>
              <w:rPr>
                <w:rFonts w:ascii="Calibri" w:hAnsi="Calibri"/>
                <w:b w:val="0"/>
                <w:color w:val="33403A"/>
                <w:sz w:val="16"/>
              </w:rPr>
              <w:t>3.1.1 — Champion-led projects; 3.1.2 — Regional pooling of efforts</w:t>
            </w:r>
          </w:p>
        </w:tc>
      </w:tr>
      <w:tr>
        <w:tc>
          <w:tcPr>
            <w:tcW w:type="dxa" w:w="5184"/>
            <w:shd w:val="clear" w:fill="F4F8F5"/>
          </w:tcPr>
          <w:p>
            <w:pPr>
              <w:spacing w:before="40" w:after="40"/>
            </w:pPr>
            <w:r/>
            <w:r>
              <w:rPr>
                <w:rFonts w:ascii="Calibri" w:hAnsi="Calibri"/>
                <w:b w:val="0"/>
                <w:color w:val="33403A"/>
                <w:sz w:val="16"/>
              </w:rPr>
              <w:t>Key takeaways and follow-up webinar topics agreed on Day 5</w:t>
            </w:r>
          </w:p>
        </w:tc>
        <w:tc>
          <w:tcPr>
            <w:tcW w:type="dxa" w:w="4608"/>
            <w:shd w:val="clear" w:fill="F4F8F5"/>
          </w:tcPr>
          <w:p>
            <w:pPr>
              <w:spacing w:before="40" w:after="40"/>
            </w:pPr>
            <w:r/>
            <w:r>
              <w:rPr>
                <w:rFonts w:ascii="Calibri" w:hAnsi="Calibri"/>
                <w:b w:val="0"/>
                <w:color w:val="33403A"/>
                <w:sz w:val="16"/>
              </w:rPr>
              <w:t>1.3.1 — Brown bag webinar series (max 2/year)</w:t>
            </w:r>
          </w:p>
        </w:tc>
      </w:tr>
      <w:tr>
        <w:tc>
          <w:tcPr>
            <w:tcW w:type="dxa" w:w="5184"/>
          </w:tcPr>
          <w:p>
            <w:pPr>
              <w:spacing w:before="40" w:after="40"/>
            </w:pPr>
            <w:r/>
            <w:r>
              <w:rPr>
                <w:rFonts w:ascii="Calibri" w:hAnsi="Calibri"/>
                <w:b w:val="0"/>
                <w:color w:val="33403A"/>
                <w:sz w:val="16"/>
              </w:rPr>
              <w:t>Modalities of access to private-sector data (Ookla, telecom operators)</w:t>
            </w:r>
          </w:p>
        </w:tc>
        <w:tc>
          <w:tcPr>
            <w:tcW w:type="dxa" w:w="4608"/>
          </w:tcPr>
          <w:p>
            <w:pPr>
              <w:spacing w:before="40" w:after="40"/>
            </w:pPr>
            <w:r/>
            <w:r>
              <w:rPr>
                <w:rFonts w:ascii="Calibri" w:hAnsi="Calibri"/>
                <w:b w:val="0"/>
                <w:color w:val="33403A"/>
                <w:sz w:val="16"/>
              </w:rPr>
              <w:t>3.1 — Private sector partnerships</w:t>
            </w:r>
          </w:p>
        </w:tc>
      </w:tr>
    </w:tbl>
    <w:p>
      <w:pPr>
        <w:pStyle w:val="Heading1"/>
        <w:spacing w:before="280" w:after="120"/>
      </w:pPr>
      <w:r>
        <w:rPr>
          <w:rFonts w:ascii="Cambria" w:hAnsi="Cambria"/>
          <w:b/>
          <w:color w:val="C08A1E"/>
          <w:sz w:val="26"/>
        </w:rPr>
        <w:t>3  Learning objectives</w:t>
      </w:r>
    </w:p>
    <w:p>
      <w:pPr>
        <w:spacing w:after="120"/>
        <w:jc w:val="both"/>
      </w:pPr>
      <w:r>
        <w:rPr>
          <w:rFonts w:ascii="Calibri" w:hAnsi="Calibri"/>
          <w:i w:val="0"/>
          <w:color w:val="33403A"/>
          <w:sz w:val="19"/>
        </w:rPr>
        <w:t>By the end of the workshop, participants will be able to:</w:t>
      </w:r>
    </w:p>
    <w:p>
      <w:pPr>
        <w:spacing w:after="120"/>
        <w:ind w:left="317"/>
        <w:jc w:val="both"/>
      </w:pPr>
      <w:r>
        <w:rPr>
          <w:rFonts w:ascii="Calibri" w:hAnsi="Calibri"/>
          <w:i w:val="0"/>
          <w:color w:val="33403A"/>
          <w:sz w:val="19"/>
        </w:rPr>
        <w:t>▪  Position the core AI concepts in relation to one another — AI, LLM, prompt engineering, RAG, fine-tuning, agentic systems, agents and MCP — and explain where each fits in the statistical value chain.</w:t>
      </w:r>
    </w:p>
    <w:p>
      <w:pPr>
        <w:spacing w:after="120"/>
        <w:ind w:left="317"/>
        <w:jc w:val="both"/>
      </w:pPr>
      <w:r>
        <w:rPr>
          <w:rFonts w:ascii="Calibri" w:hAnsi="Calibri"/>
          <w:i w:val="0"/>
          <w:color w:val="33403A"/>
          <w:sz w:val="19"/>
        </w:rPr>
        <w:t>▪  Assess the infrastructure an NSO actually needs to run AI workloads: compute, storage, serving, cost and sovereignty trade-offs.</w:t>
      </w:r>
    </w:p>
    <w:p>
      <w:pPr>
        <w:spacing w:after="120"/>
        <w:ind w:left="317"/>
        <w:jc w:val="both"/>
      </w:pPr>
      <w:r>
        <w:rPr>
          <w:rFonts w:ascii="Calibri" w:hAnsi="Calibri"/>
          <w:i w:val="0"/>
          <w:color w:val="33403A"/>
          <w:sz w:val="19"/>
        </w:rPr>
        <w:t>▪  Design, engineer and optimise prompts, and select the right model and inference provider for a given statistical task.</w:t>
      </w:r>
    </w:p>
    <w:p>
      <w:pPr>
        <w:spacing w:after="120"/>
        <w:ind w:left="317"/>
        <w:jc w:val="both"/>
      </w:pPr>
      <w:r>
        <w:rPr>
          <w:rFonts w:ascii="Calibri" w:hAnsi="Calibri"/>
          <w:i w:val="0"/>
          <w:color w:val="33403A"/>
          <w:sz w:val="19"/>
        </w:rPr>
        <w:t>▪  Deploy LLMs across a portfolio of professional use cases: coding, report writing, presentations, graphics and visual identity, document analysis.</w:t>
      </w:r>
    </w:p>
    <w:p>
      <w:pPr>
        <w:spacing w:after="120"/>
        <w:ind w:left="317"/>
        <w:jc w:val="both"/>
      </w:pPr>
      <w:r>
        <w:rPr>
          <w:rFonts w:ascii="Calibri" w:hAnsi="Calibri"/>
          <w:i w:val="0"/>
          <w:color w:val="33403A"/>
          <w:sz w:val="19"/>
        </w:rPr>
        <w:t>▪  Acquire, process and publish non-traditional data — Ookla Speedtest, WorldPop and Night-Time Lights — as subnational statistical indicators.</w:t>
      </w:r>
    </w:p>
    <w:p>
      <w:pPr>
        <w:spacing w:after="120"/>
        <w:ind w:left="317"/>
        <w:jc w:val="both"/>
      </w:pPr>
      <w:r>
        <w:rPr>
          <w:rFonts w:ascii="Calibri" w:hAnsi="Calibri"/>
          <w:i w:val="0"/>
          <w:color w:val="33403A"/>
          <w:sz w:val="19"/>
        </w:rPr>
        <w:t>▪  Build a reproducible analytical product and publish it publicly on GitHub, with documented methods, limitations and licensing.</w:t>
      </w:r>
    </w:p>
    <w:p>
      <w:pPr>
        <w:spacing w:after="120"/>
        <w:ind w:left="317"/>
        <w:jc w:val="both"/>
      </w:pPr>
      <w:r>
        <w:rPr>
          <w:rFonts w:ascii="Calibri" w:hAnsi="Calibri"/>
          <w:i w:val="0"/>
          <w:color w:val="33403A"/>
          <w:sz w:val="19"/>
        </w:rPr>
        <w:t>▪  Learn from what peer countries have already achieved, and identify at least one collaboration or reuse opportunity for their own office.</w:t>
      </w:r>
    </w:p>
    <w:p>
      <w:pPr>
        <w:pStyle w:val="Heading1"/>
        <w:spacing w:before="280" w:after="120"/>
      </w:pPr>
      <w:r>
        <w:rPr>
          <w:rFonts w:ascii="Cambria" w:hAnsi="Cambria"/>
          <w:b/>
          <w:color w:val="C08A1E"/>
          <w:sz w:val="26"/>
        </w:rPr>
        <w:t>4  Detailed agenda</w:t>
      </w:r>
    </w:p>
    <w:p>
      <w:pPr>
        <w:spacing w:after="120"/>
        <w:jc w:val="both"/>
      </w:pPr>
      <w:r>
        <w:rPr>
          <w:rFonts w:ascii="Calibri" w:hAnsi="Calibri"/>
          <w:i w:val="0"/>
          <w:color w:val="33403A"/>
          <w:sz w:val="19"/>
        </w:rPr>
        <w:t>How to read the tables. The Mode column indicates the working format — talk, laboratory, plenary or ceremony — and the team composition for laboratories. The Action Plan column gives the STG17 Action Plan activities that the session feeds, so that every hour of the week can be justified against the 2025–2030 commitments. Session titles and descriptions below are generated from the workshop’s own agenda file, which is also what produces the website and the laboratory register.</w:t>
      </w:r>
    </w:p>
    <w:tbl>
      <w:tblPr>
        <w:tblW w:type="auto" w:w="0"/>
        <w:tblLook w:firstColumn="1" w:firstRow="1" w:lastColumn="0" w:lastRow="0" w:noHBand="0" w:noVBand="1" w:val="04A0"/>
      </w:tblPr>
      <w:tblGrid>
        <w:gridCol w:w="9749"/>
      </w:tblGrid>
      <w:tr>
        <w:tc>
          <w:tcPr>
            <w:tcW w:type="dxa" w:w="9792"/>
            <w:shd w:val="clear" w:fill="0A3527"/>
          </w:tcPr>
          <w:p>
            <w:pPr>
              <w:spacing w:before="100" w:after="100"/>
            </w:pPr>
            <w:r/>
            <w:r>
              <w:rPr>
                <w:rFonts w:ascii="Cambria" w:hAnsi="Cambria"/>
                <w:b/>
                <w:color w:val="F2A900"/>
                <w:sz w:val="24"/>
              </w:rPr>
              <w:t>Day 1   |   Monday</w:t>
              <w:br/>
            </w:r>
            <w:r>
              <w:rPr>
                <w:rFonts w:ascii="Cambria" w:hAnsi="Cambria"/>
                <w:b/>
                <w:color w:val="FFFFFF"/>
                <w:sz w:val="22"/>
              </w:rPr>
              <w:t>AI concepts and the infrastructure behind them</w:t>
              <w:br/>
            </w:r>
            <w:r>
              <w:rPr>
                <w:rFonts w:ascii="Calibri" w:hAnsi="Calibri"/>
                <w:color w:val="C9DAD2"/>
                <w:sz w:val="17"/>
              </w:rPr>
              <w:t>Shared vocabulary, country experience, and what it really takes to build and run AI</w:t>
            </w:r>
          </w:p>
        </w:tc>
      </w:tr>
    </w:tbl>
    <w:p>
      <w:pPr>
        <w:spacing w:after="40"/>
      </w:pPr>
    </w:p>
    <w:p>
      <w:pPr>
        <w:spacing w:after="120"/>
        <w:jc w:val="both"/>
      </w:pPr>
      <w:r>
        <w:rPr>
          <w:rFonts w:ascii="Calibri" w:hAnsi="Calibri"/>
          <w:b/>
          <w:i w:val="0"/>
          <w:color w:val="0A3527"/>
          <w:sz w:val="18"/>
        </w:rPr>
        <w:t>Morning  ·  09:00 – 12:30</w:t>
      </w:r>
    </w:p>
    <w:tbl>
      <w:tblPr>
        <w:tblW w:type="auto" w:w="0"/>
        <w:jc w:val="center"/>
        <w:tblLayout w:type="fixed"/>
        <w:tblLook w:firstColumn="1" w:firstRow="1" w:lastColumn="0" w:lastRow="0" w:noHBand="0" w:noVBand="1" w:val="04A0"/>
      </w:tblPr>
      <w:tblGrid>
        <w:gridCol w:w="2437"/>
        <w:gridCol w:w="2437"/>
        <w:gridCol w:w="2437"/>
        <w:gridCol w:w="2437"/>
      </w:tblGrid>
      <w:tr>
        <w:tc>
          <w:tcPr>
            <w:tcW w:type="dxa" w:w="1224"/>
            <w:shd w:val="clear" w:fill="0B2545"/>
          </w:tcPr>
          <w:p>
            <w:pPr>
              <w:spacing w:before="40" w:after="40"/>
            </w:pPr>
            <w:r/>
            <w:r>
              <w:rPr>
                <w:rFonts w:ascii="Calibri" w:hAnsi="Calibri"/>
                <w:b/>
                <w:color w:val="FFFFFF"/>
                <w:sz w:val="17"/>
              </w:rPr>
              <w:t>Time</w:t>
            </w:r>
          </w:p>
        </w:tc>
        <w:tc>
          <w:tcPr>
            <w:tcW w:type="dxa" w:w="5760"/>
            <w:shd w:val="clear" w:fill="0B2545"/>
          </w:tcPr>
          <w:p>
            <w:pPr>
              <w:spacing w:before="40" w:after="40"/>
            </w:pPr>
            <w:r/>
            <w:r>
              <w:rPr>
                <w:rFonts w:ascii="Calibri" w:hAnsi="Calibri"/>
                <w:b/>
                <w:color w:val="FFFFFF"/>
                <w:sz w:val="17"/>
              </w:rPr>
              <w:t>Session</w:t>
            </w:r>
          </w:p>
        </w:tc>
        <w:tc>
          <w:tcPr>
            <w:tcW w:type="dxa" w:w="1512"/>
            <w:shd w:val="clear" w:fill="0B2545"/>
          </w:tcPr>
          <w:p>
            <w:pPr>
              <w:spacing w:before="40" w:after="40"/>
            </w:pPr>
            <w:r/>
            <w:r>
              <w:rPr>
                <w:rFonts w:ascii="Calibri" w:hAnsi="Calibri"/>
                <w:b/>
                <w:color w:val="FFFFFF"/>
                <w:sz w:val="17"/>
              </w:rPr>
              <w:t>Mode</w:t>
            </w:r>
          </w:p>
        </w:tc>
        <w:tc>
          <w:tcPr>
            <w:tcW w:type="dxa" w:w="1296"/>
            <w:shd w:val="clear" w:fill="0B2545"/>
          </w:tcPr>
          <w:p>
            <w:pPr>
              <w:spacing w:before="40" w:after="40"/>
            </w:pPr>
            <w:r/>
            <w:r>
              <w:rPr>
                <w:rFonts w:ascii="Calibri" w:hAnsi="Calibri"/>
                <w:b/>
                <w:color w:val="FFFFFF"/>
                <w:sz w:val="17"/>
              </w:rPr>
              <w:t>Action Plan</w:t>
            </w:r>
          </w:p>
        </w:tc>
      </w:tr>
      <w:tr>
        <w:tc>
          <w:tcPr>
            <w:tcW w:type="dxa" w:w="1224"/>
          </w:tcPr>
          <w:p>
            <w:pPr>
              <w:spacing w:before="40" w:after="40"/>
            </w:pPr>
            <w:r/>
            <w:r>
              <w:rPr>
                <w:rFonts w:ascii="Calibri" w:hAnsi="Calibri"/>
                <w:b w:val="0"/>
                <w:color w:val="33403A"/>
                <w:sz w:val="16"/>
              </w:rPr>
              <w:t>09:00–09:45</w:t>
            </w:r>
          </w:p>
        </w:tc>
        <w:tc>
          <w:tcPr>
            <w:tcW w:type="dxa" w:w="5760"/>
          </w:tcPr>
          <w:p>
            <w:pPr>
              <w:spacing w:before="40" w:after="40"/>
            </w:pPr>
            <w:r/>
            <w:r>
              <w:rPr>
                <w:rFonts w:ascii="Calibri" w:hAnsi="Calibri"/>
                <w:b w:val="0"/>
                <w:color w:val="33403A"/>
                <w:sz w:val="16"/>
              </w:rPr>
              <w:t>Opening ceremony</w:t>
              <w:br/>
              <w:t>Welcome and opening remarks by the African Development Bank and AU STATAFRIC. Objectives of the week, presentation of the STG17 Action Plan 2025–2030 and of where this workshop sits within it. Tour de table.</w:t>
            </w:r>
          </w:p>
        </w:tc>
        <w:tc>
          <w:tcPr>
            <w:tcW w:type="dxa" w:w="1512"/>
          </w:tcPr>
          <w:p>
            <w:pPr>
              <w:spacing w:before="40" w:after="40"/>
            </w:pPr>
            <w:r/>
            <w:r>
              <w:rPr>
                <w:rFonts w:ascii="Calibri" w:hAnsi="Calibri"/>
                <w:b w:val="0"/>
                <w:color w:val="33403A"/>
                <w:sz w:val="16"/>
              </w:rPr>
              <w:t>Ceremony</w:t>
            </w:r>
          </w:p>
        </w:tc>
        <w:tc>
          <w:tcPr>
            <w:tcW w:type="dxa" w:w="1296"/>
          </w:tcPr>
          <w:p>
            <w:pPr>
              <w:spacing w:before="40" w:after="40"/>
            </w:pPr>
            <w:r/>
            <w:r>
              <w:rPr>
                <w:rFonts w:ascii="Calibri" w:hAnsi="Calibri"/>
                <w:b w:val="0"/>
                <w:color w:val="33403A"/>
                <w:sz w:val="16"/>
              </w:rPr>
              <w:t>4.2 / 4.1.1</w:t>
            </w:r>
          </w:p>
        </w:tc>
      </w:tr>
      <w:tr>
        <w:tc>
          <w:tcPr>
            <w:tcW w:type="dxa" w:w="1224"/>
            <w:shd w:val="clear" w:fill="F4F8F5"/>
          </w:tcPr>
          <w:p>
            <w:pPr>
              <w:spacing w:before="40" w:after="40"/>
            </w:pPr>
            <w:r/>
            <w:r>
              <w:rPr>
                <w:rFonts w:ascii="Calibri" w:hAnsi="Calibri"/>
                <w:b w:val="0"/>
                <w:color w:val="33403A"/>
                <w:sz w:val="16"/>
              </w:rPr>
              <w:t>09:45–10:15</w:t>
            </w:r>
          </w:p>
        </w:tc>
        <w:tc>
          <w:tcPr>
            <w:tcW w:type="dxa" w:w="5760"/>
            <w:shd w:val="clear" w:fill="F4F8F5"/>
          </w:tcPr>
          <w:p>
            <w:pPr>
              <w:spacing w:before="40" w:after="40"/>
            </w:pPr>
            <w:r/>
            <w:r>
              <w:rPr>
                <w:rFonts w:ascii="Calibri" w:hAnsi="Calibri"/>
                <w:b w:val="0"/>
                <w:color w:val="33403A"/>
                <w:sz w:val="16"/>
              </w:rPr>
              <w:t>The AI Family Tree: How the Concepts Fit Together</w:t>
              <w:br/>
              <w:t>Building a shared concept map — AI, LLM, prompt engineering, RAG, fine-tuning, agentic systems, agents, MCP. What each concept can and cannot do for official statistics, and the vocabulary discipline that avoids costly misunderstandings. This half-hour sets the language used for the rest of the week.</w:t>
            </w:r>
          </w:p>
        </w:tc>
        <w:tc>
          <w:tcPr>
            <w:tcW w:type="dxa" w:w="1512"/>
            <w:shd w:val="clear" w:fill="F4F8F5"/>
          </w:tcPr>
          <w:p>
            <w:pPr>
              <w:spacing w:before="40" w:after="40"/>
            </w:pPr>
            <w:r/>
            <w:r>
              <w:rPr>
                <w:rFonts w:ascii="Calibri" w:hAnsi="Calibri"/>
                <w:b w:val="0"/>
                <w:color w:val="33403A"/>
                <w:sz w:val="16"/>
              </w:rPr>
              <w:t>Talk</w:t>
            </w:r>
          </w:p>
        </w:tc>
        <w:tc>
          <w:tcPr>
            <w:tcW w:type="dxa" w:w="1296"/>
            <w:shd w:val="clear" w:fill="F4F8F5"/>
          </w:tcPr>
          <w:p>
            <w:pPr>
              <w:spacing w:before="40" w:after="40"/>
            </w:pPr>
            <w:r/>
            <w:r>
              <w:rPr>
                <w:rFonts w:ascii="Calibri" w:hAnsi="Calibri"/>
                <w:b w:val="0"/>
                <w:color w:val="33403A"/>
                <w:sz w:val="16"/>
              </w:rPr>
              <w:t>3.3.2 / 4.1.1</w:t>
            </w:r>
          </w:p>
        </w:tc>
      </w:tr>
      <w:tr>
        <w:tc>
          <w:tcPr>
            <w:tcW w:type="dxa" w:w="1224"/>
          </w:tcPr>
          <w:p>
            <w:pPr>
              <w:spacing w:before="40" w:after="40"/>
            </w:pPr>
            <w:r/>
            <w:r>
              <w:rPr>
                <w:rFonts w:ascii="Calibri" w:hAnsi="Calibri"/>
                <w:b w:val="0"/>
                <w:color w:val="33403A"/>
                <w:sz w:val="16"/>
              </w:rPr>
              <w:t>10:30–11:45</w:t>
            </w:r>
          </w:p>
        </w:tc>
        <w:tc>
          <w:tcPr>
            <w:tcW w:type="dxa" w:w="5760"/>
          </w:tcPr>
          <w:p>
            <w:pPr>
              <w:spacing w:before="40" w:after="40"/>
            </w:pPr>
            <w:r/>
            <w:r>
              <w:rPr>
                <w:rFonts w:ascii="Calibri" w:hAnsi="Calibri"/>
                <w:b w:val="0"/>
                <w:color w:val="33403A"/>
                <w:sz w:val="16"/>
              </w:rPr>
              <w:t>Country experiences in AI and the use of non-traditional big data</w:t>
              <w:br/>
              <w:t>Short country presentations (8 minutes each, no more than 6 slides) on what has actually been attempted at home — pilots launched, data partnerships signed, obstacles met, results published. Countries are invited to be candid about what did not work; that is the more useful half of the exchange.</w:t>
            </w:r>
          </w:p>
        </w:tc>
        <w:tc>
          <w:tcPr>
            <w:tcW w:type="dxa" w:w="1512"/>
          </w:tcPr>
          <w:p>
            <w:pPr>
              <w:spacing w:before="40" w:after="40"/>
            </w:pPr>
            <w:r/>
            <w:r>
              <w:rPr>
                <w:rFonts w:ascii="Calibri" w:hAnsi="Calibri"/>
                <w:b w:val="0"/>
                <w:color w:val="33403A"/>
                <w:sz w:val="16"/>
              </w:rPr>
              <w:t>Plenary · countries</w:t>
            </w:r>
          </w:p>
        </w:tc>
        <w:tc>
          <w:tcPr>
            <w:tcW w:type="dxa" w:w="1296"/>
          </w:tcPr>
          <w:p>
            <w:pPr>
              <w:spacing w:before="40" w:after="40"/>
            </w:pPr>
            <w:r/>
            <w:r>
              <w:rPr>
                <w:rFonts w:ascii="Calibri" w:hAnsi="Calibri"/>
                <w:b w:val="0"/>
                <w:color w:val="33403A"/>
                <w:sz w:val="16"/>
              </w:rPr>
              <w:t>3.3.2 / 3.1.2 / 2.1.1</w:t>
            </w:r>
          </w:p>
        </w:tc>
      </w:tr>
      <w:tr>
        <w:tc>
          <w:tcPr>
            <w:tcW w:type="dxa" w:w="1224"/>
            <w:shd w:val="clear" w:fill="F4F8F5"/>
          </w:tcPr>
          <w:p>
            <w:pPr>
              <w:spacing w:before="40" w:after="40"/>
            </w:pPr>
            <w:r/>
            <w:r>
              <w:rPr>
                <w:rFonts w:ascii="Calibri" w:hAnsi="Calibri"/>
                <w:b w:val="0"/>
                <w:color w:val="33403A"/>
                <w:sz w:val="16"/>
              </w:rPr>
              <w:t>11:45–12:30</w:t>
            </w:r>
          </w:p>
        </w:tc>
        <w:tc>
          <w:tcPr>
            <w:tcW w:type="dxa" w:w="5760"/>
            <w:shd w:val="clear" w:fill="F4F8F5"/>
          </w:tcPr>
          <w:p>
            <w:pPr>
              <w:spacing w:before="40" w:after="40"/>
            </w:pPr>
            <w:r/>
            <w:r>
              <w:rPr>
                <w:rFonts w:ascii="Calibri" w:hAnsi="Calibri"/>
                <w:b w:val="0"/>
                <w:color w:val="33403A"/>
                <w:sz w:val="16"/>
              </w:rPr>
              <w:t>Synthesis: where the continent stands</w:t>
              <w:br/>
              <w:t>Facilitated discussion structured around four questions drawn from the presentations — which use cases recur, which data partnerships are replicable, which obstacles are shared, and where pooling effort would pay. Outputs are recorded on a wall board kept open all week. Closes with the baseline skills self-assessment.</w:t>
            </w:r>
          </w:p>
        </w:tc>
        <w:tc>
          <w:tcPr>
            <w:tcW w:type="dxa" w:w="1512"/>
            <w:shd w:val="clear" w:fill="F4F8F5"/>
          </w:tcPr>
          <w:p>
            <w:pPr>
              <w:spacing w:before="40" w:after="40"/>
            </w:pPr>
            <w:r/>
            <w:r>
              <w:rPr>
                <w:rFonts w:ascii="Calibri" w:hAnsi="Calibri"/>
                <w:b w:val="0"/>
                <w:color w:val="33403A"/>
                <w:sz w:val="16"/>
              </w:rPr>
              <w:t>Facilitated</w:t>
            </w:r>
          </w:p>
        </w:tc>
        <w:tc>
          <w:tcPr>
            <w:tcW w:type="dxa" w:w="1296"/>
            <w:shd w:val="clear" w:fill="F4F8F5"/>
          </w:tcPr>
          <w:p>
            <w:pPr>
              <w:spacing w:before="40" w:after="40"/>
            </w:pPr>
            <w:r/>
            <w:r>
              <w:rPr>
                <w:rFonts w:ascii="Calibri" w:hAnsi="Calibri"/>
                <w:b w:val="0"/>
                <w:color w:val="33403A"/>
                <w:sz w:val="16"/>
              </w:rPr>
              <w:t>3.1.2 / 4.1.1</w:t>
            </w:r>
          </w:p>
        </w:tc>
      </w:tr>
    </w:tbl>
    <w:p>
      <w:pPr>
        <w:spacing w:after="40"/>
      </w:pPr>
    </w:p>
    <w:p>
      <w:pPr>
        <w:spacing w:after="120"/>
        <w:jc w:val="both"/>
      </w:pPr>
      <w:r>
        <w:rPr>
          <w:rFonts w:ascii="Calibri" w:hAnsi="Calibri"/>
          <w:b/>
          <w:i w:val="0"/>
          <w:color w:val="0A3527"/>
          <w:sz w:val="18"/>
        </w:rPr>
        <w:t>Afternoon  ·  14:00 – 17:00</w:t>
      </w:r>
    </w:p>
    <w:tbl>
      <w:tblPr>
        <w:tblW w:type="auto" w:w="0"/>
        <w:jc w:val="center"/>
        <w:tblLayout w:type="fixed"/>
        <w:tblLook w:firstColumn="1" w:firstRow="1" w:lastColumn="0" w:lastRow="0" w:noHBand="0" w:noVBand="1" w:val="04A0"/>
      </w:tblPr>
      <w:tblGrid>
        <w:gridCol w:w="2437"/>
        <w:gridCol w:w="2437"/>
        <w:gridCol w:w="2437"/>
        <w:gridCol w:w="2437"/>
      </w:tblGrid>
      <w:tr>
        <w:tc>
          <w:tcPr>
            <w:tcW w:type="dxa" w:w="1224"/>
            <w:shd w:val="clear" w:fill="0B2545"/>
          </w:tcPr>
          <w:p>
            <w:pPr>
              <w:spacing w:before="40" w:after="40"/>
            </w:pPr>
            <w:r/>
            <w:r>
              <w:rPr>
                <w:rFonts w:ascii="Calibri" w:hAnsi="Calibri"/>
                <w:b/>
                <w:color w:val="FFFFFF"/>
                <w:sz w:val="17"/>
              </w:rPr>
              <w:t>Time</w:t>
            </w:r>
          </w:p>
        </w:tc>
        <w:tc>
          <w:tcPr>
            <w:tcW w:type="dxa" w:w="5760"/>
            <w:shd w:val="clear" w:fill="0B2545"/>
          </w:tcPr>
          <w:p>
            <w:pPr>
              <w:spacing w:before="40" w:after="40"/>
            </w:pPr>
            <w:r/>
            <w:r>
              <w:rPr>
                <w:rFonts w:ascii="Calibri" w:hAnsi="Calibri"/>
                <w:b/>
                <w:color w:val="FFFFFF"/>
                <w:sz w:val="17"/>
              </w:rPr>
              <w:t>Session</w:t>
            </w:r>
          </w:p>
        </w:tc>
        <w:tc>
          <w:tcPr>
            <w:tcW w:type="dxa" w:w="1512"/>
            <w:shd w:val="clear" w:fill="0B2545"/>
          </w:tcPr>
          <w:p>
            <w:pPr>
              <w:spacing w:before="40" w:after="40"/>
            </w:pPr>
            <w:r/>
            <w:r>
              <w:rPr>
                <w:rFonts w:ascii="Calibri" w:hAnsi="Calibri"/>
                <w:b/>
                <w:color w:val="FFFFFF"/>
                <w:sz w:val="17"/>
              </w:rPr>
              <w:t>Mode</w:t>
            </w:r>
          </w:p>
        </w:tc>
        <w:tc>
          <w:tcPr>
            <w:tcW w:type="dxa" w:w="1296"/>
            <w:shd w:val="clear" w:fill="0B2545"/>
          </w:tcPr>
          <w:p>
            <w:pPr>
              <w:spacing w:before="40" w:after="40"/>
            </w:pPr>
            <w:r/>
            <w:r>
              <w:rPr>
                <w:rFonts w:ascii="Calibri" w:hAnsi="Calibri"/>
                <w:b/>
                <w:color w:val="FFFFFF"/>
                <w:sz w:val="17"/>
              </w:rPr>
              <w:t>Action Plan</w:t>
            </w:r>
          </w:p>
        </w:tc>
      </w:tr>
      <w:tr>
        <w:tc>
          <w:tcPr>
            <w:tcW w:type="dxa" w:w="1224"/>
          </w:tcPr>
          <w:p>
            <w:pPr>
              <w:spacing w:before="40" w:after="40"/>
            </w:pPr>
            <w:r/>
            <w:r>
              <w:rPr>
                <w:rFonts w:ascii="Calibri" w:hAnsi="Calibri"/>
                <w:b w:val="0"/>
                <w:color w:val="33403A"/>
                <w:sz w:val="16"/>
              </w:rPr>
              <w:t>14:00–14:45</w:t>
            </w:r>
          </w:p>
        </w:tc>
        <w:tc>
          <w:tcPr>
            <w:tcW w:type="dxa" w:w="5760"/>
          </w:tcPr>
          <w:p>
            <w:pPr>
              <w:spacing w:before="40" w:after="40"/>
            </w:pPr>
            <w:r/>
            <w:r>
              <w:rPr>
                <w:rFonts w:ascii="Calibri" w:hAnsi="Calibri"/>
                <w:b w:val="0"/>
                <w:color w:val="33403A"/>
                <w:sz w:val="16"/>
              </w:rPr>
              <w:t>AI Infrastructure: What It Really Takes to Run AI in a Statistical Office</w:t>
              <w:br/>
              <w:t>Fundamentals and needs — GPUs and accelerators, memory and context, inference versus training, latency and throughput. Cloud, hybrid or on-premise; data sovereignty and confidentiality constraints for NSO microdata; cost modelling per use case; open-weight versus proprietary models. What a realistic entry-level configuration looks like for an African NSO, with indicative orders of magnitude.</w:t>
            </w:r>
          </w:p>
        </w:tc>
        <w:tc>
          <w:tcPr>
            <w:tcW w:type="dxa" w:w="1512"/>
          </w:tcPr>
          <w:p>
            <w:pPr>
              <w:spacing w:before="40" w:after="40"/>
            </w:pPr>
            <w:r/>
            <w:r>
              <w:rPr>
                <w:rFonts w:ascii="Calibri" w:hAnsi="Calibri"/>
                <w:b w:val="0"/>
                <w:color w:val="33403A"/>
                <w:sz w:val="16"/>
              </w:rPr>
              <w:t>Talk</w:t>
            </w:r>
          </w:p>
        </w:tc>
        <w:tc>
          <w:tcPr>
            <w:tcW w:type="dxa" w:w="1296"/>
          </w:tcPr>
          <w:p>
            <w:pPr>
              <w:spacing w:before="40" w:after="40"/>
            </w:pPr>
            <w:r/>
            <w:r>
              <w:rPr>
                <w:rFonts w:ascii="Calibri" w:hAnsi="Calibri"/>
                <w:b w:val="0"/>
                <w:color w:val="33403A"/>
                <w:sz w:val="16"/>
              </w:rPr>
              <w:t>4.2.3 / 3.3.2</w:t>
            </w:r>
          </w:p>
        </w:tc>
      </w:tr>
      <w:tr>
        <w:tc>
          <w:tcPr>
            <w:tcW w:type="dxa" w:w="1224"/>
            <w:shd w:val="clear" w:fill="F4F8F5"/>
          </w:tcPr>
          <w:p>
            <w:pPr>
              <w:spacing w:before="40" w:after="40"/>
            </w:pPr>
            <w:r/>
            <w:r>
              <w:rPr>
                <w:rFonts w:ascii="Calibri" w:hAnsi="Calibri"/>
                <w:b w:val="0"/>
                <w:color w:val="33403A"/>
                <w:sz w:val="16"/>
              </w:rPr>
              <w:t>14:45–15:30</w:t>
            </w:r>
          </w:p>
        </w:tc>
        <w:tc>
          <w:tcPr>
            <w:tcW w:type="dxa" w:w="5760"/>
            <w:shd w:val="clear" w:fill="F4F8F5"/>
          </w:tcPr>
          <w:p>
            <w:pPr>
              <w:spacing w:before="40" w:after="40"/>
            </w:pPr>
            <w:r/>
            <w:r>
              <w:rPr>
                <w:rFonts w:ascii="Calibri" w:hAnsi="Calibri"/>
                <w:b w:val="0"/>
                <w:color w:val="33403A"/>
                <w:sz w:val="16"/>
              </w:rPr>
              <w:t>Hands-on part 1 — Retrieval-Augmented Generation</w:t>
              <w:br/>
              <w:t>Build a working RAG assistant over a statistical corpus (STG17 Concept Note, Action Plan, SHaSA II, national methodological documents) — chunking, embeddings, vector store, retrieval, grounded answering. Test it against questions with known answers and observe where retrieval fails, and why.</w:t>
            </w:r>
          </w:p>
        </w:tc>
        <w:tc>
          <w:tcPr>
            <w:tcW w:type="dxa" w:w="1512"/>
            <w:shd w:val="clear" w:fill="F4F8F5"/>
          </w:tcPr>
          <w:p>
            <w:pPr>
              <w:spacing w:before="40" w:after="40"/>
            </w:pPr>
            <w:r/>
            <w:r>
              <w:rPr>
                <w:rFonts w:ascii="Calibri" w:hAnsi="Calibri"/>
                <w:b w:val="0"/>
                <w:color w:val="33403A"/>
                <w:sz w:val="16"/>
              </w:rPr>
              <w:t>Laboratory</w:t>
            </w:r>
          </w:p>
        </w:tc>
        <w:tc>
          <w:tcPr>
            <w:tcW w:type="dxa" w:w="1296"/>
            <w:shd w:val="clear" w:fill="F4F8F5"/>
          </w:tcPr>
          <w:p>
            <w:pPr>
              <w:spacing w:before="40" w:after="40"/>
            </w:pPr>
            <w:r/>
            <w:r>
              <w:rPr>
                <w:rFonts w:ascii="Calibri" w:hAnsi="Calibri"/>
                <w:b w:val="0"/>
                <w:color w:val="33403A"/>
                <w:sz w:val="16"/>
              </w:rPr>
              <w:t>4.2.1 / 2.1.1</w:t>
            </w:r>
          </w:p>
        </w:tc>
      </w:tr>
      <w:tr>
        <w:tc>
          <w:tcPr>
            <w:tcW w:type="dxa" w:w="1224"/>
          </w:tcPr>
          <w:p>
            <w:pPr>
              <w:spacing w:before="40" w:after="40"/>
            </w:pPr>
            <w:r/>
            <w:r>
              <w:rPr>
                <w:rFonts w:ascii="Calibri" w:hAnsi="Calibri"/>
                <w:b w:val="0"/>
                <w:color w:val="33403A"/>
                <w:sz w:val="16"/>
              </w:rPr>
              <w:t>15:45–17:00</w:t>
            </w:r>
          </w:p>
        </w:tc>
        <w:tc>
          <w:tcPr>
            <w:tcW w:type="dxa" w:w="5760"/>
          </w:tcPr>
          <w:p>
            <w:pPr>
              <w:spacing w:before="40" w:after="40"/>
            </w:pPr>
            <w:r/>
            <w:r>
              <w:rPr>
                <w:rFonts w:ascii="Calibri" w:hAnsi="Calibri"/>
                <w:b w:val="0"/>
                <w:color w:val="33403A"/>
                <w:sz w:val="16"/>
              </w:rPr>
              <w:t>Hands-on part 2 — From RAG to Agent</w:t>
              <w:br/>
              <w:t>Turn the retriever built before the break into a tool, and wrap it in an agent — tools and function calling, planning and iteration, memory, error handling and human-in-the-loop checkpoints. The agent answers a question, retrieves the supporting figures and drafts a short note; participants then examine exactly where it must stay supervised.</w:t>
            </w:r>
          </w:p>
        </w:tc>
        <w:tc>
          <w:tcPr>
            <w:tcW w:type="dxa" w:w="1512"/>
          </w:tcPr>
          <w:p>
            <w:pPr>
              <w:spacing w:before="40" w:after="40"/>
            </w:pPr>
            <w:r/>
            <w:r>
              <w:rPr>
                <w:rFonts w:ascii="Calibri" w:hAnsi="Calibri"/>
                <w:b w:val="0"/>
                <w:color w:val="33403A"/>
                <w:sz w:val="16"/>
              </w:rPr>
              <w:t>Laboratory</w:t>
            </w:r>
          </w:p>
        </w:tc>
        <w:tc>
          <w:tcPr>
            <w:tcW w:type="dxa" w:w="1296"/>
          </w:tcPr>
          <w:p>
            <w:pPr>
              <w:spacing w:before="40" w:after="40"/>
            </w:pPr>
            <w:r/>
            <w:r>
              <w:rPr>
                <w:rFonts w:ascii="Calibri" w:hAnsi="Calibri"/>
                <w:b w:val="0"/>
                <w:color w:val="33403A"/>
                <w:sz w:val="16"/>
              </w:rPr>
              <w:t>4.2.1 / 4.2.3</w:t>
            </w:r>
          </w:p>
        </w:tc>
      </w:tr>
    </w:tbl>
    <w:p>
      <w:pPr>
        <w:spacing w:after="40"/>
      </w:pPr>
    </w:p>
    <w:tbl>
      <w:tblPr>
        <w:tblW w:type="auto" w:w="0"/>
        <w:tblLook w:firstColumn="1" w:firstRow="1" w:lastColumn="0" w:lastRow="0" w:noHBand="0" w:noVBand="1" w:val="04A0"/>
      </w:tblPr>
      <w:tblGrid>
        <w:gridCol w:w="9749"/>
      </w:tblGrid>
      <w:tr>
        <w:tc>
          <w:tcPr>
            <w:tcW w:type="dxa" w:w="9792"/>
            <w:shd w:val="clear" w:fill="0A3527"/>
          </w:tcPr>
          <w:p>
            <w:pPr>
              <w:spacing w:before="100" w:after="100"/>
            </w:pPr>
            <w:r/>
            <w:r>
              <w:rPr>
                <w:rFonts w:ascii="Cambria" w:hAnsi="Cambria"/>
                <w:b/>
                <w:color w:val="F2A900"/>
                <w:sz w:val="24"/>
              </w:rPr>
              <w:t>Day 2   |   Tuesday</w:t>
              <w:br/>
            </w:r>
            <w:r>
              <w:rPr>
                <w:rFonts w:ascii="Cambria" w:hAnsi="Cambria"/>
                <w:b/>
                <w:color w:val="FFFFFF"/>
                <w:sz w:val="22"/>
              </w:rPr>
              <w:t>Prompt Engineering and the Optimised Use of LLMs</w:t>
              <w:br/>
            </w:r>
            <w:r>
              <w:rPr>
                <w:rFonts w:ascii="Calibri" w:hAnsi="Calibri"/>
                <w:color w:val="C9DAD2"/>
                <w:sz w:val="17"/>
              </w:rPr>
              <w:t>Getting reliable, fast and affordable work out of language models</w:t>
            </w:r>
          </w:p>
        </w:tc>
      </w:tr>
    </w:tbl>
    <w:p>
      <w:pPr>
        <w:spacing w:after="40"/>
      </w:pPr>
    </w:p>
    <w:p>
      <w:pPr>
        <w:spacing w:after="120"/>
        <w:jc w:val="both"/>
      </w:pPr>
      <w:r>
        <w:rPr>
          <w:rFonts w:ascii="Calibri" w:hAnsi="Calibri"/>
          <w:b/>
          <w:i w:val="0"/>
          <w:color w:val="0A3527"/>
          <w:sz w:val="18"/>
        </w:rPr>
        <w:t>Morning  ·  09:00 – 12:30</w:t>
      </w:r>
    </w:p>
    <w:tbl>
      <w:tblPr>
        <w:tblW w:type="auto" w:w="0"/>
        <w:jc w:val="center"/>
        <w:tblLayout w:type="fixed"/>
        <w:tblLook w:firstColumn="1" w:firstRow="1" w:lastColumn="0" w:lastRow="0" w:noHBand="0" w:noVBand="1" w:val="04A0"/>
      </w:tblPr>
      <w:tblGrid>
        <w:gridCol w:w="2437"/>
        <w:gridCol w:w="2437"/>
        <w:gridCol w:w="2437"/>
        <w:gridCol w:w="2437"/>
      </w:tblGrid>
      <w:tr>
        <w:tc>
          <w:tcPr>
            <w:tcW w:type="dxa" w:w="1224"/>
            <w:shd w:val="clear" w:fill="0B2545"/>
          </w:tcPr>
          <w:p>
            <w:pPr>
              <w:spacing w:before="40" w:after="40"/>
            </w:pPr>
            <w:r/>
            <w:r>
              <w:rPr>
                <w:rFonts w:ascii="Calibri" w:hAnsi="Calibri"/>
                <w:b/>
                <w:color w:val="FFFFFF"/>
                <w:sz w:val="17"/>
              </w:rPr>
              <w:t>Time</w:t>
            </w:r>
          </w:p>
        </w:tc>
        <w:tc>
          <w:tcPr>
            <w:tcW w:type="dxa" w:w="5760"/>
            <w:shd w:val="clear" w:fill="0B2545"/>
          </w:tcPr>
          <w:p>
            <w:pPr>
              <w:spacing w:before="40" w:after="40"/>
            </w:pPr>
            <w:r/>
            <w:r>
              <w:rPr>
                <w:rFonts w:ascii="Calibri" w:hAnsi="Calibri"/>
                <w:b/>
                <w:color w:val="FFFFFF"/>
                <w:sz w:val="17"/>
              </w:rPr>
              <w:t>Session</w:t>
            </w:r>
          </w:p>
        </w:tc>
        <w:tc>
          <w:tcPr>
            <w:tcW w:type="dxa" w:w="1512"/>
            <w:shd w:val="clear" w:fill="0B2545"/>
          </w:tcPr>
          <w:p>
            <w:pPr>
              <w:spacing w:before="40" w:after="40"/>
            </w:pPr>
            <w:r/>
            <w:r>
              <w:rPr>
                <w:rFonts w:ascii="Calibri" w:hAnsi="Calibri"/>
                <w:b/>
                <w:color w:val="FFFFFF"/>
                <w:sz w:val="17"/>
              </w:rPr>
              <w:t>Mode</w:t>
            </w:r>
          </w:p>
        </w:tc>
        <w:tc>
          <w:tcPr>
            <w:tcW w:type="dxa" w:w="1296"/>
            <w:shd w:val="clear" w:fill="0B2545"/>
          </w:tcPr>
          <w:p>
            <w:pPr>
              <w:spacing w:before="40" w:after="40"/>
            </w:pPr>
            <w:r/>
            <w:r>
              <w:rPr>
                <w:rFonts w:ascii="Calibri" w:hAnsi="Calibri"/>
                <w:b/>
                <w:color w:val="FFFFFF"/>
                <w:sz w:val="17"/>
              </w:rPr>
              <w:t>Action Plan</w:t>
            </w:r>
          </w:p>
        </w:tc>
      </w:tr>
      <w:tr>
        <w:tc>
          <w:tcPr>
            <w:tcW w:type="dxa" w:w="1224"/>
          </w:tcPr>
          <w:p>
            <w:pPr>
              <w:spacing w:before="40" w:after="40"/>
            </w:pPr>
            <w:r/>
            <w:r>
              <w:rPr>
                <w:rFonts w:ascii="Calibri" w:hAnsi="Calibri"/>
                <w:b w:val="0"/>
                <w:color w:val="33403A"/>
                <w:sz w:val="16"/>
              </w:rPr>
              <w:t>09:00–10:15</w:t>
            </w:r>
          </w:p>
        </w:tc>
        <w:tc>
          <w:tcPr>
            <w:tcW w:type="dxa" w:w="5760"/>
          </w:tcPr>
          <w:p>
            <w:pPr>
              <w:spacing w:before="40" w:after="40"/>
            </w:pPr>
            <w:r/>
            <w:r>
              <w:rPr>
                <w:rFonts w:ascii="Calibri" w:hAnsi="Calibri"/>
                <w:b w:val="0"/>
                <w:color w:val="33403A"/>
                <w:sz w:val="16"/>
              </w:rPr>
              <w:t>Talking to Machines: The Craft of Prompt Engineering</w:t>
              <w:br/>
              <w:t>Task framing, role and context, explicit constraints, few-shot examples, decomposition, structured JSON outputs, guardrails and systematic iteration. Why models hallucinate and how prompt design reduces it. Common anti-patterns and how to detect them in your own prompts.</w:t>
            </w:r>
          </w:p>
        </w:tc>
        <w:tc>
          <w:tcPr>
            <w:tcW w:type="dxa" w:w="1512"/>
          </w:tcPr>
          <w:p>
            <w:pPr>
              <w:spacing w:before="40" w:after="40"/>
            </w:pPr>
            <w:r/>
            <w:r>
              <w:rPr>
                <w:rFonts w:ascii="Calibri" w:hAnsi="Calibri"/>
                <w:b w:val="0"/>
                <w:color w:val="33403A"/>
                <w:sz w:val="16"/>
              </w:rPr>
              <w:t>Talk</w:t>
            </w:r>
          </w:p>
        </w:tc>
        <w:tc>
          <w:tcPr>
            <w:tcW w:type="dxa" w:w="1296"/>
          </w:tcPr>
          <w:p>
            <w:pPr>
              <w:spacing w:before="40" w:after="40"/>
            </w:pPr>
            <w:r/>
            <w:r>
              <w:rPr>
                <w:rFonts w:ascii="Calibri" w:hAnsi="Calibri"/>
                <w:b w:val="0"/>
                <w:color w:val="33403A"/>
                <w:sz w:val="16"/>
              </w:rPr>
              <w:t>4.2.1</w:t>
            </w:r>
          </w:p>
        </w:tc>
      </w:tr>
      <w:tr>
        <w:tc>
          <w:tcPr>
            <w:tcW w:type="dxa" w:w="1224"/>
            <w:shd w:val="clear" w:fill="F4F8F5"/>
          </w:tcPr>
          <w:p>
            <w:pPr>
              <w:spacing w:before="40" w:after="40"/>
            </w:pPr>
            <w:r/>
            <w:r>
              <w:rPr>
                <w:rFonts w:ascii="Calibri" w:hAnsi="Calibri"/>
                <w:b w:val="0"/>
                <w:color w:val="33403A"/>
                <w:sz w:val="16"/>
              </w:rPr>
              <w:t>10:30–12:30</w:t>
            </w:r>
          </w:p>
        </w:tc>
        <w:tc>
          <w:tcPr>
            <w:tcW w:type="dxa" w:w="5760"/>
            <w:shd w:val="clear" w:fill="F4F8F5"/>
          </w:tcPr>
          <w:p>
            <w:pPr>
              <w:spacing w:before="40" w:after="40"/>
            </w:pPr>
            <w:r/>
            <w:r>
              <w:rPr>
                <w:rFonts w:ascii="Calibri" w:hAnsi="Calibri"/>
                <w:b w:val="0"/>
                <w:color w:val="33403A"/>
                <w:sz w:val="16"/>
              </w:rPr>
              <w:t>Hands-on — From Statistical Document to Public Dashboard</w:t>
              <w:br/>
              <w:t>Take a national statistical publication (PDF or report), use an LLM to extract and structure its data, verify the extraction against the source, generate an interactive dashboard and publish it live on GitHub Pages. Each participant leaves with a public URL. The verification step is not optional — it is the part that makes the output publishable.</w:t>
            </w:r>
          </w:p>
        </w:tc>
        <w:tc>
          <w:tcPr>
            <w:tcW w:type="dxa" w:w="1512"/>
            <w:shd w:val="clear" w:fill="F4F8F5"/>
          </w:tcPr>
          <w:p>
            <w:pPr>
              <w:spacing w:before="40" w:after="40"/>
            </w:pPr>
            <w:r/>
            <w:r>
              <w:rPr>
                <w:rFonts w:ascii="Calibri" w:hAnsi="Calibri"/>
                <w:b w:val="0"/>
                <w:color w:val="33403A"/>
                <w:sz w:val="16"/>
              </w:rPr>
              <w:t>Laboratory</w:t>
            </w:r>
          </w:p>
        </w:tc>
        <w:tc>
          <w:tcPr>
            <w:tcW w:type="dxa" w:w="1296"/>
            <w:shd w:val="clear" w:fill="F4F8F5"/>
          </w:tcPr>
          <w:p>
            <w:pPr>
              <w:spacing w:before="40" w:after="40"/>
            </w:pPr>
            <w:r/>
            <w:r>
              <w:rPr>
                <w:rFonts w:ascii="Calibri" w:hAnsi="Calibri"/>
                <w:b w:val="0"/>
                <w:color w:val="33403A"/>
                <w:sz w:val="16"/>
              </w:rPr>
              <w:t>4.2.1 / 2.1.1</w:t>
            </w:r>
          </w:p>
        </w:tc>
      </w:tr>
    </w:tbl>
    <w:p>
      <w:pPr>
        <w:spacing w:after="40"/>
      </w:pPr>
    </w:p>
    <w:p>
      <w:pPr>
        <w:spacing w:after="120"/>
        <w:jc w:val="both"/>
      </w:pPr>
      <w:r>
        <w:rPr>
          <w:rFonts w:ascii="Calibri" w:hAnsi="Calibri"/>
          <w:b/>
          <w:i w:val="0"/>
          <w:color w:val="0A3527"/>
          <w:sz w:val="18"/>
        </w:rPr>
        <w:t>Afternoon  ·  14:00 – 17:00</w:t>
      </w:r>
    </w:p>
    <w:tbl>
      <w:tblPr>
        <w:tblW w:type="auto" w:w="0"/>
        <w:jc w:val="center"/>
        <w:tblLayout w:type="fixed"/>
        <w:tblLook w:firstColumn="1" w:firstRow="1" w:lastColumn="0" w:lastRow="0" w:noHBand="0" w:noVBand="1" w:val="04A0"/>
      </w:tblPr>
      <w:tblGrid>
        <w:gridCol w:w="2437"/>
        <w:gridCol w:w="2437"/>
        <w:gridCol w:w="2437"/>
        <w:gridCol w:w="2437"/>
      </w:tblGrid>
      <w:tr>
        <w:tc>
          <w:tcPr>
            <w:tcW w:type="dxa" w:w="1224"/>
            <w:shd w:val="clear" w:fill="0B2545"/>
          </w:tcPr>
          <w:p>
            <w:pPr>
              <w:spacing w:before="40" w:after="40"/>
            </w:pPr>
            <w:r/>
            <w:r>
              <w:rPr>
                <w:rFonts w:ascii="Calibri" w:hAnsi="Calibri"/>
                <w:b/>
                <w:color w:val="FFFFFF"/>
                <w:sz w:val="17"/>
              </w:rPr>
              <w:t>Time</w:t>
            </w:r>
          </w:p>
        </w:tc>
        <w:tc>
          <w:tcPr>
            <w:tcW w:type="dxa" w:w="5760"/>
            <w:shd w:val="clear" w:fill="0B2545"/>
          </w:tcPr>
          <w:p>
            <w:pPr>
              <w:spacing w:before="40" w:after="40"/>
            </w:pPr>
            <w:r/>
            <w:r>
              <w:rPr>
                <w:rFonts w:ascii="Calibri" w:hAnsi="Calibri"/>
                <w:b/>
                <w:color w:val="FFFFFF"/>
                <w:sz w:val="17"/>
              </w:rPr>
              <w:t>Session</w:t>
            </w:r>
          </w:p>
        </w:tc>
        <w:tc>
          <w:tcPr>
            <w:tcW w:type="dxa" w:w="1512"/>
            <w:shd w:val="clear" w:fill="0B2545"/>
          </w:tcPr>
          <w:p>
            <w:pPr>
              <w:spacing w:before="40" w:after="40"/>
            </w:pPr>
            <w:r/>
            <w:r>
              <w:rPr>
                <w:rFonts w:ascii="Calibri" w:hAnsi="Calibri"/>
                <w:b/>
                <w:color w:val="FFFFFF"/>
                <w:sz w:val="17"/>
              </w:rPr>
              <w:t>Mode</w:t>
            </w:r>
          </w:p>
        </w:tc>
        <w:tc>
          <w:tcPr>
            <w:tcW w:type="dxa" w:w="1296"/>
            <w:shd w:val="clear" w:fill="0B2545"/>
          </w:tcPr>
          <w:p>
            <w:pPr>
              <w:spacing w:before="40" w:after="40"/>
            </w:pPr>
            <w:r/>
            <w:r>
              <w:rPr>
                <w:rFonts w:ascii="Calibri" w:hAnsi="Calibri"/>
                <w:b/>
                <w:color w:val="FFFFFF"/>
                <w:sz w:val="17"/>
              </w:rPr>
              <w:t>Action Plan</w:t>
            </w:r>
          </w:p>
        </w:tc>
      </w:tr>
      <w:tr>
        <w:tc>
          <w:tcPr>
            <w:tcW w:type="dxa" w:w="1224"/>
          </w:tcPr>
          <w:p>
            <w:pPr>
              <w:spacing w:before="40" w:after="40"/>
            </w:pPr>
            <w:r/>
            <w:r>
              <w:rPr>
                <w:rFonts w:ascii="Calibri" w:hAnsi="Calibri"/>
                <w:b w:val="0"/>
                <w:color w:val="33403A"/>
                <w:sz w:val="16"/>
              </w:rPr>
              <w:t>14:00–14:45</w:t>
            </w:r>
          </w:p>
        </w:tc>
        <w:tc>
          <w:tcPr>
            <w:tcW w:type="dxa" w:w="5760"/>
          </w:tcPr>
          <w:p>
            <w:pPr>
              <w:spacing w:before="40" w:after="40"/>
            </w:pPr>
            <w:r/>
            <w:r>
              <w:rPr>
                <w:rFonts w:ascii="Calibri" w:hAnsi="Calibri"/>
                <w:b w:val="0"/>
                <w:color w:val="33403A"/>
                <w:sz w:val="16"/>
              </w:rPr>
              <w:t>From Good to Great: Prompt Optimisation</w:t>
              <w:br/>
              <w:t>Systematic improvement rather than trial and error — building an evaluation set, measuring output quality, controlling variance, managing context length and token cost, caching, and choosing between prompting, RAG and fine-tuning.</w:t>
            </w:r>
          </w:p>
        </w:tc>
        <w:tc>
          <w:tcPr>
            <w:tcW w:type="dxa" w:w="1512"/>
          </w:tcPr>
          <w:p>
            <w:pPr>
              <w:spacing w:before="40" w:after="40"/>
            </w:pPr>
            <w:r/>
            <w:r>
              <w:rPr>
                <w:rFonts w:ascii="Calibri" w:hAnsi="Calibri"/>
                <w:b w:val="0"/>
                <w:color w:val="33403A"/>
                <w:sz w:val="16"/>
              </w:rPr>
              <w:t>Talk</w:t>
            </w:r>
          </w:p>
        </w:tc>
        <w:tc>
          <w:tcPr>
            <w:tcW w:type="dxa" w:w="1296"/>
          </w:tcPr>
          <w:p>
            <w:pPr>
              <w:spacing w:before="40" w:after="40"/>
            </w:pPr>
            <w:r/>
            <w:r>
              <w:rPr>
                <w:rFonts w:ascii="Calibri" w:hAnsi="Calibri"/>
                <w:b w:val="0"/>
                <w:color w:val="33403A"/>
                <w:sz w:val="16"/>
              </w:rPr>
              <w:t>4.2.1 / 4.2.3</w:t>
            </w:r>
          </w:p>
        </w:tc>
      </w:tr>
      <w:tr>
        <w:tc>
          <w:tcPr>
            <w:tcW w:type="dxa" w:w="1224"/>
            <w:shd w:val="clear" w:fill="F4F8F5"/>
          </w:tcPr>
          <w:p>
            <w:pPr>
              <w:spacing w:before="40" w:after="40"/>
            </w:pPr>
            <w:r/>
            <w:r>
              <w:rPr>
                <w:rFonts w:ascii="Calibri" w:hAnsi="Calibri"/>
                <w:b w:val="0"/>
                <w:color w:val="33403A"/>
                <w:sz w:val="16"/>
              </w:rPr>
              <w:t>14:45–15:30</w:t>
            </w:r>
          </w:p>
        </w:tc>
        <w:tc>
          <w:tcPr>
            <w:tcW w:type="dxa" w:w="5760"/>
            <w:shd w:val="clear" w:fill="F4F8F5"/>
          </w:tcPr>
          <w:p>
            <w:pPr>
              <w:spacing w:before="40" w:after="40"/>
            </w:pPr>
            <w:r/>
            <w:r>
              <w:rPr>
                <w:rFonts w:ascii="Calibri" w:hAnsi="Calibri"/>
                <w:b w:val="0"/>
                <w:color w:val="33403A"/>
                <w:sz w:val="16"/>
              </w:rPr>
              <w:t>Choosing your engine: speed, cost and sovereignty — working with Groq</w:t>
              <w:br/>
              <w:t>How inference speed changes what is feasible in a production statistical pipeline. Participants run the same prompt against two providers, including Groq, and record latency, cost per thousand documents and output quality in a shared comparison sheet. The sheet becomes a reusable procurement input for their office.</w:t>
            </w:r>
          </w:p>
        </w:tc>
        <w:tc>
          <w:tcPr>
            <w:tcW w:type="dxa" w:w="1512"/>
            <w:shd w:val="clear" w:fill="F4F8F5"/>
          </w:tcPr>
          <w:p>
            <w:pPr>
              <w:spacing w:before="40" w:after="40"/>
            </w:pPr>
            <w:r/>
            <w:r>
              <w:rPr>
                <w:rFonts w:ascii="Calibri" w:hAnsi="Calibri"/>
                <w:b w:val="0"/>
                <w:color w:val="33403A"/>
                <w:sz w:val="16"/>
              </w:rPr>
              <w:t>Benchmark · teams</w:t>
            </w:r>
          </w:p>
        </w:tc>
        <w:tc>
          <w:tcPr>
            <w:tcW w:type="dxa" w:w="1296"/>
            <w:shd w:val="clear" w:fill="F4F8F5"/>
          </w:tcPr>
          <w:p>
            <w:pPr>
              <w:spacing w:before="40" w:after="40"/>
            </w:pPr>
            <w:r/>
            <w:r>
              <w:rPr>
                <w:rFonts w:ascii="Calibri" w:hAnsi="Calibri"/>
                <w:b w:val="0"/>
                <w:color w:val="33403A"/>
                <w:sz w:val="16"/>
              </w:rPr>
              <w:t>4.2.3</w:t>
            </w:r>
          </w:p>
        </w:tc>
      </w:tr>
      <w:tr>
        <w:tc>
          <w:tcPr>
            <w:tcW w:type="dxa" w:w="1224"/>
          </w:tcPr>
          <w:p>
            <w:pPr>
              <w:spacing w:before="40" w:after="40"/>
            </w:pPr>
            <w:r/>
            <w:r>
              <w:rPr>
                <w:rFonts w:ascii="Calibri" w:hAnsi="Calibri"/>
                <w:b w:val="0"/>
                <w:color w:val="33403A"/>
                <w:sz w:val="16"/>
              </w:rPr>
              <w:t>15:45–17:00</w:t>
            </w:r>
          </w:p>
        </w:tc>
        <w:tc>
          <w:tcPr>
            <w:tcW w:type="dxa" w:w="5760"/>
          </w:tcPr>
          <w:p>
            <w:pPr>
              <w:spacing w:before="40" w:after="40"/>
            </w:pPr>
            <w:r/>
            <w:r>
              <w:rPr>
                <w:rFonts w:ascii="Calibri" w:hAnsi="Calibri"/>
                <w:b w:val="0"/>
                <w:color w:val="33403A"/>
                <w:sz w:val="16"/>
              </w:rPr>
              <w:t>Hands-on — One Model, Many Jobs: an LLM Toolkit for Statisticians</w:t>
              <w:br/>
              <w:t>Rotating stations across professional use cases — writing and debugging code; drafting reports and methodological notes; producing presentations; generating charts and graphics; image and visual identity work, including logo design; document analysis and audio briefings with NotebookLM; multimodal work with Gemini. Each participant selects two stations relevant to their office and leaves with a finished deliverable from each.</w:t>
            </w:r>
          </w:p>
        </w:tc>
        <w:tc>
          <w:tcPr>
            <w:tcW w:type="dxa" w:w="1512"/>
          </w:tcPr>
          <w:p>
            <w:pPr>
              <w:spacing w:before="40" w:after="40"/>
            </w:pPr>
            <w:r/>
            <w:r>
              <w:rPr>
                <w:rFonts w:ascii="Calibri" w:hAnsi="Calibri"/>
                <w:b w:val="0"/>
                <w:color w:val="33403A"/>
                <w:sz w:val="16"/>
              </w:rPr>
              <w:t>Laboratory</w:t>
            </w:r>
          </w:p>
        </w:tc>
        <w:tc>
          <w:tcPr>
            <w:tcW w:type="dxa" w:w="1296"/>
          </w:tcPr>
          <w:p>
            <w:pPr>
              <w:spacing w:before="40" w:after="40"/>
            </w:pPr>
            <w:r/>
            <w:r>
              <w:rPr>
                <w:rFonts w:ascii="Calibri" w:hAnsi="Calibri"/>
                <w:b w:val="0"/>
                <w:color w:val="33403A"/>
                <w:sz w:val="16"/>
              </w:rPr>
              <w:t>4.2.1</w:t>
            </w:r>
          </w:p>
        </w:tc>
      </w:tr>
    </w:tbl>
    <w:p>
      <w:pPr>
        <w:spacing w:after="40"/>
      </w:pPr>
    </w:p>
    <w:tbl>
      <w:tblPr>
        <w:tblW w:type="auto" w:w="0"/>
        <w:tblLook w:firstColumn="1" w:firstRow="1" w:lastColumn="0" w:lastRow="0" w:noHBand="0" w:noVBand="1" w:val="04A0"/>
      </w:tblPr>
      <w:tblGrid>
        <w:gridCol w:w="9749"/>
      </w:tblGrid>
      <w:tr>
        <w:tc>
          <w:tcPr>
            <w:tcW w:type="dxa" w:w="9792"/>
            <w:shd w:val="clear" w:fill="0A3527"/>
          </w:tcPr>
          <w:p>
            <w:pPr>
              <w:spacing w:before="100" w:after="100"/>
            </w:pPr>
            <w:r/>
            <w:r>
              <w:rPr>
                <w:rFonts w:ascii="Cambria" w:hAnsi="Cambria"/>
                <w:b/>
                <w:color w:val="F2A900"/>
                <w:sz w:val="24"/>
              </w:rPr>
              <w:t>Day 3   |   Wednesday</w:t>
              <w:br/>
            </w:r>
            <w:r>
              <w:rPr>
                <w:rFonts w:ascii="Cambria" w:hAnsi="Cambria"/>
                <w:b/>
                <w:color w:val="FFFFFF"/>
                <w:sz w:val="22"/>
              </w:rPr>
              <w:t>Beyond the Survey: Non-Traditional Data and the Technologies That Handle Them</w:t>
              <w:br/>
            </w:r>
            <w:r>
              <w:rPr>
                <w:rFonts w:ascii="Calibri" w:hAnsi="Calibri"/>
                <w:color w:val="C9DAD2"/>
                <w:sz w:val="17"/>
              </w:rPr>
              <w:t>New raw material for official statistics — and the engines that make it usable at scale</w:t>
            </w:r>
          </w:p>
        </w:tc>
      </w:tr>
    </w:tbl>
    <w:p>
      <w:pPr>
        <w:spacing w:after="40"/>
      </w:pPr>
    </w:p>
    <w:p>
      <w:pPr>
        <w:spacing w:after="120"/>
        <w:jc w:val="both"/>
      </w:pPr>
      <w:r>
        <w:rPr>
          <w:rFonts w:ascii="Calibri" w:hAnsi="Calibri"/>
          <w:b/>
          <w:i w:val="0"/>
          <w:color w:val="0A3527"/>
          <w:sz w:val="18"/>
        </w:rPr>
        <w:t>Morning  ·  09:00 – 12:30</w:t>
      </w:r>
    </w:p>
    <w:tbl>
      <w:tblPr>
        <w:tblW w:type="auto" w:w="0"/>
        <w:jc w:val="center"/>
        <w:tblLayout w:type="fixed"/>
        <w:tblLook w:firstColumn="1" w:firstRow="1" w:lastColumn="0" w:lastRow="0" w:noHBand="0" w:noVBand="1" w:val="04A0"/>
      </w:tblPr>
      <w:tblGrid>
        <w:gridCol w:w="2437"/>
        <w:gridCol w:w="2437"/>
        <w:gridCol w:w="2437"/>
        <w:gridCol w:w="2437"/>
      </w:tblGrid>
      <w:tr>
        <w:tc>
          <w:tcPr>
            <w:tcW w:type="dxa" w:w="1224"/>
            <w:shd w:val="clear" w:fill="0B2545"/>
          </w:tcPr>
          <w:p>
            <w:pPr>
              <w:spacing w:before="40" w:after="40"/>
            </w:pPr>
            <w:r/>
            <w:r>
              <w:rPr>
                <w:rFonts w:ascii="Calibri" w:hAnsi="Calibri"/>
                <w:b/>
                <w:color w:val="FFFFFF"/>
                <w:sz w:val="17"/>
              </w:rPr>
              <w:t>Time</w:t>
            </w:r>
          </w:p>
        </w:tc>
        <w:tc>
          <w:tcPr>
            <w:tcW w:type="dxa" w:w="5760"/>
            <w:shd w:val="clear" w:fill="0B2545"/>
          </w:tcPr>
          <w:p>
            <w:pPr>
              <w:spacing w:before="40" w:after="40"/>
            </w:pPr>
            <w:r/>
            <w:r>
              <w:rPr>
                <w:rFonts w:ascii="Calibri" w:hAnsi="Calibri"/>
                <w:b/>
                <w:color w:val="FFFFFF"/>
                <w:sz w:val="17"/>
              </w:rPr>
              <w:t>Session</w:t>
            </w:r>
          </w:p>
        </w:tc>
        <w:tc>
          <w:tcPr>
            <w:tcW w:type="dxa" w:w="1512"/>
            <w:shd w:val="clear" w:fill="0B2545"/>
          </w:tcPr>
          <w:p>
            <w:pPr>
              <w:spacing w:before="40" w:after="40"/>
            </w:pPr>
            <w:r/>
            <w:r>
              <w:rPr>
                <w:rFonts w:ascii="Calibri" w:hAnsi="Calibri"/>
                <w:b/>
                <w:color w:val="FFFFFF"/>
                <w:sz w:val="17"/>
              </w:rPr>
              <w:t>Mode</w:t>
            </w:r>
          </w:p>
        </w:tc>
        <w:tc>
          <w:tcPr>
            <w:tcW w:type="dxa" w:w="1296"/>
            <w:shd w:val="clear" w:fill="0B2545"/>
          </w:tcPr>
          <w:p>
            <w:pPr>
              <w:spacing w:before="40" w:after="40"/>
            </w:pPr>
            <w:r/>
            <w:r>
              <w:rPr>
                <w:rFonts w:ascii="Calibri" w:hAnsi="Calibri"/>
                <w:b/>
                <w:color w:val="FFFFFF"/>
                <w:sz w:val="17"/>
              </w:rPr>
              <w:t>Action Plan</w:t>
            </w:r>
          </w:p>
        </w:tc>
      </w:tr>
      <w:tr>
        <w:tc>
          <w:tcPr>
            <w:tcW w:type="dxa" w:w="1224"/>
          </w:tcPr>
          <w:p>
            <w:pPr>
              <w:spacing w:before="40" w:after="40"/>
            </w:pPr>
            <w:r/>
            <w:r>
              <w:rPr>
                <w:rFonts w:ascii="Calibri" w:hAnsi="Calibri"/>
                <w:b w:val="0"/>
                <w:color w:val="33403A"/>
                <w:sz w:val="16"/>
              </w:rPr>
              <w:t>09:00–10:15</w:t>
            </w:r>
          </w:p>
        </w:tc>
        <w:tc>
          <w:tcPr>
            <w:tcW w:type="dxa" w:w="5760"/>
          </w:tcPr>
          <w:p>
            <w:pPr>
              <w:spacing w:before="40" w:after="40"/>
            </w:pPr>
            <w:r/>
            <w:r>
              <w:rPr>
                <w:rFonts w:ascii="Calibri" w:hAnsi="Calibri"/>
                <w:b w:val="0"/>
                <w:color w:val="33403A"/>
                <w:sz w:val="16"/>
              </w:rPr>
              <w:t>Non-Traditional Data Sources: The Hidden Treasure</w:t>
              <w:br/>
              <w:t>Taxonomy of non-traditional sources — satellite imagery, crowdsourced measurement, scanner and transaction data, web scraping, sensors and IoT, citizen-generated data. Quality frameworks and coverage bias in non-probabilistic sources; access and partnership models with private data holders; ethics and confidentiality.</w:t>
            </w:r>
          </w:p>
        </w:tc>
        <w:tc>
          <w:tcPr>
            <w:tcW w:type="dxa" w:w="1512"/>
          </w:tcPr>
          <w:p>
            <w:pPr>
              <w:spacing w:before="40" w:after="40"/>
            </w:pPr>
            <w:r/>
            <w:r>
              <w:rPr>
                <w:rFonts w:ascii="Calibri" w:hAnsi="Calibri"/>
                <w:b w:val="0"/>
                <w:color w:val="33403A"/>
                <w:sz w:val="16"/>
              </w:rPr>
              <w:t>Talk</w:t>
            </w:r>
          </w:p>
        </w:tc>
        <w:tc>
          <w:tcPr>
            <w:tcW w:type="dxa" w:w="1296"/>
          </w:tcPr>
          <w:p>
            <w:pPr>
              <w:spacing w:before="40" w:after="40"/>
            </w:pPr>
            <w:r/>
            <w:r>
              <w:rPr>
                <w:rFonts w:ascii="Calibri" w:hAnsi="Calibri"/>
                <w:b w:val="0"/>
                <w:color w:val="33403A"/>
                <w:sz w:val="16"/>
              </w:rPr>
              <w:t>2.1.1 / 3.1 / 4.3</w:t>
            </w:r>
          </w:p>
        </w:tc>
      </w:tr>
      <w:tr>
        <w:tc>
          <w:tcPr>
            <w:tcW w:type="dxa" w:w="1224"/>
            <w:shd w:val="clear" w:fill="F4F8F5"/>
          </w:tcPr>
          <w:p>
            <w:pPr>
              <w:spacing w:before="40" w:after="40"/>
            </w:pPr>
            <w:r/>
            <w:r>
              <w:rPr>
                <w:rFonts w:ascii="Calibri" w:hAnsi="Calibri"/>
                <w:b w:val="0"/>
                <w:color w:val="33403A"/>
                <w:sz w:val="16"/>
              </w:rPr>
              <w:t>10:30–12:30</w:t>
            </w:r>
          </w:p>
        </w:tc>
        <w:tc>
          <w:tcPr>
            <w:tcW w:type="dxa" w:w="5760"/>
            <w:shd w:val="clear" w:fill="F4F8F5"/>
          </w:tcPr>
          <w:p>
            <w:pPr>
              <w:spacing w:before="40" w:after="40"/>
            </w:pPr>
            <w:r/>
            <w:r>
              <w:rPr>
                <w:rFonts w:ascii="Calibri" w:hAnsi="Calibri"/>
                <w:b w:val="0"/>
                <w:color w:val="33403A"/>
                <w:sz w:val="16"/>
              </w:rPr>
              <w:t>Hands-on — Ookla Speedtest Open Data and WorldPop</w:t>
              <w:br/>
              <w:t>Ookla: performance tiles at web-Mercator zoom 16 (about 611 m at the equator), quarterly since Q1 2019; key fields (quadkey, avg_d_kbps, avg_lat_ms, tests, devices); CC BY-NC-SA 4.0 licence and its consequences for NSO publication; verify national coverage before designing any indicator. WorldPop: gridded population rasters used to weight and normalise. Teams join the tiles to administrative boundaries and produce a first population-weighted connectivity indicator per region.</w:t>
            </w:r>
          </w:p>
        </w:tc>
        <w:tc>
          <w:tcPr>
            <w:tcW w:type="dxa" w:w="1512"/>
            <w:shd w:val="clear" w:fill="F4F8F5"/>
          </w:tcPr>
          <w:p>
            <w:pPr>
              <w:spacing w:before="40" w:after="40"/>
            </w:pPr>
            <w:r/>
            <w:r>
              <w:rPr>
                <w:rFonts w:ascii="Calibri" w:hAnsi="Calibri"/>
                <w:b w:val="0"/>
                <w:color w:val="33403A"/>
                <w:sz w:val="16"/>
              </w:rPr>
              <w:t>Laboratory</w:t>
            </w:r>
          </w:p>
        </w:tc>
        <w:tc>
          <w:tcPr>
            <w:tcW w:type="dxa" w:w="1296"/>
            <w:shd w:val="clear" w:fill="F4F8F5"/>
          </w:tcPr>
          <w:p>
            <w:pPr>
              <w:spacing w:before="40" w:after="40"/>
            </w:pPr>
            <w:r/>
            <w:r>
              <w:rPr>
                <w:rFonts w:ascii="Calibri" w:hAnsi="Calibri"/>
                <w:b w:val="0"/>
                <w:color w:val="33403A"/>
                <w:sz w:val="16"/>
              </w:rPr>
              <w:t>2.1.1 / 3.1</w:t>
            </w:r>
          </w:p>
        </w:tc>
      </w:tr>
    </w:tbl>
    <w:p>
      <w:pPr>
        <w:spacing w:after="40"/>
      </w:pPr>
    </w:p>
    <w:p>
      <w:pPr>
        <w:spacing w:after="120"/>
        <w:jc w:val="both"/>
      </w:pPr>
      <w:r>
        <w:rPr>
          <w:rFonts w:ascii="Calibri" w:hAnsi="Calibri"/>
          <w:b/>
          <w:i w:val="0"/>
          <w:color w:val="0A3527"/>
          <w:sz w:val="18"/>
        </w:rPr>
        <w:t>Afternoon  ·  14:00 – 17:00</w:t>
      </w:r>
    </w:p>
    <w:tbl>
      <w:tblPr>
        <w:tblW w:type="auto" w:w="0"/>
        <w:jc w:val="center"/>
        <w:tblLayout w:type="fixed"/>
        <w:tblLook w:firstColumn="1" w:firstRow="1" w:lastColumn="0" w:lastRow="0" w:noHBand="0" w:noVBand="1" w:val="04A0"/>
      </w:tblPr>
      <w:tblGrid>
        <w:gridCol w:w="2437"/>
        <w:gridCol w:w="2437"/>
        <w:gridCol w:w="2437"/>
        <w:gridCol w:w="2437"/>
      </w:tblGrid>
      <w:tr>
        <w:tc>
          <w:tcPr>
            <w:tcW w:type="dxa" w:w="1224"/>
            <w:shd w:val="clear" w:fill="0B2545"/>
          </w:tcPr>
          <w:p>
            <w:pPr>
              <w:spacing w:before="40" w:after="40"/>
            </w:pPr>
            <w:r/>
            <w:r>
              <w:rPr>
                <w:rFonts w:ascii="Calibri" w:hAnsi="Calibri"/>
                <w:b/>
                <w:color w:val="FFFFFF"/>
                <w:sz w:val="17"/>
              </w:rPr>
              <w:t>Time</w:t>
            </w:r>
          </w:p>
        </w:tc>
        <w:tc>
          <w:tcPr>
            <w:tcW w:type="dxa" w:w="5760"/>
            <w:shd w:val="clear" w:fill="0B2545"/>
          </w:tcPr>
          <w:p>
            <w:pPr>
              <w:spacing w:before="40" w:after="40"/>
            </w:pPr>
            <w:r/>
            <w:r>
              <w:rPr>
                <w:rFonts w:ascii="Calibri" w:hAnsi="Calibri"/>
                <w:b/>
                <w:color w:val="FFFFFF"/>
                <w:sz w:val="17"/>
              </w:rPr>
              <w:t>Session</w:t>
            </w:r>
          </w:p>
        </w:tc>
        <w:tc>
          <w:tcPr>
            <w:tcW w:type="dxa" w:w="1512"/>
            <w:shd w:val="clear" w:fill="0B2545"/>
          </w:tcPr>
          <w:p>
            <w:pPr>
              <w:spacing w:before="40" w:after="40"/>
            </w:pPr>
            <w:r/>
            <w:r>
              <w:rPr>
                <w:rFonts w:ascii="Calibri" w:hAnsi="Calibri"/>
                <w:b/>
                <w:color w:val="FFFFFF"/>
                <w:sz w:val="17"/>
              </w:rPr>
              <w:t>Mode</w:t>
            </w:r>
          </w:p>
        </w:tc>
        <w:tc>
          <w:tcPr>
            <w:tcW w:type="dxa" w:w="1296"/>
            <w:shd w:val="clear" w:fill="0B2545"/>
          </w:tcPr>
          <w:p>
            <w:pPr>
              <w:spacing w:before="40" w:after="40"/>
            </w:pPr>
            <w:r/>
            <w:r>
              <w:rPr>
                <w:rFonts w:ascii="Calibri" w:hAnsi="Calibri"/>
                <w:b/>
                <w:color w:val="FFFFFF"/>
                <w:sz w:val="17"/>
              </w:rPr>
              <w:t>Action Plan</w:t>
            </w:r>
          </w:p>
        </w:tc>
      </w:tr>
      <w:tr>
        <w:tc>
          <w:tcPr>
            <w:tcW w:type="dxa" w:w="1224"/>
          </w:tcPr>
          <w:p>
            <w:pPr>
              <w:spacing w:before="40" w:after="40"/>
            </w:pPr>
            <w:r/>
            <w:r>
              <w:rPr>
                <w:rFonts w:ascii="Calibri" w:hAnsi="Calibri"/>
                <w:b w:val="0"/>
                <w:color w:val="33403A"/>
                <w:sz w:val="16"/>
              </w:rPr>
              <w:t>14:00–14:45</w:t>
            </w:r>
          </w:p>
        </w:tc>
        <w:tc>
          <w:tcPr>
            <w:tcW w:type="dxa" w:w="5760"/>
          </w:tcPr>
          <w:p>
            <w:pPr>
              <w:spacing w:before="40" w:after="40"/>
            </w:pPr>
            <w:r/>
            <w:r>
              <w:rPr>
                <w:rFonts w:ascii="Calibri" w:hAnsi="Calibri"/>
                <w:b w:val="0"/>
                <w:color w:val="33403A"/>
                <w:sz w:val="16"/>
              </w:rPr>
              <w:t>Engines of Scale: Big Data Technologies for Statistical Systems</w:t>
              <w:br/>
              <w:t>Fundamentals — ingestion, storage (data lake and lakehouse), distributed processing (batch versus streaming, Spark), indexing and search, orchestration, metadata and versioning. Where each technology earns its place in an NSO, and where a simpler tool would do the job. The UN Global Platform and the UN Big Data Hub in Kigali as shared infrastructure.</w:t>
            </w:r>
          </w:p>
        </w:tc>
        <w:tc>
          <w:tcPr>
            <w:tcW w:type="dxa" w:w="1512"/>
          </w:tcPr>
          <w:p>
            <w:pPr>
              <w:spacing w:before="40" w:after="40"/>
            </w:pPr>
            <w:r/>
            <w:r>
              <w:rPr>
                <w:rFonts w:ascii="Calibri" w:hAnsi="Calibri"/>
                <w:b w:val="0"/>
                <w:color w:val="33403A"/>
                <w:sz w:val="16"/>
              </w:rPr>
              <w:t>Talk</w:t>
            </w:r>
          </w:p>
        </w:tc>
        <w:tc>
          <w:tcPr>
            <w:tcW w:type="dxa" w:w="1296"/>
          </w:tcPr>
          <w:p>
            <w:pPr>
              <w:spacing w:before="40" w:after="40"/>
            </w:pPr>
            <w:r/>
            <w:r>
              <w:rPr>
                <w:rFonts w:ascii="Calibri" w:hAnsi="Calibri"/>
                <w:b w:val="0"/>
                <w:color w:val="33403A"/>
                <w:sz w:val="16"/>
              </w:rPr>
              <w:t>4.2.3 / 4.2.2</w:t>
            </w:r>
          </w:p>
        </w:tc>
      </w:tr>
      <w:tr>
        <w:tc>
          <w:tcPr>
            <w:tcW w:type="dxa" w:w="1224"/>
            <w:shd w:val="clear" w:fill="F4F8F5"/>
          </w:tcPr>
          <w:p>
            <w:pPr>
              <w:spacing w:before="40" w:after="40"/>
            </w:pPr>
            <w:r/>
            <w:r>
              <w:rPr>
                <w:rFonts w:ascii="Calibri" w:hAnsi="Calibri"/>
                <w:b w:val="0"/>
                <w:color w:val="33403A"/>
                <w:sz w:val="16"/>
              </w:rPr>
              <w:t>14:45–15:30</w:t>
            </w:r>
          </w:p>
        </w:tc>
        <w:tc>
          <w:tcPr>
            <w:tcW w:type="dxa" w:w="5760"/>
            <w:shd w:val="clear" w:fill="F4F8F5"/>
          </w:tcPr>
          <w:p>
            <w:pPr>
              <w:spacing w:before="40" w:after="40"/>
            </w:pPr>
            <w:r/>
            <w:r>
              <w:rPr>
                <w:rFonts w:ascii="Calibri" w:hAnsi="Calibri"/>
                <w:b w:val="0"/>
                <w:color w:val="33403A"/>
                <w:sz w:val="16"/>
              </w:rPr>
              <w:t>Hands-on part 1 — Ookla at Scale with Elasticsearch</w:t>
              <w:br/>
              <w:t>Index the Ookla tiles in a pre-provisioned Elasticsearch cluster; understand the mapping and the geo_shape type; run the first aggregation and geospatial queries.</w:t>
            </w:r>
          </w:p>
        </w:tc>
        <w:tc>
          <w:tcPr>
            <w:tcW w:type="dxa" w:w="1512"/>
            <w:shd w:val="clear" w:fill="F4F8F5"/>
          </w:tcPr>
          <w:p>
            <w:pPr>
              <w:spacing w:before="40" w:after="40"/>
            </w:pPr>
            <w:r/>
            <w:r>
              <w:rPr>
                <w:rFonts w:ascii="Calibri" w:hAnsi="Calibri"/>
                <w:b w:val="0"/>
                <w:color w:val="33403A"/>
                <w:sz w:val="16"/>
              </w:rPr>
              <w:t>Laboratory</w:t>
            </w:r>
          </w:p>
        </w:tc>
        <w:tc>
          <w:tcPr>
            <w:tcW w:type="dxa" w:w="1296"/>
            <w:shd w:val="clear" w:fill="F4F8F5"/>
          </w:tcPr>
          <w:p>
            <w:pPr>
              <w:spacing w:before="40" w:after="40"/>
            </w:pPr>
            <w:r/>
            <w:r>
              <w:rPr>
                <w:rFonts w:ascii="Calibri" w:hAnsi="Calibri"/>
                <w:b w:val="0"/>
                <w:color w:val="33403A"/>
                <w:sz w:val="16"/>
              </w:rPr>
              <w:t>4.2.1 / 4.2.3</w:t>
            </w:r>
          </w:p>
        </w:tc>
      </w:tr>
      <w:tr>
        <w:tc>
          <w:tcPr>
            <w:tcW w:type="dxa" w:w="1224"/>
          </w:tcPr>
          <w:p>
            <w:pPr>
              <w:spacing w:before="40" w:after="40"/>
            </w:pPr>
            <w:r/>
            <w:r>
              <w:rPr>
                <w:rFonts w:ascii="Calibri" w:hAnsi="Calibri"/>
                <w:b w:val="0"/>
                <w:color w:val="33403A"/>
                <w:sz w:val="16"/>
              </w:rPr>
              <w:t>15:45–16:45</w:t>
            </w:r>
          </w:p>
        </w:tc>
        <w:tc>
          <w:tcPr>
            <w:tcW w:type="dxa" w:w="5760"/>
          </w:tcPr>
          <w:p>
            <w:pPr>
              <w:spacing w:before="40" w:after="40"/>
            </w:pPr>
            <w:r/>
            <w:r>
              <w:rPr>
                <w:rFonts w:ascii="Calibri" w:hAnsi="Calibri"/>
                <w:b w:val="0"/>
                <w:color w:val="33403A"/>
                <w:sz w:val="16"/>
              </w:rPr>
              <w:t>Hands-on part 2 — Search-driven exploration</w:t>
              <w:br/>
              <w:t>Build a search-driven exploration of connectivity by region and quarter; compare query time and memory footprint against the pandas approach of the morning, and draw the practical conclusion about when the added complexity is worth it.</w:t>
            </w:r>
          </w:p>
        </w:tc>
        <w:tc>
          <w:tcPr>
            <w:tcW w:type="dxa" w:w="1512"/>
          </w:tcPr>
          <w:p>
            <w:pPr>
              <w:spacing w:before="40" w:after="40"/>
            </w:pPr>
            <w:r/>
            <w:r>
              <w:rPr>
                <w:rFonts w:ascii="Calibri" w:hAnsi="Calibri"/>
                <w:b w:val="0"/>
                <w:color w:val="33403A"/>
                <w:sz w:val="16"/>
              </w:rPr>
              <w:t>Laboratory</w:t>
            </w:r>
          </w:p>
        </w:tc>
        <w:tc>
          <w:tcPr>
            <w:tcW w:type="dxa" w:w="1296"/>
          </w:tcPr>
          <w:p>
            <w:pPr>
              <w:spacing w:before="40" w:after="40"/>
            </w:pPr>
            <w:r/>
            <w:r>
              <w:rPr>
                <w:rFonts w:ascii="Calibri" w:hAnsi="Calibri"/>
                <w:b w:val="0"/>
                <w:color w:val="33403A"/>
                <w:sz w:val="16"/>
              </w:rPr>
              <w:t>4.2.1 / 4.2.3</w:t>
            </w:r>
          </w:p>
        </w:tc>
      </w:tr>
      <w:tr>
        <w:tc>
          <w:tcPr>
            <w:tcW w:type="dxa" w:w="1224"/>
            <w:shd w:val="clear" w:fill="F4F8F5"/>
          </w:tcPr>
          <w:p>
            <w:pPr>
              <w:spacing w:before="40" w:after="40"/>
            </w:pPr>
            <w:r/>
            <w:r>
              <w:rPr>
                <w:rFonts w:ascii="Calibri" w:hAnsi="Calibri"/>
                <w:b w:val="0"/>
                <w:color w:val="33403A"/>
                <w:sz w:val="16"/>
              </w:rPr>
              <w:t>16:45–17:00</w:t>
            </w:r>
          </w:p>
        </w:tc>
        <w:tc>
          <w:tcPr>
            <w:tcW w:type="dxa" w:w="5760"/>
            <w:shd w:val="clear" w:fill="F4F8F5"/>
          </w:tcPr>
          <w:p>
            <w:pPr>
              <w:spacing w:before="40" w:after="40"/>
            </w:pPr>
            <w:r/>
            <w:r>
              <w:rPr>
                <w:rFonts w:ascii="Calibri" w:hAnsi="Calibri"/>
                <w:b w:val="0"/>
                <w:color w:val="33403A"/>
                <w:sz w:val="16"/>
              </w:rPr>
              <w:t>Publication on GitHub</w:t>
              <w:br/>
              <w:t>Each team commits its notebooks, queries and outputs to the workshop GitHub organisation, with a README documenting method, sources and licence.</w:t>
            </w:r>
          </w:p>
        </w:tc>
        <w:tc>
          <w:tcPr>
            <w:tcW w:type="dxa" w:w="1512"/>
            <w:shd w:val="clear" w:fill="F4F8F5"/>
          </w:tcPr>
          <w:p>
            <w:pPr>
              <w:spacing w:before="40" w:after="40"/>
            </w:pPr>
            <w:r/>
            <w:r>
              <w:rPr>
                <w:rFonts w:ascii="Calibri" w:hAnsi="Calibri"/>
                <w:b w:val="0"/>
                <w:color w:val="33403A"/>
                <w:sz w:val="16"/>
              </w:rPr>
              <w:t>Laboratory</w:t>
            </w:r>
          </w:p>
        </w:tc>
        <w:tc>
          <w:tcPr>
            <w:tcW w:type="dxa" w:w="1296"/>
            <w:shd w:val="clear" w:fill="F4F8F5"/>
          </w:tcPr>
          <w:p>
            <w:pPr>
              <w:spacing w:before="40" w:after="40"/>
            </w:pPr>
            <w:r/>
            <w:r>
              <w:rPr>
                <w:rFonts w:ascii="Calibri" w:hAnsi="Calibri"/>
                <w:b w:val="0"/>
                <w:color w:val="33403A"/>
                <w:sz w:val="16"/>
              </w:rPr>
              <w:t>2.1.1 / 4.2.1</w:t>
            </w:r>
          </w:p>
        </w:tc>
      </w:tr>
    </w:tbl>
    <w:p>
      <w:pPr>
        <w:spacing w:after="40"/>
      </w:pPr>
    </w:p>
    <w:tbl>
      <w:tblPr>
        <w:tblW w:type="auto" w:w="0"/>
        <w:tblLook w:firstColumn="1" w:firstRow="1" w:lastColumn="0" w:lastRow="0" w:noHBand="0" w:noVBand="1" w:val="04A0"/>
      </w:tblPr>
      <w:tblGrid>
        <w:gridCol w:w="9749"/>
      </w:tblGrid>
      <w:tr>
        <w:tc>
          <w:tcPr>
            <w:tcW w:type="dxa" w:w="9792"/>
            <w:shd w:val="clear" w:fill="0A3527"/>
          </w:tcPr>
          <w:p>
            <w:pPr>
              <w:spacing w:before="100" w:after="100"/>
            </w:pPr>
            <w:r/>
            <w:r>
              <w:rPr>
                <w:rFonts w:ascii="Cambria" w:hAnsi="Cambria"/>
                <w:b/>
                <w:color w:val="F2A900"/>
                <w:sz w:val="24"/>
              </w:rPr>
              <w:t>Day 4   |   Thursday</w:t>
              <w:br/>
            </w:r>
            <w:r>
              <w:rPr>
                <w:rFonts w:ascii="Cambria" w:hAnsi="Cambria"/>
                <w:b/>
                <w:color w:val="FFFFFF"/>
                <w:sz w:val="22"/>
              </w:rPr>
              <w:t>Africa after dark: Reading development from Night-Time Lights</w:t>
              <w:br/>
            </w:r>
            <w:r>
              <w:rPr>
                <w:rFonts w:ascii="Calibri" w:hAnsi="Calibri"/>
                <w:color w:val="C9DAD2"/>
                <w:sz w:val="17"/>
              </w:rPr>
              <w:t>A full day on NTL — from raw radiance to a validated subnational indicator</w:t>
            </w:r>
          </w:p>
        </w:tc>
      </w:tr>
    </w:tbl>
    <w:p>
      <w:pPr>
        <w:spacing w:after="40"/>
      </w:pPr>
    </w:p>
    <w:p>
      <w:pPr>
        <w:spacing w:after="120"/>
        <w:jc w:val="both"/>
      </w:pPr>
      <w:r>
        <w:rPr>
          <w:rFonts w:ascii="Calibri" w:hAnsi="Calibri"/>
          <w:b/>
          <w:i w:val="0"/>
          <w:color w:val="0A3527"/>
          <w:sz w:val="18"/>
        </w:rPr>
        <w:t>Morning  ·  09:00 – 12:30</w:t>
      </w:r>
    </w:p>
    <w:tbl>
      <w:tblPr>
        <w:tblW w:type="auto" w:w="0"/>
        <w:jc w:val="center"/>
        <w:tblLayout w:type="fixed"/>
        <w:tblLook w:firstColumn="1" w:firstRow="1" w:lastColumn="0" w:lastRow="0" w:noHBand="0" w:noVBand="1" w:val="04A0"/>
      </w:tblPr>
      <w:tblGrid>
        <w:gridCol w:w="2437"/>
        <w:gridCol w:w="2437"/>
        <w:gridCol w:w="2437"/>
        <w:gridCol w:w="2437"/>
      </w:tblGrid>
      <w:tr>
        <w:tc>
          <w:tcPr>
            <w:tcW w:type="dxa" w:w="1224"/>
            <w:shd w:val="clear" w:fill="0B2545"/>
          </w:tcPr>
          <w:p>
            <w:pPr>
              <w:spacing w:before="40" w:after="40"/>
            </w:pPr>
            <w:r/>
            <w:r>
              <w:rPr>
                <w:rFonts w:ascii="Calibri" w:hAnsi="Calibri"/>
                <w:b/>
                <w:color w:val="FFFFFF"/>
                <w:sz w:val="17"/>
              </w:rPr>
              <w:t>Time</w:t>
            </w:r>
          </w:p>
        </w:tc>
        <w:tc>
          <w:tcPr>
            <w:tcW w:type="dxa" w:w="5760"/>
            <w:shd w:val="clear" w:fill="0B2545"/>
          </w:tcPr>
          <w:p>
            <w:pPr>
              <w:spacing w:before="40" w:after="40"/>
            </w:pPr>
            <w:r/>
            <w:r>
              <w:rPr>
                <w:rFonts w:ascii="Calibri" w:hAnsi="Calibri"/>
                <w:b/>
                <w:color w:val="FFFFFF"/>
                <w:sz w:val="17"/>
              </w:rPr>
              <w:t>Session</w:t>
            </w:r>
          </w:p>
        </w:tc>
        <w:tc>
          <w:tcPr>
            <w:tcW w:type="dxa" w:w="1512"/>
            <w:shd w:val="clear" w:fill="0B2545"/>
          </w:tcPr>
          <w:p>
            <w:pPr>
              <w:spacing w:before="40" w:after="40"/>
            </w:pPr>
            <w:r/>
            <w:r>
              <w:rPr>
                <w:rFonts w:ascii="Calibri" w:hAnsi="Calibri"/>
                <w:b/>
                <w:color w:val="FFFFFF"/>
                <w:sz w:val="17"/>
              </w:rPr>
              <w:t>Mode</w:t>
            </w:r>
          </w:p>
        </w:tc>
        <w:tc>
          <w:tcPr>
            <w:tcW w:type="dxa" w:w="1296"/>
            <w:shd w:val="clear" w:fill="0B2545"/>
          </w:tcPr>
          <w:p>
            <w:pPr>
              <w:spacing w:before="40" w:after="40"/>
            </w:pPr>
            <w:r/>
            <w:r>
              <w:rPr>
                <w:rFonts w:ascii="Calibri" w:hAnsi="Calibri"/>
                <w:b/>
                <w:color w:val="FFFFFF"/>
                <w:sz w:val="17"/>
              </w:rPr>
              <w:t>Action Plan</w:t>
            </w:r>
          </w:p>
        </w:tc>
      </w:tr>
      <w:tr>
        <w:tc>
          <w:tcPr>
            <w:tcW w:type="dxa" w:w="1224"/>
          </w:tcPr>
          <w:p>
            <w:pPr>
              <w:spacing w:before="40" w:after="40"/>
            </w:pPr>
            <w:r/>
            <w:r>
              <w:rPr>
                <w:rFonts w:ascii="Calibri" w:hAnsi="Calibri"/>
                <w:b w:val="0"/>
                <w:color w:val="33403A"/>
                <w:sz w:val="16"/>
              </w:rPr>
              <w:t>09:00–09:30</w:t>
            </w:r>
          </w:p>
        </w:tc>
        <w:tc>
          <w:tcPr>
            <w:tcW w:type="dxa" w:w="5760"/>
          </w:tcPr>
          <w:p>
            <w:pPr>
              <w:spacing w:before="40" w:after="40"/>
            </w:pPr>
            <w:r/>
            <w:r>
              <w:rPr>
                <w:rFonts w:ascii="Calibri" w:hAnsi="Calibri"/>
                <w:b w:val="0"/>
                <w:color w:val="33403A"/>
                <w:sz w:val="16"/>
              </w:rPr>
              <w:t>Night-Time Lights: What the Darkness Tells Us</w:t>
              <w:br/>
              <w:t>Concepts and utility, kept deliberately short so the day is spent in the data — from DMSP-OLS (1992–2013) to VIIRS/DNB; the NASA Black Marble products (VNP46A2 daily, A3 monthly, A4 annual) and the EOG annual VNL series; radiance units, resolution and temporal availability; what NTL proxies well — economic activity, electrification, urbanisation, crisis monitoring. The known artefacts are introduced here by name only and met hands-on in Part 2.</w:t>
            </w:r>
          </w:p>
        </w:tc>
        <w:tc>
          <w:tcPr>
            <w:tcW w:type="dxa" w:w="1512"/>
          </w:tcPr>
          <w:p>
            <w:pPr>
              <w:spacing w:before="40" w:after="40"/>
            </w:pPr>
            <w:r/>
            <w:r>
              <w:rPr>
                <w:rFonts w:ascii="Calibri" w:hAnsi="Calibri"/>
                <w:b w:val="0"/>
                <w:color w:val="33403A"/>
                <w:sz w:val="16"/>
              </w:rPr>
              <w:t>Talk</w:t>
            </w:r>
          </w:p>
        </w:tc>
        <w:tc>
          <w:tcPr>
            <w:tcW w:type="dxa" w:w="1296"/>
          </w:tcPr>
          <w:p>
            <w:pPr>
              <w:spacing w:before="40" w:after="40"/>
            </w:pPr>
            <w:r/>
            <w:r>
              <w:rPr>
                <w:rFonts w:ascii="Calibri" w:hAnsi="Calibri"/>
                <w:b w:val="0"/>
                <w:color w:val="33403A"/>
                <w:sz w:val="16"/>
              </w:rPr>
              <w:t>2.1.1</w:t>
            </w:r>
          </w:p>
        </w:tc>
      </w:tr>
      <w:tr>
        <w:tc>
          <w:tcPr>
            <w:tcW w:type="dxa" w:w="1224"/>
            <w:shd w:val="clear" w:fill="F4F8F5"/>
          </w:tcPr>
          <w:p>
            <w:pPr>
              <w:spacing w:before="40" w:after="40"/>
            </w:pPr>
            <w:r/>
            <w:r>
              <w:rPr>
                <w:rFonts w:ascii="Calibri" w:hAnsi="Calibri"/>
                <w:b w:val="0"/>
                <w:color w:val="33403A"/>
                <w:sz w:val="16"/>
              </w:rPr>
              <w:t>09:30–10:15</w:t>
            </w:r>
          </w:p>
        </w:tc>
        <w:tc>
          <w:tcPr>
            <w:tcW w:type="dxa" w:w="5760"/>
            <w:shd w:val="clear" w:fill="F4F8F5"/>
          </w:tcPr>
          <w:p>
            <w:pPr>
              <w:spacing w:before="40" w:after="40"/>
            </w:pPr>
            <w:r/>
            <w:r>
              <w:rPr>
                <w:rFonts w:ascii="Calibri" w:hAnsi="Calibri"/>
                <w:b w:val="0"/>
                <w:color w:val="33403A"/>
                <w:sz w:val="16"/>
              </w:rPr>
              <w:t>Hands-on part 1 — Collect</w:t>
              <w:br/>
              <w:t>Access NTL rasters (NASA Earthdata, EOG or Google Earth Engine); understand the file structure, bands and quality flags; clip to the national extent and save a working subset.</w:t>
            </w:r>
          </w:p>
        </w:tc>
        <w:tc>
          <w:tcPr>
            <w:tcW w:type="dxa" w:w="1512"/>
            <w:shd w:val="clear" w:fill="F4F8F5"/>
          </w:tcPr>
          <w:p>
            <w:pPr>
              <w:spacing w:before="40" w:after="40"/>
            </w:pPr>
            <w:r/>
            <w:r>
              <w:rPr>
                <w:rFonts w:ascii="Calibri" w:hAnsi="Calibri"/>
                <w:b w:val="0"/>
                <w:color w:val="33403A"/>
                <w:sz w:val="16"/>
              </w:rPr>
              <w:t>Laboratory</w:t>
            </w:r>
          </w:p>
        </w:tc>
        <w:tc>
          <w:tcPr>
            <w:tcW w:type="dxa" w:w="1296"/>
            <w:shd w:val="clear" w:fill="F4F8F5"/>
          </w:tcPr>
          <w:p>
            <w:pPr>
              <w:spacing w:before="40" w:after="40"/>
            </w:pPr>
            <w:r/>
            <w:r>
              <w:rPr>
                <w:rFonts w:ascii="Calibri" w:hAnsi="Calibri"/>
                <w:b w:val="0"/>
                <w:color w:val="33403A"/>
                <w:sz w:val="16"/>
              </w:rPr>
              <w:t>4.2.1</w:t>
            </w:r>
          </w:p>
        </w:tc>
      </w:tr>
      <w:tr>
        <w:tc>
          <w:tcPr>
            <w:tcW w:type="dxa" w:w="1224"/>
          </w:tcPr>
          <w:p>
            <w:pPr>
              <w:spacing w:before="40" w:after="40"/>
            </w:pPr>
            <w:r/>
            <w:r>
              <w:rPr>
                <w:rFonts w:ascii="Calibri" w:hAnsi="Calibri"/>
                <w:b w:val="0"/>
                <w:color w:val="33403A"/>
                <w:sz w:val="16"/>
              </w:rPr>
              <w:t>10:30–12:30</w:t>
            </w:r>
          </w:p>
        </w:tc>
        <w:tc>
          <w:tcPr>
            <w:tcW w:type="dxa" w:w="5760"/>
          </w:tcPr>
          <w:p>
            <w:pPr>
              <w:spacing w:before="40" w:after="40"/>
            </w:pPr>
            <w:r/>
            <w:r>
              <w:rPr>
                <w:rFonts w:ascii="Calibri" w:hAnsi="Calibri"/>
                <w:b w:val="0"/>
                <w:color w:val="33403A"/>
                <w:sz w:val="16"/>
              </w:rPr>
              <w:t>Hands-on part 2 — Explore and Understand</w:t>
              <w:br/>
              <w:t>Visualise and interrogate the raster before computing on it — distribution of radiance values, effect of the cloud and quality masks, month-to-month variation. Teams deliberately hunt for the artefacts named in the morning talk (blooming around cities, saturation, gas flares, seasonality, sensor discontinuity, rural low-light noise) and document which ones are present in their own country. Closes with a short round of comparisons across teams.</w:t>
            </w:r>
          </w:p>
        </w:tc>
        <w:tc>
          <w:tcPr>
            <w:tcW w:type="dxa" w:w="1512"/>
          </w:tcPr>
          <w:p>
            <w:pPr>
              <w:spacing w:before="40" w:after="40"/>
            </w:pPr>
            <w:r/>
            <w:r>
              <w:rPr>
                <w:rFonts w:ascii="Calibri" w:hAnsi="Calibri"/>
                <w:b w:val="0"/>
                <w:color w:val="33403A"/>
                <w:sz w:val="16"/>
              </w:rPr>
              <w:t>Laboratory</w:t>
            </w:r>
          </w:p>
        </w:tc>
        <w:tc>
          <w:tcPr>
            <w:tcW w:type="dxa" w:w="1296"/>
          </w:tcPr>
          <w:p>
            <w:pPr>
              <w:spacing w:before="40" w:after="40"/>
            </w:pPr>
            <w:r/>
            <w:r>
              <w:rPr>
                <w:rFonts w:ascii="Calibri" w:hAnsi="Calibri"/>
                <w:b w:val="0"/>
                <w:color w:val="33403A"/>
                <w:sz w:val="16"/>
              </w:rPr>
              <w:t>4.2.1 / 2.1.1</w:t>
            </w:r>
          </w:p>
        </w:tc>
      </w:tr>
    </w:tbl>
    <w:p>
      <w:pPr>
        <w:spacing w:after="40"/>
      </w:pPr>
    </w:p>
    <w:p>
      <w:pPr>
        <w:spacing w:after="120"/>
        <w:jc w:val="both"/>
      </w:pPr>
      <w:r>
        <w:rPr>
          <w:rFonts w:ascii="Calibri" w:hAnsi="Calibri"/>
          <w:b/>
          <w:i w:val="0"/>
          <w:color w:val="0A3527"/>
          <w:sz w:val="18"/>
        </w:rPr>
        <w:t>Afternoon  ·  14:00 – 17:00</w:t>
      </w:r>
    </w:p>
    <w:tbl>
      <w:tblPr>
        <w:tblW w:type="auto" w:w="0"/>
        <w:jc w:val="center"/>
        <w:tblLayout w:type="fixed"/>
        <w:tblLook w:firstColumn="1" w:firstRow="1" w:lastColumn="0" w:lastRow="0" w:noHBand="0" w:noVBand="1" w:val="04A0"/>
      </w:tblPr>
      <w:tblGrid>
        <w:gridCol w:w="2437"/>
        <w:gridCol w:w="2437"/>
        <w:gridCol w:w="2437"/>
        <w:gridCol w:w="2437"/>
      </w:tblGrid>
      <w:tr>
        <w:tc>
          <w:tcPr>
            <w:tcW w:type="dxa" w:w="1224"/>
            <w:shd w:val="clear" w:fill="0B2545"/>
          </w:tcPr>
          <w:p>
            <w:pPr>
              <w:spacing w:before="40" w:after="40"/>
            </w:pPr>
            <w:r/>
            <w:r>
              <w:rPr>
                <w:rFonts w:ascii="Calibri" w:hAnsi="Calibri"/>
                <w:b/>
                <w:color w:val="FFFFFF"/>
                <w:sz w:val="17"/>
              </w:rPr>
              <w:t>Time</w:t>
            </w:r>
          </w:p>
        </w:tc>
        <w:tc>
          <w:tcPr>
            <w:tcW w:type="dxa" w:w="5760"/>
            <w:shd w:val="clear" w:fill="0B2545"/>
          </w:tcPr>
          <w:p>
            <w:pPr>
              <w:spacing w:before="40" w:after="40"/>
            </w:pPr>
            <w:r/>
            <w:r>
              <w:rPr>
                <w:rFonts w:ascii="Calibri" w:hAnsi="Calibri"/>
                <w:b/>
                <w:color w:val="FFFFFF"/>
                <w:sz w:val="17"/>
              </w:rPr>
              <w:t>Session</w:t>
            </w:r>
          </w:p>
        </w:tc>
        <w:tc>
          <w:tcPr>
            <w:tcW w:type="dxa" w:w="1512"/>
            <w:shd w:val="clear" w:fill="0B2545"/>
          </w:tcPr>
          <w:p>
            <w:pPr>
              <w:spacing w:before="40" w:after="40"/>
            </w:pPr>
            <w:r/>
            <w:r>
              <w:rPr>
                <w:rFonts w:ascii="Calibri" w:hAnsi="Calibri"/>
                <w:b/>
                <w:color w:val="FFFFFF"/>
                <w:sz w:val="17"/>
              </w:rPr>
              <w:t>Mode</w:t>
            </w:r>
          </w:p>
        </w:tc>
        <w:tc>
          <w:tcPr>
            <w:tcW w:type="dxa" w:w="1296"/>
            <w:shd w:val="clear" w:fill="0B2545"/>
          </w:tcPr>
          <w:p>
            <w:pPr>
              <w:spacing w:before="40" w:after="40"/>
            </w:pPr>
            <w:r/>
            <w:r>
              <w:rPr>
                <w:rFonts w:ascii="Calibri" w:hAnsi="Calibri"/>
                <w:b/>
                <w:color w:val="FFFFFF"/>
                <w:sz w:val="17"/>
              </w:rPr>
              <w:t>Action Plan</w:t>
            </w:r>
          </w:p>
        </w:tc>
      </w:tr>
      <w:tr>
        <w:tc>
          <w:tcPr>
            <w:tcW w:type="dxa" w:w="1224"/>
          </w:tcPr>
          <w:p>
            <w:pPr>
              <w:spacing w:before="40" w:after="40"/>
            </w:pPr>
            <w:r/>
            <w:r>
              <w:rPr>
                <w:rFonts w:ascii="Calibri" w:hAnsi="Calibri"/>
                <w:b w:val="0"/>
                <w:color w:val="33403A"/>
                <w:sz w:val="16"/>
              </w:rPr>
              <w:t>14:00–15:30</w:t>
            </w:r>
          </w:p>
        </w:tc>
        <w:tc>
          <w:tcPr>
            <w:tcW w:type="dxa" w:w="5760"/>
          </w:tcPr>
          <w:p>
            <w:pPr>
              <w:spacing w:before="40" w:after="40"/>
            </w:pPr>
            <w:r/>
            <w:r>
              <w:rPr>
                <w:rFonts w:ascii="Calibri" w:hAnsi="Calibri"/>
                <w:b w:val="0"/>
                <w:color w:val="33403A"/>
                <w:sz w:val="16"/>
              </w:rPr>
              <w:t>Hands-on part 3 — Analysis</w:t>
              <w:br/>
              <w:t>Zonal statistics by administrative level (sum of radiance, mean radiance, lit area); annual and monthly time series; change detection between two periods; mapping and visualisation of the results.</w:t>
            </w:r>
          </w:p>
        </w:tc>
        <w:tc>
          <w:tcPr>
            <w:tcW w:type="dxa" w:w="1512"/>
          </w:tcPr>
          <w:p>
            <w:pPr>
              <w:spacing w:before="40" w:after="40"/>
            </w:pPr>
            <w:r/>
            <w:r>
              <w:rPr>
                <w:rFonts w:ascii="Calibri" w:hAnsi="Calibri"/>
                <w:b w:val="0"/>
                <w:color w:val="33403A"/>
                <w:sz w:val="16"/>
              </w:rPr>
              <w:t>Laboratory</w:t>
            </w:r>
          </w:p>
        </w:tc>
        <w:tc>
          <w:tcPr>
            <w:tcW w:type="dxa" w:w="1296"/>
          </w:tcPr>
          <w:p>
            <w:pPr>
              <w:spacing w:before="40" w:after="40"/>
            </w:pPr>
            <w:r/>
            <w:r>
              <w:rPr>
                <w:rFonts w:ascii="Calibri" w:hAnsi="Calibri"/>
                <w:b w:val="0"/>
                <w:color w:val="33403A"/>
                <w:sz w:val="16"/>
              </w:rPr>
              <w:t>4.2.1 / 2.1.1</w:t>
            </w:r>
          </w:p>
        </w:tc>
      </w:tr>
      <w:tr>
        <w:tc>
          <w:tcPr>
            <w:tcW w:type="dxa" w:w="1224"/>
            <w:shd w:val="clear" w:fill="F4F8F5"/>
          </w:tcPr>
          <w:p>
            <w:pPr>
              <w:spacing w:before="40" w:after="40"/>
            </w:pPr>
            <w:r/>
            <w:r>
              <w:rPr>
                <w:rFonts w:ascii="Calibri" w:hAnsi="Calibri"/>
                <w:b w:val="0"/>
                <w:color w:val="33403A"/>
                <w:sz w:val="16"/>
              </w:rPr>
              <w:t>15:45–16:30</w:t>
            </w:r>
          </w:p>
        </w:tc>
        <w:tc>
          <w:tcPr>
            <w:tcW w:type="dxa" w:w="5760"/>
            <w:shd w:val="clear" w:fill="F4F8F5"/>
          </w:tcPr>
          <w:p>
            <w:pPr>
              <w:spacing w:before="40" w:after="40"/>
            </w:pPr>
            <w:r/>
            <w:r>
              <w:rPr>
                <w:rFonts w:ascii="Calibri" w:hAnsi="Calibri"/>
                <w:b w:val="0"/>
                <w:color w:val="33403A"/>
                <w:sz w:val="16"/>
              </w:rPr>
              <w:t>Hands-on part 4 — Validation</w:t>
              <w:br/>
              <w:t>Correlate the NTL proxy with official subnational statistics (GDP, population, electrification rate) and, where relevant, with the Day 3 connectivity indicators. Decide, with evidence, whether the proxy is usable for dissemination in your country or remains a diagnostic tool only. Document the limitations explicitly — this statement is part of the deliverable.</w:t>
            </w:r>
          </w:p>
        </w:tc>
        <w:tc>
          <w:tcPr>
            <w:tcW w:type="dxa" w:w="1512"/>
            <w:shd w:val="clear" w:fill="F4F8F5"/>
          </w:tcPr>
          <w:p>
            <w:pPr>
              <w:spacing w:before="40" w:after="40"/>
            </w:pPr>
            <w:r/>
            <w:r>
              <w:rPr>
                <w:rFonts w:ascii="Calibri" w:hAnsi="Calibri"/>
                <w:b w:val="0"/>
                <w:color w:val="33403A"/>
                <w:sz w:val="16"/>
              </w:rPr>
              <w:t>Laboratory</w:t>
            </w:r>
          </w:p>
        </w:tc>
        <w:tc>
          <w:tcPr>
            <w:tcW w:type="dxa" w:w="1296"/>
            <w:shd w:val="clear" w:fill="F4F8F5"/>
          </w:tcPr>
          <w:p>
            <w:pPr>
              <w:spacing w:before="40" w:after="40"/>
            </w:pPr>
            <w:r/>
            <w:r>
              <w:rPr>
                <w:rFonts w:ascii="Calibri" w:hAnsi="Calibri"/>
                <w:b w:val="0"/>
                <w:color w:val="33403A"/>
                <w:sz w:val="16"/>
              </w:rPr>
              <w:t>2.1.1 / 4.3</w:t>
            </w:r>
          </w:p>
        </w:tc>
      </w:tr>
      <w:tr>
        <w:tc>
          <w:tcPr>
            <w:tcW w:type="dxa" w:w="1224"/>
          </w:tcPr>
          <w:p>
            <w:pPr>
              <w:spacing w:before="40" w:after="40"/>
            </w:pPr>
            <w:r/>
            <w:r>
              <w:rPr>
                <w:rFonts w:ascii="Calibri" w:hAnsi="Calibri"/>
                <w:b w:val="0"/>
                <w:color w:val="33403A"/>
                <w:sz w:val="16"/>
              </w:rPr>
              <w:t>16:30–17:00</w:t>
            </w:r>
          </w:p>
        </w:tc>
        <w:tc>
          <w:tcPr>
            <w:tcW w:type="dxa" w:w="5760"/>
          </w:tcPr>
          <w:p>
            <w:pPr>
              <w:spacing w:before="40" w:after="40"/>
            </w:pPr>
            <w:r/>
            <w:r>
              <w:rPr>
                <w:rFonts w:ascii="Calibri" w:hAnsi="Calibri"/>
                <w:b w:val="0"/>
                <w:color w:val="33403A"/>
                <w:sz w:val="16"/>
              </w:rPr>
              <w:t>Publication and preparation for Day 5</w:t>
              <w:br/>
              <w:t>Commit notebooks, maps and the limitations statement to GitHub; assemble the week's three outputs — dashboard, connectivity indicators, NTL analysis — into the 8-minute country presentation for Friday.</w:t>
            </w:r>
          </w:p>
        </w:tc>
        <w:tc>
          <w:tcPr>
            <w:tcW w:type="dxa" w:w="1512"/>
          </w:tcPr>
          <w:p>
            <w:pPr>
              <w:spacing w:before="40" w:after="40"/>
            </w:pPr>
            <w:r/>
            <w:r>
              <w:rPr>
                <w:rFonts w:ascii="Calibri" w:hAnsi="Calibri"/>
                <w:b w:val="0"/>
                <w:color w:val="33403A"/>
                <w:sz w:val="16"/>
              </w:rPr>
              <w:t>Laboratory</w:t>
            </w:r>
          </w:p>
        </w:tc>
        <w:tc>
          <w:tcPr>
            <w:tcW w:type="dxa" w:w="1296"/>
          </w:tcPr>
          <w:p>
            <w:pPr>
              <w:spacing w:before="40" w:after="40"/>
            </w:pPr>
            <w:r/>
            <w:r>
              <w:rPr>
                <w:rFonts w:ascii="Calibri" w:hAnsi="Calibri"/>
                <w:b w:val="0"/>
                <w:color w:val="33403A"/>
                <w:sz w:val="16"/>
              </w:rPr>
              <w:t>4.2.1 / 3.1.1</w:t>
            </w:r>
          </w:p>
        </w:tc>
      </w:tr>
    </w:tbl>
    <w:p>
      <w:pPr>
        <w:spacing w:after="40"/>
      </w:pPr>
    </w:p>
    <w:tbl>
      <w:tblPr>
        <w:tblW w:type="auto" w:w="0"/>
        <w:tblLook w:firstColumn="1" w:firstRow="1" w:lastColumn="0" w:lastRow="0" w:noHBand="0" w:noVBand="1" w:val="04A0"/>
      </w:tblPr>
      <w:tblGrid>
        <w:gridCol w:w="9749"/>
      </w:tblGrid>
      <w:tr>
        <w:tc>
          <w:tcPr>
            <w:tcW w:type="dxa" w:w="9792"/>
            <w:shd w:val="clear" w:fill="0A3527"/>
          </w:tcPr>
          <w:p>
            <w:pPr>
              <w:spacing w:before="100" w:after="100"/>
            </w:pPr>
            <w:r/>
            <w:r>
              <w:rPr>
                <w:rFonts w:ascii="Cambria" w:hAnsi="Cambria"/>
                <w:b/>
                <w:color w:val="F2A900"/>
                <w:sz w:val="24"/>
              </w:rPr>
              <w:t>Day 5   |   Friday (morning only)</w:t>
              <w:br/>
            </w:r>
            <w:r>
              <w:rPr>
                <w:rFonts w:ascii="Cambria" w:hAnsi="Cambria"/>
                <w:b/>
                <w:color w:val="FFFFFF"/>
                <w:sz w:val="22"/>
              </w:rPr>
              <w:t>Shared Resources, Country Results and the Way Forward</w:t>
              <w:br/>
            </w:r>
            <w:r>
              <w:rPr>
                <w:rFonts w:ascii="Calibri" w:hAnsi="Calibri"/>
                <w:color w:val="C9DAD2"/>
                <w:sz w:val="17"/>
              </w:rPr>
              <w:t>Turning a week of practice into a continental resource and into commitments under the Action Plan</w:t>
            </w:r>
          </w:p>
        </w:tc>
      </w:tr>
    </w:tbl>
    <w:p>
      <w:pPr>
        <w:spacing w:after="40"/>
      </w:pPr>
    </w:p>
    <w:p>
      <w:pPr>
        <w:spacing w:after="120"/>
        <w:jc w:val="both"/>
      </w:pPr>
      <w:r>
        <w:rPr>
          <w:rFonts w:ascii="Calibri" w:hAnsi="Calibri"/>
          <w:b/>
          <w:i w:val="0"/>
          <w:color w:val="0A3527"/>
          <w:sz w:val="18"/>
        </w:rPr>
        <w:t>Morning  ·  09:00 – 12:30</w:t>
      </w:r>
    </w:p>
    <w:tbl>
      <w:tblPr>
        <w:tblW w:type="auto" w:w="0"/>
        <w:jc w:val="center"/>
        <w:tblLayout w:type="fixed"/>
        <w:tblLook w:firstColumn="1" w:firstRow="1" w:lastColumn="0" w:lastRow="0" w:noHBand="0" w:noVBand="1" w:val="04A0"/>
      </w:tblPr>
      <w:tblGrid>
        <w:gridCol w:w="2437"/>
        <w:gridCol w:w="2437"/>
        <w:gridCol w:w="2437"/>
        <w:gridCol w:w="2437"/>
      </w:tblGrid>
      <w:tr>
        <w:tc>
          <w:tcPr>
            <w:tcW w:type="dxa" w:w="1224"/>
            <w:shd w:val="clear" w:fill="0B2545"/>
          </w:tcPr>
          <w:p>
            <w:pPr>
              <w:spacing w:before="40" w:after="40"/>
            </w:pPr>
            <w:r/>
            <w:r>
              <w:rPr>
                <w:rFonts w:ascii="Calibri" w:hAnsi="Calibri"/>
                <w:b/>
                <w:color w:val="FFFFFF"/>
                <w:sz w:val="17"/>
              </w:rPr>
              <w:t>Time</w:t>
            </w:r>
          </w:p>
        </w:tc>
        <w:tc>
          <w:tcPr>
            <w:tcW w:type="dxa" w:w="5760"/>
            <w:shd w:val="clear" w:fill="0B2545"/>
          </w:tcPr>
          <w:p>
            <w:pPr>
              <w:spacing w:before="40" w:after="40"/>
            </w:pPr>
            <w:r/>
            <w:r>
              <w:rPr>
                <w:rFonts w:ascii="Calibri" w:hAnsi="Calibri"/>
                <w:b/>
                <w:color w:val="FFFFFF"/>
                <w:sz w:val="17"/>
              </w:rPr>
              <w:t>Session</w:t>
            </w:r>
          </w:p>
        </w:tc>
        <w:tc>
          <w:tcPr>
            <w:tcW w:type="dxa" w:w="1512"/>
            <w:shd w:val="clear" w:fill="0B2545"/>
          </w:tcPr>
          <w:p>
            <w:pPr>
              <w:spacing w:before="40" w:after="40"/>
            </w:pPr>
            <w:r/>
            <w:r>
              <w:rPr>
                <w:rFonts w:ascii="Calibri" w:hAnsi="Calibri"/>
                <w:b/>
                <w:color w:val="FFFFFF"/>
                <w:sz w:val="17"/>
              </w:rPr>
              <w:t>Mode</w:t>
            </w:r>
          </w:p>
        </w:tc>
        <w:tc>
          <w:tcPr>
            <w:tcW w:type="dxa" w:w="1296"/>
            <w:shd w:val="clear" w:fill="0B2545"/>
          </w:tcPr>
          <w:p>
            <w:pPr>
              <w:spacing w:before="40" w:after="40"/>
            </w:pPr>
            <w:r/>
            <w:r>
              <w:rPr>
                <w:rFonts w:ascii="Calibri" w:hAnsi="Calibri"/>
                <w:b/>
                <w:color w:val="FFFFFF"/>
                <w:sz w:val="17"/>
              </w:rPr>
              <w:t>Action Plan</w:t>
            </w:r>
          </w:p>
        </w:tc>
      </w:tr>
      <w:tr>
        <w:tc>
          <w:tcPr>
            <w:tcW w:type="dxa" w:w="1224"/>
          </w:tcPr>
          <w:p>
            <w:pPr>
              <w:spacing w:before="40" w:after="40"/>
            </w:pPr>
            <w:r/>
            <w:r>
              <w:rPr>
                <w:rFonts w:ascii="Calibri" w:hAnsi="Calibri"/>
                <w:b w:val="0"/>
                <w:color w:val="33403A"/>
                <w:sz w:val="16"/>
              </w:rPr>
              <w:t>09:00–10:15</w:t>
            </w:r>
          </w:p>
        </w:tc>
        <w:tc>
          <w:tcPr>
            <w:tcW w:type="dxa" w:w="5760"/>
          </w:tcPr>
          <w:p>
            <w:pPr>
              <w:spacing w:before="40" w:after="40"/>
            </w:pPr>
            <w:r/>
            <w:r>
              <w:rPr>
                <w:rFonts w:ascii="Calibri" w:hAnsi="Calibri"/>
                <w:b w:val="0"/>
                <w:color w:val="33403A"/>
                <w:sz w:val="16"/>
              </w:rPr>
              <w:t>Assisting countries in publishing their work</w:t>
              <w:br/>
              <w:t>How a national team takes what it built this week to a durable public product — repository structure and README conventions, GitHub Pages, dataset and code licensing, DOI and citation, metadata, versioning and maintenance responsibility. Concludes with the offer of continued support from the Secretariat and the route for submitting national work to the STG17 catalogue of best practices.</w:t>
            </w:r>
          </w:p>
        </w:tc>
        <w:tc>
          <w:tcPr>
            <w:tcW w:type="dxa" w:w="1512"/>
          </w:tcPr>
          <w:p>
            <w:pPr>
              <w:spacing w:before="40" w:after="40"/>
            </w:pPr>
            <w:r/>
            <w:r>
              <w:rPr>
                <w:rFonts w:ascii="Calibri" w:hAnsi="Calibri"/>
                <w:b w:val="0"/>
                <w:color w:val="33403A"/>
                <w:sz w:val="16"/>
              </w:rPr>
              <w:t>Talk</w:t>
            </w:r>
          </w:p>
        </w:tc>
        <w:tc>
          <w:tcPr>
            <w:tcW w:type="dxa" w:w="1296"/>
          </w:tcPr>
          <w:p>
            <w:pPr>
              <w:spacing w:before="40" w:after="40"/>
            </w:pPr>
            <w:r/>
            <w:r>
              <w:rPr>
                <w:rFonts w:ascii="Calibri" w:hAnsi="Calibri"/>
                <w:b w:val="0"/>
                <w:color w:val="33403A"/>
                <w:sz w:val="16"/>
              </w:rPr>
              <w:t>2.1.1 / 4.2.1 / 3.2.1</w:t>
            </w:r>
          </w:p>
        </w:tc>
      </w:tr>
      <w:tr>
        <w:tc>
          <w:tcPr>
            <w:tcW w:type="dxa" w:w="1224"/>
            <w:shd w:val="clear" w:fill="F4F8F5"/>
          </w:tcPr>
          <w:p>
            <w:pPr>
              <w:spacing w:before="40" w:after="40"/>
            </w:pPr>
            <w:r/>
            <w:r>
              <w:rPr>
                <w:rFonts w:ascii="Calibri" w:hAnsi="Calibri"/>
                <w:b w:val="0"/>
                <w:color w:val="33403A"/>
                <w:sz w:val="16"/>
              </w:rPr>
              <w:t>10:30–12:00</w:t>
            </w:r>
          </w:p>
        </w:tc>
        <w:tc>
          <w:tcPr>
            <w:tcW w:type="dxa" w:w="5760"/>
            <w:shd w:val="clear" w:fill="F4F8F5"/>
          </w:tcPr>
          <w:p>
            <w:pPr>
              <w:spacing w:before="40" w:after="40"/>
            </w:pPr>
            <w:r/>
            <w:r>
              <w:rPr>
                <w:rFonts w:ascii="Calibri" w:hAnsi="Calibri"/>
                <w:b w:val="0"/>
                <w:color w:val="33403A"/>
                <w:sz w:val="16"/>
              </w:rPr>
              <w:t>Country presentations</w:t>
              <w:br/>
              <w:t>Each team presents the work produced during the week — dashboard, connectivity indicators, NTL analysis — with its GitHub repository and an honest statement of limitations. 8 minutes plus 2 for questions; teams are formed at country or sub-regional level so that the slot holds.</w:t>
            </w:r>
          </w:p>
        </w:tc>
        <w:tc>
          <w:tcPr>
            <w:tcW w:type="dxa" w:w="1512"/>
            <w:shd w:val="clear" w:fill="F4F8F5"/>
          </w:tcPr>
          <w:p>
            <w:pPr>
              <w:spacing w:before="40" w:after="40"/>
            </w:pPr>
            <w:r/>
            <w:r>
              <w:rPr>
                <w:rFonts w:ascii="Calibri" w:hAnsi="Calibri"/>
                <w:b w:val="0"/>
                <w:color w:val="33403A"/>
                <w:sz w:val="16"/>
              </w:rPr>
              <w:t>Plenary · countries</w:t>
            </w:r>
          </w:p>
        </w:tc>
        <w:tc>
          <w:tcPr>
            <w:tcW w:type="dxa" w:w="1296"/>
            <w:shd w:val="clear" w:fill="F4F8F5"/>
          </w:tcPr>
          <w:p>
            <w:pPr>
              <w:spacing w:before="40" w:after="40"/>
            </w:pPr>
            <w:r/>
            <w:r>
              <w:rPr>
                <w:rFonts w:ascii="Calibri" w:hAnsi="Calibri"/>
                <w:b w:val="0"/>
                <w:color w:val="33403A"/>
                <w:sz w:val="16"/>
              </w:rPr>
              <w:t>3.1.1 / 3.1.2</w:t>
            </w:r>
          </w:p>
        </w:tc>
      </w:tr>
      <w:tr>
        <w:tc>
          <w:tcPr>
            <w:tcW w:type="dxa" w:w="1224"/>
          </w:tcPr>
          <w:p>
            <w:pPr>
              <w:spacing w:before="40" w:after="40"/>
            </w:pPr>
            <w:r/>
            <w:r>
              <w:rPr>
                <w:rFonts w:ascii="Calibri" w:hAnsi="Calibri"/>
                <w:b w:val="0"/>
                <w:color w:val="33403A"/>
                <w:sz w:val="16"/>
              </w:rPr>
              <w:t>12:00–12:15</w:t>
            </w:r>
          </w:p>
        </w:tc>
        <w:tc>
          <w:tcPr>
            <w:tcW w:type="dxa" w:w="5760"/>
          </w:tcPr>
          <w:p>
            <w:pPr>
              <w:spacing w:before="40" w:after="40"/>
            </w:pPr>
            <w:r/>
            <w:r>
              <w:rPr>
                <w:rFonts w:ascii="Calibri" w:hAnsi="Calibri"/>
                <w:b w:val="0"/>
                <w:color w:val="33403A"/>
                <w:sz w:val="16"/>
              </w:rPr>
              <w:t>Key takeaways and way forward</w:t>
              <w:br/>
              <w:t>Consolidation of the wall board kept open all week, and agreement on the follow-up webinar topics.</w:t>
            </w:r>
          </w:p>
        </w:tc>
        <w:tc>
          <w:tcPr>
            <w:tcW w:type="dxa" w:w="1512"/>
          </w:tcPr>
          <w:p>
            <w:pPr>
              <w:spacing w:before="40" w:after="40"/>
            </w:pPr>
            <w:r/>
            <w:r>
              <w:rPr>
                <w:rFonts w:ascii="Calibri" w:hAnsi="Calibri"/>
                <w:b w:val="0"/>
                <w:color w:val="33403A"/>
                <w:sz w:val="16"/>
              </w:rPr>
              <w:t>Plenary · countries</w:t>
            </w:r>
          </w:p>
        </w:tc>
        <w:tc>
          <w:tcPr>
            <w:tcW w:type="dxa" w:w="1296"/>
          </w:tcPr>
          <w:p>
            <w:pPr>
              <w:spacing w:before="40" w:after="40"/>
            </w:pPr>
            <w:r/>
            <w:r>
              <w:rPr>
                <w:rFonts w:ascii="Calibri" w:hAnsi="Calibri"/>
                <w:b w:val="0"/>
                <w:color w:val="33403A"/>
                <w:sz w:val="16"/>
              </w:rPr>
              <w:t>1.3.1 / 2.1.1 / 3.1.1 / 4.1.1</w:t>
            </w:r>
          </w:p>
        </w:tc>
      </w:tr>
      <w:tr>
        <w:tc>
          <w:tcPr>
            <w:tcW w:type="dxa" w:w="1224"/>
            <w:shd w:val="clear" w:fill="F4F8F5"/>
          </w:tcPr>
          <w:p>
            <w:pPr>
              <w:spacing w:before="40" w:after="40"/>
            </w:pPr>
            <w:r/>
            <w:r>
              <w:rPr>
                <w:rFonts w:ascii="Calibri" w:hAnsi="Calibri"/>
                <w:b w:val="0"/>
                <w:color w:val="33403A"/>
                <w:sz w:val="16"/>
              </w:rPr>
              <w:t>12:15–12:30</w:t>
            </w:r>
          </w:p>
        </w:tc>
        <w:tc>
          <w:tcPr>
            <w:tcW w:type="dxa" w:w="5760"/>
            <w:shd w:val="clear" w:fill="F4F8F5"/>
          </w:tcPr>
          <w:p>
            <w:pPr>
              <w:spacing w:before="40" w:after="40"/>
            </w:pPr>
            <w:r/>
            <w:r>
              <w:rPr>
                <w:rFonts w:ascii="Calibri" w:hAnsi="Calibri"/>
                <w:b w:val="0"/>
                <w:color w:val="33403A"/>
                <w:sz w:val="16"/>
              </w:rPr>
              <w:t>Closing ceremony</w:t>
              <w:br/>
              <w:t>Closing remarks by the African Development Bank and AU STATAFRIC. Certificates and next steps under the STG17 Action Plan.</w:t>
            </w:r>
          </w:p>
        </w:tc>
        <w:tc>
          <w:tcPr>
            <w:tcW w:type="dxa" w:w="1512"/>
            <w:shd w:val="clear" w:fill="F4F8F5"/>
          </w:tcPr>
          <w:p>
            <w:pPr>
              <w:spacing w:before="40" w:after="40"/>
            </w:pPr>
            <w:r/>
            <w:r>
              <w:rPr>
                <w:rFonts w:ascii="Calibri" w:hAnsi="Calibri"/>
                <w:b w:val="0"/>
                <w:color w:val="33403A"/>
                <w:sz w:val="16"/>
              </w:rPr>
              <w:t>Ceremony</w:t>
            </w:r>
          </w:p>
        </w:tc>
        <w:tc>
          <w:tcPr>
            <w:tcW w:type="dxa" w:w="1296"/>
            <w:shd w:val="clear" w:fill="F4F8F5"/>
          </w:tcPr>
          <w:p>
            <w:pPr>
              <w:spacing w:before="40" w:after="40"/>
            </w:pPr>
            <w:r/>
            <w:r>
              <w:rPr>
                <w:rFonts w:ascii="Calibri" w:hAnsi="Calibri"/>
                <w:b w:val="0"/>
                <w:color w:val="33403A"/>
                <w:sz w:val="16"/>
              </w:rPr>
              <w:t>4.2</w:t>
            </w:r>
          </w:p>
        </w:tc>
      </w:tr>
    </w:tbl>
    <w:p>
      <w:pPr>
        <w:spacing w:after="40"/>
      </w:pPr>
    </w:p>
    <w:p>
      <w:pPr>
        <w:pStyle w:val="Heading1"/>
        <w:spacing w:before="280" w:after="120"/>
      </w:pPr>
      <w:r>
        <w:rPr>
          <w:rFonts w:ascii="Cambria" w:hAnsi="Cambria"/>
          <w:b/>
          <w:color w:val="C08A1E"/>
          <w:sz w:val="26"/>
        </w:rPr>
        <w:t>5  Topic ↔ Action Plan mapping</w:t>
      </w:r>
    </w:p>
    <w:tbl>
      <w:tblPr>
        <w:tblW w:type="auto" w:w="0"/>
        <w:jc w:val="center"/>
        <w:tblLayout w:type="fixed"/>
        <w:tblLook w:firstColumn="1" w:firstRow="1" w:lastColumn="0" w:lastRow="0" w:noHBand="0" w:noVBand="1" w:val="04A0"/>
      </w:tblPr>
      <w:tblGrid>
        <w:gridCol w:w="3250"/>
        <w:gridCol w:w="3250"/>
        <w:gridCol w:w="3250"/>
      </w:tblGrid>
      <w:tr>
        <w:tc>
          <w:tcPr>
            <w:tcW w:type="dxa" w:w="5184"/>
            <w:shd w:val="clear" w:fill="0B2545"/>
          </w:tcPr>
          <w:p>
            <w:pPr>
              <w:spacing w:before="40" w:after="40"/>
            </w:pPr>
            <w:r/>
            <w:r>
              <w:rPr>
                <w:rFonts w:ascii="Calibri" w:hAnsi="Calibri"/>
                <w:b/>
                <w:color w:val="FFFFFF"/>
                <w:sz w:val="17"/>
              </w:rPr>
              <w:t>Workshop topic</w:t>
            </w:r>
          </w:p>
        </w:tc>
        <w:tc>
          <w:tcPr>
            <w:tcW w:type="dxa" w:w="1080"/>
            <w:shd w:val="clear" w:fill="0B2545"/>
          </w:tcPr>
          <w:p>
            <w:pPr>
              <w:spacing w:before="40" w:after="40"/>
            </w:pPr>
            <w:r/>
            <w:r>
              <w:rPr>
                <w:rFonts w:ascii="Calibri" w:hAnsi="Calibri"/>
                <w:b/>
                <w:color w:val="FFFFFF"/>
                <w:sz w:val="17"/>
              </w:rPr>
              <w:t>Day</w:t>
            </w:r>
          </w:p>
        </w:tc>
        <w:tc>
          <w:tcPr>
            <w:tcW w:type="dxa" w:w="3528"/>
            <w:shd w:val="clear" w:fill="0B2545"/>
          </w:tcPr>
          <w:p>
            <w:pPr>
              <w:spacing w:before="40" w:after="40"/>
            </w:pPr>
            <w:r/>
            <w:r>
              <w:rPr>
                <w:rFonts w:ascii="Calibri" w:hAnsi="Calibri"/>
                <w:b/>
                <w:color w:val="FFFFFF"/>
                <w:sz w:val="17"/>
              </w:rPr>
              <w:t>Primary STG17 activities served</w:t>
            </w:r>
          </w:p>
        </w:tc>
      </w:tr>
      <w:tr>
        <w:tc>
          <w:tcPr>
            <w:tcW w:type="dxa" w:w="5184"/>
          </w:tcPr>
          <w:p>
            <w:pPr>
              <w:spacing w:before="40" w:after="40"/>
            </w:pPr>
            <w:r/>
            <w:r>
              <w:rPr>
                <w:rFonts w:ascii="Calibri" w:hAnsi="Calibri"/>
                <w:b w:val="0"/>
                <w:color w:val="33403A"/>
                <w:sz w:val="16"/>
              </w:rPr>
              <w:t>The AI Family Tree: How the Concepts Fit Together</w:t>
            </w:r>
          </w:p>
        </w:tc>
        <w:tc>
          <w:tcPr>
            <w:tcW w:type="dxa" w:w="1080"/>
          </w:tcPr>
          <w:p>
            <w:pPr>
              <w:spacing w:before="40" w:after="40"/>
            </w:pPr>
            <w:r/>
            <w:r>
              <w:rPr>
                <w:rFonts w:ascii="Calibri" w:hAnsi="Calibri"/>
                <w:b w:val="0"/>
                <w:color w:val="33403A"/>
                <w:sz w:val="16"/>
              </w:rPr>
              <w:t>D1 AM</w:t>
            </w:r>
          </w:p>
        </w:tc>
        <w:tc>
          <w:tcPr>
            <w:tcW w:type="dxa" w:w="3528"/>
          </w:tcPr>
          <w:p>
            <w:pPr>
              <w:spacing w:before="40" w:after="40"/>
            </w:pPr>
            <w:r/>
            <w:r>
              <w:rPr>
                <w:rFonts w:ascii="Calibri" w:hAnsi="Calibri"/>
                <w:b w:val="0"/>
                <w:color w:val="33403A"/>
                <w:sz w:val="16"/>
              </w:rPr>
              <w:t>3.3.2 · 4.1.1</w:t>
            </w:r>
          </w:p>
        </w:tc>
      </w:tr>
      <w:tr>
        <w:tc>
          <w:tcPr>
            <w:tcW w:type="dxa" w:w="5184"/>
            <w:shd w:val="clear" w:fill="F4F8F5"/>
          </w:tcPr>
          <w:p>
            <w:pPr>
              <w:spacing w:before="40" w:after="40"/>
            </w:pPr>
            <w:r/>
            <w:r>
              <w:rPr>
                <w:rFonts w:ascii="Calibri" w:hAnsi="Calibri"/>
                <w:b w:val="0"/>
                <w:color w:val="33403A"/>
                <w:sz w:val="16"/>
              </w:rPr>
              <w:t>Country experiences in AI and the use of non-traditional big data</w:t>
            </w:r>
          </w:p>
        </w:tc>
        <w:tc>
          <w:tcPr>
            <w:tcW w:type="dxa" w:w="1080"/>
            <w:shd w:val="clear" w:fill="F4F8F5"/>
          </w:tcPr>
          <w:p>
            <w:pPr>
              <w:spacing w:before="40" w:after="40"/>
            </w:pPr>
            <w:r/>
            <w:r>
              <w:rPr>
                <w:rFonts w:ascii="Calibri" w:hAnsi="Calibri"/>
                <w:b w:val="0"/>
                <w:color w:val="33403A"/>
                <w:sz w:val="16"/>
              </w:rPr>
              <w:t>D1 AM</w:t>
            </w:r>
          </w:p>
        </w:tc>
        <w:tc>
          <w:tcPr>
            <w:tcW w:type="dxa" w:w="3528"/>
            <w:shd w:val="clear" w:fill="F4F8F5"/>
          </w:tcPr>
          <w:p>
            <w:pPr>
              <w:spacing w:before="40" w:after="40"/>
            </w:pPr>
            <w:r/>
            <w:r>
              <w:rPr>
                <w:rFonts w:ascii="Calibri" w:hAnsi="Calibri"/>
                <w:b w:val="0"/>
                <w:color w:val="33403A"/>
                <w:sz w:val="16"/>
              </w:rPr>
              <w:t>3.3.2 · 3.1.2 · 2.1.1</w:t>
            </w:r>
          </w:p>
        </w:tc>
      </w:tr>
      <w:tr>
        <w:tc>
          <w:tcPr>
            <w:tcW w:type="dxa" w:w="5184"/>
          </w:tcPr>
          <w:p>
            <w:pPr>
              <w:spacing w:before="40" w:after="40"/>
            </w:pPr>
            <w:r/>
            <w:r>
              <w:rPr>
                <w:rFonts w:ascii="Calibri" w:hAnsi="Calibri"/>
                <w:b w:val="0"/>
                <w:color w:val="33403A"/>
                <w:sz w:val="16"/>
              </w:rPr>
              <w:t>Synthesis: where the continent stands</w:t>
            </w:r>
          </w:p>
        </w:tc>
        <w:tc>
          <w:tcPr>
            <w:tcW w:type="dxa" w:w="1080"/>
          </w:tcPr>
          <w:p>
            <w:pPr>
              <w:spacing w:before="40" w:after="40"/>
            </w:pPr>
            <w:r/>
            <w:r>
              <w:rPr>
                <w:rFonts w:ascii="Calibri" w:hAnsi="Calibri"/>
                <w:b w:val="0"/>
                <w:color w:val="33403A"/>
                <w:sz w:val="16"/>
              </w:rPr>
              <w:t>D1 AM</w:t>
            </w:r>
          </w:p>
        </w:tc>
        <w:tc>
          <w:tcPr>
            <w:tcW w:type="dxa" w:w="3528"/>
          </w:tcPr>
          <w:p>
            <w:pPr>
              <w:spacing w:before="40" w:after="40"/>
            </w:pPr>
            <w:r/>
            <w:r>
              <w:rPr>
                <w:rFonts w:ascii="Calibri" w:hAnsi="Calibri"/>
                <w:b w:val="0"/>
                <w:color w:val="33403A"/>
                <w:sz w:val="16"/>
              </w:rPr>
              <w:t>3.1.2 · 4.1.1</w:t>
            </w:r>
          </w:p>
        </w:tc>
      </w:tr>
      <w:tr>
        <w:tc>
          <w:tcPr>
            <w:tcW w:type="dxa" w:w="5184"/>
            <w:shd w:val="clear" w:fill="F4F8F5"/>
          </w:tcPr>
          <w:p>
            <w:pPr>
              <w:spacing w:before="40" w:after="40"/>
            </w:pPr>
            <w:r/>
            <w:r>
              <w:rPr>
                <w:rFonts w:ascii="Calibri" w:hAnsi="Calibri"/>
                <w:b w:val="0"/>
                <w:color w:val="33403A"/>
                <w:sz w:val="16"/>
              </w:rPr>
              <w:t>AI Infrastructure: What It Really Takes to Run AI in a Statistical Office</w:t>
            </w:r>
          </w:p>
        </w:tc>
        <w:tc>
          <w:tcPr>
            <w:tcW w:type="dxa" w:w="1080"/>
            <w:shd w:val="clear" w:fill="F4F8F5"/>
          </w:tcPr>
          <w:p>
            <w:pPr>
              <w:spacing w:before="40" w:after="40"/>
            </w:pPr>
            <w:r/>
            <w:r>
              <w:rPr>
                <w:rFonts w:ascii="Calibri" w:hAnsi="Calibri"/>
                <w:b w:val="0"/>
                <w:color w:val="33403A"/>
                <w:sz w:val="16"/>
              </w:rPr>
              <w:t>D1 PM</w:t>
            </w:r>
          </w:p>
        </w:tc>
        <w:tc>
          <w:tcPr>
            <w:tcW w:type="dxa" w:w="3528"/>
            <w:shd w:val="clear" w:fill="F4F8F5"/>
          </w:tcPr>
          <w:p>
            <w:pPr>
              <w:spacing w:before="40" w:after="40"/>
            </w:pPr>
            <w:r/>
            <w:r>
              <w:rPr>
                <w:rFonts w:ascii="Calibri" w:hAnsi="Calibri"/>
                <w:b w:val="0"/>
                <w:color w:val="33403A"/>
                <w:sz w:val="16"/>
              </w:rPr>
              <w:t>4.2.3 · 3.3.2</w:t>
            </w:r>
          </w:p>
        </w:tc>
      </w:tr>
      <w:tr>
        <w:tc>
          <w:tcPr>
            <w:tcW w:type="dxa" w:w="5184"/>
          </w:tcPr>
          <w:p>
            <w:pPr>
              <w:spacing w:before="40" w:after="40"/>
            </w:pPr>
            <w:r/>
            <w:r>
              <w:rPr>
                <w:rFonts w:ascii="Calibri" w:hAnsi="Calibri"/>
                <w:b w:val="0"/>
                <w:color w:val="33403A"/>
                <w:sz w:val="16"/>
              </w:rPr>
              <w:t>Hands-on part 1 — Retrieval-Augmented Generation</w:t>
            </w:r>
          </w:p>
        </w:tc>
        <w:tc>
          <w:tcPr>
            <w:tcW w:type="dxa" w:w="1080"/>
          </w:tcPr>
          <w:p>
            <w:pPr>
              <w:spacing w:before="40" w:after="40"/>
            </w:pPr>
            <w:r/>
            <w:r>
              <w:rPr>
                <w:rFonts w:ascii="Calibri" w:hAnsi="Calibri"/>
                <w:b w:val="0"/>
                <w:color w:val="33403A"/>
                <w:sz w:val="16"/>
              </w:rPr>
              <w:t>D1 PM</w:t>
            </w:r>
          </w:p>
        </w:tc>
        <w:tc>
          <w:tcPr>
            <w:tcW w:type="dxa" w:w="3528"/>
          </w:tcPr>
          <w:p>
            <w:pPr>
              <w:spacing w:before="40" w:after="40"/>
            </w:pPr>
            <w:r/>
            <w:r>
              <w:rPr>
                <w:rFonts w:ascii="Calibri" w:hAnsi="Calibri"/>
                <w:b w:val="0"/>
                <w:color w:val="33403A"/>
                <w:sz w:val="16"/>
              </w:rPr>
              <w:t>4.2.1 · 2.1.1</w:t>
            </w:r>
          </w:p>
        </w:tc>
      </w:tr>
      <w:tr>
        <w:tc>
          <w:tcPr>
            <w:tcW w:type="dxa" w:w="5184"/>
            <w:shd w:val="clear" w:fill="F4F8F5"/>
          </w:tcPr>
          <w:p>
            <w:pPr>
              <w:spacing w:before="40" w:after="40"/>
            </w:pPr>
            <w:r/>
            <w:r>
              <w:rPr>
                <w:rFonts w:ascii="Calibri" w:hAnsi="Calibri"/>
                <w:b w:val="0"/>
                <w:color w:val="33403A"/>
                <w:sz w:val="16"/>
              </w:rPr>
              <w:t>Hands-on part 2 — From RAG to Agent</w:t>
            </w:r>
          </w:p>
        </w:tc>
        <w:tc>
          <w:tcPr>
            <w:tcW w:type="dxa" w:w="1080"/>
            <w:shd w:val="clear" w:fill="F4F8F5"/>
          </w:tcPr>
          <w:p>
            <w:pPr>
              <w:spacing w:before="40" w:after="40"/>
            </w:pPr>
            <w:r/>
            <w:r>
              <w:rPr>
                <w:rFonts w:ascii="Calibri" w:hAnsi="Calibri"/>
                <w:b w:val="0"/>
                <w:color w:val="33403A"/>
                <w:sz w:val="16"/>
              </w:rPr>
              <w:t>D1 PM</w:t>
            </w:r>
          </w:p>
        </w:tc>
        <w:tc>
          <w:tcPr>
            <w:tcW w:type="dxa" w:w="3528"/>
            <w:shd w:val="clear" w:fill="F4F8F5"/>
          </w:tcPr>
          <w:p>
            <w:pPr>
              <w:spacing w:before="40" w:after="40"/>
            </w:pPr>
            <w:r/>
            <w:r>
              <w:rPr>
                <w:rFonts w:ascii="Calibri" w:hAnsi="Calibri"/>
                <w:b w:val="0"/>
                <w:color w:val="33403A"/>
                <w:sz w:val="16"/>
              </w:rPr>
              <w:t>4.2.1 · 4.2.3</w:t>
            </w:r>
          </w:p>
        </w:tc>
      </w:tr>
      <w:tr>
        <w:tc>
          <w:tcPr>
            <w:tcW w:type="dxa" w:w="5184"/>
          </w:tcPr>
          <w:p>
            <w:pPr>
              <w:spacing w:before="40" w:after="40"/>
            </w:pPr>
            <w:r/>
            <w:r>
              <w:rPr>
                <w:rFonts w:ascii="Calibri" w:hAnsi="Calibri"/>
                <w:b w:val="0"/>
                <w:color w:val="33403A"/>
                <w:sz w:val="16"/>
              </w:rPr>
              <w:t>Talking to Machines: The Craft of Prompt Engineering</w:t>
            </w:r>
          </w:p>
        </w:tc>
        <w:tc>
          <w:tcPr>
            <w:tcW w:type="dxa" w:w="1080"/>
          </w:tcPr>
          <w:p>
            <w:pPr>
              <w:spacing w:before="40" w:after="40"/>
            </w:pPr>
            <w:r/>
            <w:r>
              <w:rPr>
                <w:rFonts w:ascii="Calibri" w:hAnsi="Calibri"/>
                <w:b w:val="0"/>
                <w:color w:val="33403A"/>
                <w:sz w:val="16"/>
              </w:rPr>
              <w:t>D2 AM</w:t>
            </w:r>
          </w:p>
        </w:tc>
        <w:tc>
          <w:tcPr>
            <w:tcW w:type="dxa" w:w="3528"/>
          </w:tcPr>
          <w:p>
            <w:pPr>
              <w:spacing w:before="40" w:after="40"/>
            </w:pPr>
            <w:r/>
            <w:r>
              <w:rPr>
                <w:rFonts w:ascii="Calibri" w:hAnsi="Calibri"/>
                <w:b w:val="0"/>
                <w:color w:val="33403A"/>
                <w:sz w:val="16"/>
              </w:rPr>
              <w:t>4.2.1</w:t>
            </w:r>
          </w:p>
        </w:tc>
      </w:tr>
      <w:tr>
        <w:tc>
          <w:tcPr>
            <w:tcW w:type="dxa" w:w="5184"/>
            <w:shd w:val="clear" w:fill="F4F8F5"/>
          </w:tcPr>
          <w:p>
            <w:pPr>
              <w:spacing w:before="40" w:after="40"/>
            </w:pPr>
            <w:r/>
            <w:r>
              <w:rPr>
                <w:rFonts w:ascii="Calibri" w:hAnsi="Calibri"/>
                <w:b w:val="0"/>
                <w:color w:val="33403A"/>
                <w:sz w:val="16"/>
              </w:rPr>
              <w:t>Hands-on — From Statistical Document to Public Dashboard</w:t>
            </w:r>
          </w:p>
        </w:tc>
        <w:tc>
          <w:tcPr>
            <w:tcW w:type="dxa" w:w="1080"/>
            <w:shd w:val="clear" w:fill="F4F8F5"/>
          </w:tcPr>
          <w:p>
            <w:pPr>
              <w:spacing w:before="40" w:after="40"/>
            </w:pPr>
            <w:r/>
            <w:r>
              <w:rPr>
                <w:rFonts w:ascii="Calibri" w:hAnsi="Calibri"/>
                <w:b w:val="0"/>
                <w:color w:val="33403A"/>
                <w:sz w:val="16"/>
              </w:rPr>
              <w:t>D2 AM</w:t>
            </w:r>
          </w:p>
        </w:tc>
        <w:tc>
          <w:tcPr>
            <w:tcW w:type="dxa" w:w="3528"/>
            <w:shd w:val="clear" w:fill="F4F8F5"/>
          </w:tcPr>
          <w:p>
            <w:pPr>
              <w:spacing w:before="40" w:after="40"/>
            </w:pPr>
            <w:r/>
            <w:r>
              <w:rPr>
                <w:rFonts w:ascii="Calibri" w:hAnsi="Calibri"/>
                <w:b w:val="0"/>
                <w:color w:val="33403A"/>
                <w:sz w:val="16"/>
              </w:rPr>
              <w:t>4.2.1 · 2.1.1</w:t>
            </w:r>
          </w:p>
        </w:tc>
      </w:tr>
      <w:tr>
        <w:tc>
          <w:tcPr>
            <w:tcW w:type="dxa" w:w="5184"/>
          </w:tcPr>
          <w:p>
            <w:pPr>
              <w:spacing w:before="40" w:after="40"/>
            </w:pPr>
            <w:r/>
            <w:r>
              <w:rPr>
                <w:rFonts w:ascii="Calibri" w:hAnsi="Calibri"/>
                <w:b w:val="0"/>
                <w:color w:val="33403A"/>
                <w:sz w:val="16"/>
              </w:rPr>
              <w:t>From Good to Great: Prompt Optimisation</w:t>
            </w:r>
          </w:p>
        </w:tc>
        <w:tc>
          <w:tcPr>
            <w:tcW w:type="dxa" w:w="1080"/>
          </w:tcPr>
          <w:p>
            <w:pPr>
              <w:spacing w:before="40" w:after="40"/>
            </w:pPr>
            <w:r/>
            <w:r>
              <w:rPr>
                <w:rFonts w:ascii="Calibri" w:hAnsi="Calibri"/>
                <w:b w:val="0"/>
                <w:color w:val="33403A"/>
                <w:sz w:val="16"/>
              </w:rPr>
              <w:t>D2 PM</w:t>
            </w:r>
          </w:p>
        </w:tc>
        <w:tc>
          <w:tcPr>
            <w:tcW w:type="dxa" w:w="3528"/>
          </w:tcPr>
          <w:p>
            <w:pPr>
              <w:spacing w:before="40" w:after="40"/>
            </w:pPr>
            <w:r/>
            <w:r>
              <w:rPr>
                <w:rFonts w:ascii="Calibri" w:hAnsi="Calibri"/>
                <w:b w:val="0"/>
                <w:color w:val="33403A"/>
                <w:sz w:val="16"/>
              </w:rPr>
              <w:t>4.2.1 · 4.2.3</w:t>
            </w:r>
          </w:p>
        </w:tc>
      </w:tr>
      <w:tr>
        <w:tc>
          <w:tcPr>
            <w:tcW w:type="dxa" w:w="5184"/>
            <w:shd w:val="clear" w:fill="F4F8F5"/>
          </w:tcPr>
          <w:p>
            <w:pPr>
              <w:spacing w:before="40" w:after="40"/>
            </w:pPr>
            <w:r/>
            <w:r>
              <w:rPr>
                <w:rFonts w:ascii="Calibri" w:hAnsi="Calibri"/>
                <w:b w:val="0"/>
                <w:color w:val="33403A"/>
                <w:sz w:val="16"/>
              </w:rPr>
              <w:t>Choosing your engine: speed, cost and sovereignty — working with Groq</w:t>
            </w:r>
          </w:p>
        </w:tc>
        <w:tc>
          <w:tcPr>
            <w:tcW w:type="dxa" w:w="1080"/>
            <w:shd w:val="clear" w:fill="F4F8F5"/>
          </w:tcPr>
          <w:p>
            <w:pPr>
              <w:spacing w:before="40" w:after="40"/>
            </w:pPr>
            <w:r/>
            <w:r>
              <w:rPr>
                <w:rFonts w:ascii="Calibri" w:hAnsi="Calibri"/>
                <w:b w:val="0"/>
                <w:color w:val="33403A"/>
                <w:sz w:val="16"/>
              </w:rPr>
              <w:t>D2 PM</w:t>
            </w:r>
          </w:p>
        </w:tc>
        <w:tc>
          <w:tcPr>
            <w:tcW w:type="dxa" w:w="3528"/>
            <w:shd w:val="clear" w:fill="F4F8F5"/>
          </w:tcPr>
          <w:p>
            <w:pPr>
              <w:spacing w:before="40" w:after="40"/>
            </w:pPr>
            <w:r/>
            <w:r>
              <w:rPr>
                <w:rFonts w:ascii="Calibri" w:hAnsi="Calibri"/>
                <w:b w:val="0"/>
                <w:color w:val="33403A"/>
                <w:sz w:val="16"/>
              </w:rPr>
              <w:t>4.2.3</w:t>
            </w:r>
          </w:p>
        </w:tc>
      </w:tr>
      <w:tr>
        <w:tc>
          <w:tcPr>
            <w:tcW w:type="dxa" w:w="5184"/>
          </w:tcPr>
          <w:p>
            <w:pPr>
              <w:spacing w:before="40" w:after="40"/>
            </w:pPr>
            <w:r/>
            <w:r>
              <w:rPr>
                <w:rFonts w:ascii="Calibri" w:hAnsi="Calibri"/>
                <w:b w:val="0"/>
                <w:color w:val="33403A"/>
                <w:sz w:val="16"/>
              </w:rPr>
              <w:t>Hands-on — One Model, Many Jobs: an LLM Toolkit for Statisticians</w:t>
            </w:r>
          </w:p>
        </w:tc>
        <w:tc>
          <w:tcPr>
            <w:tcW w:type="dxa" w:w="1080"/>
          </w:tcPr>
          <w:p>
            <w:pPr>
              <w:spacing w:before="40" w:after="40"/>
            </w:pPr>
            <w:r/>
            <w:r>
              <w:rPr>
                <w:rFonts w:ascii="Calibri" w:hAnsi="Calibri"/>
                <w:b w:val="0"/>
                <w:color w:val="33403A"/>
                <w:sz w:val="16"/>
              </w:rPr>
              <w:t>D2 PM</w:t>
            </w:r>
          </w:p>
        </w:tc>
        <w:tc>
          <w:tcPr>
            <w:tcW w:type="dxa" w:w="3528"/>
          </w:tcPr>
          <w:p>
            <w:pPr>
              <w:spacing w:before="40" w:after="40"/>
            </w:pPr>
            <w:r/>
            <w:r>
              <w:rPr>
                <w:rFonts w:ascii="Calibri" w:hAnsi="Calibri"/>
                <w:b w:val="0"/>
                <w:color w:val="33403A"/>
                <w:sz w:val="16"/>
              </w:rPr>
              <w:t>4.2.1</w:t>
            </w:r>
          </w:p>
        </w:tc>
      </w:tr>
      <w:tr>
        <w:tc>
          <w:tcPr>
            <w:tcW w:type="dxa" w:w="5184"/>
            <w:shd w:val="clear" w:fill="F4F8F5"/>
          </w:tcPr>
          <w:p>
            <w:pPr>
              <w:spacing w:before="40" w:after="40"/>
            </w:pPr>
            <w:r/>
            <w:r>
              <w:rPr>
                <w:rFonts w:ascii="Calibri" w:hAnsi="Calibri"/>
                <w:b w:val="0"/>
                <w:color w:val="33403A"/>
                <w:sz w:val="16"/>
              </w:rPr>
              <w:t>Non-Traditional Data Sources: The Hidden Treasure</w:t>
            </w:r>
          </w:p>
        </w:tc>
        <w:tc>
          <w:tcPr>
            <w:tcW w:type="dxa" w:w="1080"/>
            <w:shd w:val="clear" w:fill="F4F8F5"/>
          </w:tcPr>
          <w:p>
            <w:pPr>
              <w:spacing w:before="40" w:after="40"/>
            </w:pPr>
            <w:r/>
            <w:r>
              <w:rPr>
                <w:rFonts w:ascii="Calibri" w:hAnsi="Calibri"/>
                <w:b w:val="0"/>
                <w:color w:val="33403A"/>
                <w:sz w:val="16"/>
              </w:rPr>
              <w:t>D3 AM</w:t>
            </w:r>
          </w:p>
        </w:tc>
        <w:tc>
          <w:tcPr>
            <w:tcW w:type="dxa" w:w="3528"/>
            <w:shd w:val="clear" w:fill="F4F8F5"/>
          </w:tcPr>
          <w:p>
            <w:pPr>
              <w:spacing w:before="40" w:after="40"/>
            </w:pPr>
            <w:r/>
            <w:r>
              <w:rPr>
                <w:rFonts w:ascii="Calibri" w:hAnsi="Calibri"/>
                <w:b w:val="0"/>
                <w:color w:val="33403A"/>
                <w:sz w:val="16"/>
              </w:rPr>
              <w:t>2.1.1 · 3.1 · 4.3</w:t>
            </w:r>
          </w:p>
        </w:tc>
      </w:tr>
      <w:tr>
        <w:tc>
          <w:tcPr>
            <w:tcW w:type="dxa" w:w="5184"/>
          </w:tcPr>
          <w:p>
            <w:pPr>
              <w:spacing w:before="40" w:after="40"/>
            </w:pPr>
            <w:r/>
            <w:r>
              <w:rPr>
                <w:rFonts w:ascii="Calibri" w:hAnsi="Calibri"/>
                <w:b w:val="0"/>
                <w:color w:val="33403A"/>
                <w:sz w:val="16"/>
              </w:rPr>
              <w:t>Hands-on — Ookla Speedtest Open Data and WorldPop</w:t>
            </w:r>
          </w:p>
        </w:tc>
        <w:tc>
          <w:tcPr>
            <w:tcW w:type="dxa" w:w="1080"/>
          </w:tcPr>
          <w:p>
            <w:pPr>
              <w:spacing w:before="40" w:after="40"/>
            </w:pPr>
            <w:r/>
            <w:r>
              <w:rPr>
                <w:rFonts w:ascii="Calibri" w:hAnsi="Calibri"/>
                <w:b w:val="0"/>
                <w:color w:val="33403A"/>
                <w:sz w:val="16"/>
              </w:rPr>
              <w:t>D3 AM</w:t>
            </w:r>
          </w:p>
        </w:tc>
        <w:tc>
          <w:tcPr>
            <w:tcW w:type="dxa" w:w="3528"/>
          </w:tcPr>
          <w:p>
            <w:pPr>
              <w:spacing w:before="40" w:after="40"/>
            </w:pPr>
            <w:r/>
            <w:r>
              <w:rPr>
                <w:rFonts w:ascii="Calibri" w:hAnsi="Calibri"/>
                <w:b w:val="0"/>
                <w:color w:val="33403A"/>
                <w:sz w:val="16"/>
              </w:rPr>
              <w:t>2.1.1 · 3.1</w:t>
            </w:r>
          </w:p>
        </w:tc>
      </w:tr>
      <w:tr>
        <w:tc>
          <w:tcPr>
            <w:tcW w:type="dxa" w:w="5184"/>
            <w:shd w:val="clear" w:fill="F4F8F5"/>
          </w:tcPr>
          <w:p>
            <w:pPr>
              <w:spacing w:before="40" w:after="40"/>
            </w:pPr>
            <w:r/>
            <w:r>
              <w:rPr>
                <w:rFonts w:ascii="Calibri" w:hAnsi="Calibri"/>
                <w:b w:val="0"/>
                <w:color w:val="33403A"/>
                <w:sz w:val="16"/>
              </w:rPr>
              <w:t>Engines of Scale: Big Data Technologies for Statistical Systems</w:t>
            </w:r>
          </w:p>
        </w:tc>
        <w:tc>
          <w:tcPr>
            <w:tcW w:type="dxa" w:w="1080"/>
            <w:shd w:val="clear" w:fill="F4F8F5"/>
          </w:tcPr>
          <w:p>
            <w:pPr>
              <w:spacing w:before="40" w:after="40"/>
            </w:pPr>
            <w:r/>
            <w:r>
              <w:rPr>
                <w:rFonts w:ascii="Calibri" w:hAnsi="Calibri"/>
                <w:b w:val="0"/>
                <w:color w:val="33403A"/>
                <w:sz w:val="16"/>
              </w:rPr>
              <w:t>D3 PM</w:t>
            </w:r>
          </w:p>
        </w:tc>
        <w:tc>
          <w:tcPr>
            <w:tcW w:type="dxa" w:w="3528"/>
            <w:shd w:val="clear" w:fill="F4F8F5"/>
          </w:tcPr>
          <w:p>
            <w:pPr>
              <w:spacing w:before="40" w:after="40"/>
            </w:pPr>
            <w:r/>
            <w:r>
              <w:rPr>
                <w:rFonts w:ascii="Calibri" w:hAnsi="Calibri"/>
                <w:b w:val="0"/>
                <w:color w:val="33403A"/>
                <w:sz w:val="16"/>
              </w:rPr>
              <w:t>4.2.3 · 4.2.2</w:t>
            </w:r>
          </w:p>
        </w:tc>
      </w:tr>
      <w:tr>
        <w:tc>
          <w:tcPr>
            <w:tcW w:type="dxa" w:w="5184"/>
          </w:tcPr>
          <w:p>
            <w:pPr>
              <w:spacing w:before="40" w:after="40"/>
            </w:pPr>
            <w:r/>
            <w:r>
              <w:rPr>
                <w:rFonts w:ascii="Calibri" w:hAnsi="Calibri"/>
                <w:b w:val="0"/>
                <w:color w:val="33403A"/>
                <w:sz w:val="16"/>
              </w:rPr>
              <w:t>Hands-on part 1 — Ookla at Scale with Elasticsearch</w:t>
            </w:r>
          </w:p>
        </w:tc>
        <w:tc>
          <w:tcPr>
            <w:tcW w:type="dxa" w:w="1080"/>
          </w:tcPr>
          <w:p>
            <w:pPr>
              <w:spacing w:before="40" w:after="40"/>
            </w:pPr>
            <w:r/>
            <w:r>
              <w:rPr>
                <w:rFonts w:ascii="Calibri" w:hAnsi="Calibri"/>
                <w:b w:val="0"/>
                <w:color w:val="33403A"/>
                <w:sz w:val="16"/>
              </w:rPr>
              <w:t>D3 PM</w:t>
            </w:r>
          </w:p>
        </w:tc>
        <w:tc>
          <w:tcPr>
            <w:tcW w:type="dxa" w:w="3528"/>
          </w:tcPr>
          <w:p>
            <w:pPr>
              <w:spacing w:before="40" w:after="40"/>
            </w:pPr>
            <w:r/>
            <w:r>
              <w:rPr>
                <w:rFonts w:ascii="Calibri" w:hAnsi="Calibri"/>
                <w:b w:val="0"/>
                <w:color w:val="33403A"/>
                <w:sz w:val="16"/>
              </w:rPr>
              <w:t>4.2.1 · 4.2.3</w:t>
            </w:r>
          </w:p>
        </w:tc>
      </w:tr>
      <w:tr>
        <w:tc>
          <w:tcPr>
            <w:tcW w:type="dxa" w:w="5184"/>
            <w:shd w:val="clear" w:fill="F4F8F5"/>
          </w:tcPr>
          <w:p>
            <w:pPr>
              <w:spacing w:before="40" w:after="40"/>
            </w:pPr>
            <w:r/>
            <w:r>
              <w:rPr>
                <w:rFonts w:ascii="Calibri" w:hAnsi="Calibri"/>
                <w:b w:val="0"/>
                <w:color w:val="33403A"/>
                <w:sz w:val="16"/>
              </w:rPr>
              <w:t>Hands-on part 2 — Search-driven exploration</w:t>
            </w:r>
          </w:p>
        </w:tc>
        <w:tc>
          <w:tcPr>
            <w:tcW w:type="dxa" w:w="1080"/>
            <w:shd w:val="clear" w:fill="F4F8F5"/>
          </w:tcPr>
          <w:p>
            <w:pPr>
              <w:spacing w:before="40" w:after="40"/>
            </w:pPr>
            <w:r/>
            <w:r>
              <w:rPr>
                <w:rFonts w:ascii="Calibri" w:hAnsi="Calibri"/>
                <w:b w:val="0"/>
                <w:color w:val="33403A"/>
                <w:sz w:val="16"/>
              </w:rPr>
              <w:t>D3 PM</w:t>
            </w:r>
          </w:p>
        </w:tc>
        <w:tc>
          <w:tcPr>
            <w:tcW w:type="dxa" w:w="3528"/>
            <w:shd w:val="clear" w:fill="F4F8F5"/>
          </w:tcPr>
          <w:p>
            <w:pPr>
              <w:spacing w:before="40" w:after="40"/>
            </w:pPr>
            <w:r/>
            <w:r>
              <w:rPr>
                <w:rFonts w:ascii="Calibri" w:hAnsi="Calibri"/>
                <w:b w:val="0"/>
                <w:color w:val="33403A"/>
                <w:sz w:val="16"/>
              </w:rPr>
              <w:t>4.2.1 · 4.2.3</w:t>
            </w:r>
          </w:p>
        </w:tc>
      </w:tr>
      <w:tr>
        <w:tc>
          <w:tcPr>
            <w:tcW w:type="dxa" w:w="5184"/>
          </w:tcPr>
          <w:p>
            <w:pPr>
              <w:spacing w:before="40" w:after="40"/>
            </w:pPr>
            <w:r/>
            <w:r>
              <w:rPr>
                <w:rFonts w:ascii="Calibri" w:hAnsi="Calibri"/>
                <w:b w:val="0"/>
                <w:color w:val="33403A"/>
                <w:sz w:val="16"/>
              </w:rPr>
              <w:t>Publication on GitHub</w:t>
            </w:r>
          </w:p>
        </w:tc>
        <w:tc>
          <w:tcPr>
            <w:tcW w:type="dxa" w:w="1080"/>
          </w:tcPr>
          <w:p>
            <w:pPr>
              <w:spacing w:before="40" w:after="40"/>
            </w:pPr>
            <w:r/>
            <w:r>
              <w:rPr>
                <w:rFonts w:ascii="Calibri" w:hAnsi="Calibri"/>
                <w:b w:val="0"/>
                <w:color w:val="33403A"/>
                <w:sz w:val="16"/>
              </w:rPr>
              <w:t>D3 PM</w:t>
            </w:r>
          </w:p>
        </w:tc>
        <w:tc>
          <w:tcPr>
            <w:tcW w:type="dxa" w:w="3528"/>
          </w:tcPr>
          <w:p>
            <w:pPr>
              <w:spacing w:before="40" w:after="40"/>
            </w:pPr>
            <w:r/>
            <w:r>
              <w:rPr>
                <w:rFonts w:ascii="Calibri" w:hAnsi="Calibri"/>
                <w:b w:val="0"/>
                <w:color w:val="33403A"/>
                <w:sz w:val="16"/>
              </w:rPr>
              <w:t>2.1.1 · 4.2.1</w:t>
            </w:r>
          </w:p>
        </w:tc>
      </w:tr>
      <w:tr>
        <w:tc>
          <w:tcPr>
            <w:tcW w:type="dxa" w:w="5184"/>
            <w:shd w:val="clear" w:fill="F4F8F5"/>
          </w:tcPr>
          <w:p>
            <w:pPr>
              <w:spacing w:before="40" w:after="40"/>
            </w:pPr>
            <w:r/>
            <w:r>
              <w:rPr>
                <w:rFonts w:ascii="Calibri" w:hAnsi="Calibri"/>
                <w:b w:val="0"/>
                <w:color w:val="33403A"/>
                <w:sz w:val="16"/>
              </w:rPr>
              <w:t>Night-Time Lights: What the Darkness Tells Us</w:t>
            </w:r>
          </w:p>
        </w:tc>
        <w:tc>
          <w:tcPr>
            <w:tcW w:type="dxa" w:w="1080"/>
            <w:shd w:val="clear" w:fill="F4F8F5"/>
          </w:tcPr>
          <w:p>
            <w:pPr>
              <w:spacing w:before="40" w:after="40"/>
            </w:pPr>
            <w:r/>
            <w:r>
              <w:rPr>
                <w:rFonts w:ascii="Calibri" w:hAnsi="Calibri"/>
                <w:b w:val="0"/>
                <w:color w:val="33403A"/>
                <w:sz w:val="16"/>
              </w:rPr>
              <w:t>D4 AM</w:t>
            </w:r>
          </w:p>
        </w:tc>
        <w:tc>
          <w:tcPr>
            <w:tcW w:type="dxa" w:w="3528"/>
            <w:shd w:val="clear" w:fill="F4F8F5"/>
          </w:tcPr>
          <w:p>
            <w:pPr>
              <w:spacing w:before="40" w:after="40"/>
            </w:pPr>
            <w:r/>
            <w:r>
              <w:rPr>
                <w:rFonts w:ascii="Calibri" w:hAnsi="Calibri"/>
                <w:b w:val="0"/>
                <w:color w:val="33403A"/>
                <w:sz w:val="16"/>
              </w:rPr>
              <w:t>2.1.1</w:t>
            </w:r>
          </w:p>
        </w:tc>
      </w:tr>
      <w:tr>
        <w:tc>
          <w:tcPr>
            <w:tcW w:type="dxa" w:w="5184"/>
          </w:tcPr>
          <w:p>
            <w:pPr>
              <w:spacing w:before="40" w:after="40"/>
            </w:pPr>
            <w:r/>
            <w:r>
              <w:rPr>
                <w:rFonts w:ascii="Calibri" w:hAnsi="Calibri"/>
                <w:b w:val="0"/>
                <w:color w:val="33403A"/>
                <w:sz w:val="16"/>
              </w:rPr>
              <w:t>Hands-on part 1 — Collect</w:t>
            </w:r>
          </w:p>
        </w:tc>
        <w:tc>
          <w:tcPr>
            <w:tcW w:type="dxa" w:w="1080"/>
          </w:tcPr>
          <w:p>
            <w:pPr>
              <w:spacing w:before="40" w:after="40"/>
            </w:pPr>
            <w:r/>
            <w:r>
              <w:rPr>
                <w:rFonts w:ascii="Calibri" w:hAnsi="Calibri"/>
                <w:b w:val="0"/>
                <w:color w:val="33403A"/>
                <w:sz w:val="16"/>
              </w:rPr>
              <w:t>D4 AM</w:t>
            </w:r>
          </w:p>
        </w:tc>
        <w:tc>
          <w:tcPr>
            <w:tcW w:type="dxa" w:w="3528"/>
          </w:tcPr>
          <w:p>
            <w:pPr>
              <w:spacing w:before="40" w:after="40"/>
            </w:pPr>
            <w:r/>
            <w:r>
              <w:rPr>
                <w:rFonts w:ascii="Calibri" w:hAnsi="Calibri"/>
                <w:b w:val="0"/>
                <w:color w:val="33403A"/>
                <w:sz w:val="16"/>
              </w:rPr>
              <w:t>4.2.1</w:t>
            </w:r>
          </w:p>
        </w:tc>
      </w:tr>
      <w:tr>
        <w:tc>
          <w:tcPr>
            <w:tcW w:type="dxa" w:w="5184"/>
            <w:shd w:val="clear" w:fill="F4F8F5"/>
          </w:tcPr>
          <w:p>
            <w:pPr>
              <w:spacing w:before="40" w:after="40"/>
            </w:pPr>
            <w:r/>
            <w:r>
              <w:rPr>
                <w:rFonts w:ascii="Calibri" w:hAnsi="Calibri"/>
                <w:b w:val="0"/>
                <w:color w:val="33403A"/>
                <w:sz w:val="16"/>
              </w:rPr>
              <w:t>Hands-on part 2 — Explore and Understand</w:t>
            </w:r>
          </w:p>
        </w:tc>
        <w:tc>
          <w:tcPr>
            <w:tcW w:type="dxa" w:w="1080"/>
            <w:shd w:val="clear" w:fill="F4F8F5"/>
          </w:tcPr>
          <w:p>
            <w:pPr>
              <w:spacing w:before="40" w:after="40"/>
            </w:pPr>
            <w:r/>
            <w:r>
              <w:rPr>
                <w:rFonts w:ascii="Calibri" w:hAnsi="Calibri"/>
                <w:b w:val="0"/>
                <w:color w:val="33403A"/>
                <w:sz w:val="16"/>
              </w:rPr>
              <w:t>D4 AM</w:t>
            </w:r>
          </w:p>
        </w:tc>
        <w:tc>
          <w:tcPr>
            <w:tcW w:type="dxa" w:w="3528"/>
            <w:shd w:val="clear" w:fill="F4F8F5"/>
          </w:tcPr>
          <w:p>
            <w:pPr>
              <w:spacing w:before="40" w:after="40"/>
            </w:pPr>
            <w:r/>
            <w:r>
              <w:rPr>
                <w:rFonts w:ascii="Calibri" w:hAnsi="Calibri"/>
                <w:b w:val="0"/>
                <w:color w:val="33403A"/>
                <w:sz w:val="16"/>
              </w:rPr>
              <w:t>4.2.1 · 2.1.1</w:t>
            </w:r>
          </w:p>
        </w:tc>
      </w:tr>
      <w:tr>
        <w:tc>
          <w:tcPr>
            <w:tcW w:type="dxa" w:w="5184"/>
          </w:tcPr>
          <w:p>
            <w:pPr>
              <w:spacing w:before="40" w:after="40"/>
            </w:pPr>
            <w:r/>
            <w:r>
              <w:rPr>
                <w:rFonts w:ascii="Calibri" w:hAnsi="Calibri"/>
                <w:b w:val="0"/>
                <w:color w:val="33403A"/>
                <w:sz w:val="16"/>
              </w:rPr>
              <w:t>Hands-on part 3 — Analysis</w:t>
            </w:r>
          </w:p>
        </w:tc>
        <w:tc>
          <w:tcPr>
            <w:tcW w:type="dxa" w:w="1080"/>
          </w:tcPr>
          <w:p>
            <w:pPr>
              <w:spacing w:before="40" w:after="40"/>
            </w:pPr>
            <w:r/>
            <w:r>
              <w:rPr>
                <w:rFonts w:ascii="Calibri" w:hAnsi="Calibri"/>
                <w:b w:val="0"/>
                <w:color w:val="33403A"/>
                <w:sz w:val="16"/>
              </w:rPr>
              <w:t>D4 PM</w:t>
            </w:r>
          </w:p>
        </w:tc>
        <w:tc>
          <w:tcPr>
            <w:tcW w:type="dxa" w:w="3528"/>
          </w:tcPr>
          <w:p>
            <w:pPr>
              <w:spacing w:before="40" w:after="40"/>
            </w:pPr>
            <w:r/>
            <w:r>
              <w:rPr>
                <w:rFonts w:ascii="Calibri" w:hAnsi="Calibri"/>
                <w:b w:val="0"/>
                <w:color w:val="33403A"/>
                <w:sz w:val="16"/>
              </w:rPr>
              <w:t>4.2.1 · 2.1.1</w:t>
            </w:r>
          </w:p>
        </w:tc>
      </w:tr>
      <w:tr>
        <w:tc>
          <w:tcPr>
            <w:tcW w:type="dxa" w:w="5184"/>
            <w:shd w:val="clear" w:fill="F4F8F5"/>
          </w:tcPr>
          <w:p>
            <w:pPr>
              <w:spacing w:before="40" w:after="40"/>
            </w:pPr>
            <w:r/>
            <w:r>
              <w:rPr>
                <w:rFonts w:ascii="Calibri" w:hAnsi="Calibri"/>
                <w:b w:val="0"/>
                <w:color w:val="33403A"/>
                <w:sz w:val="16"/>
              </w:rPr>
              <w:t>Hands-on part 4 — Validation</w:t>
            </w:r>
          </w:p>
        </w:tc>
        <w:tc>
          <w:tcPr>
            <w:tcW w:type="dxa" w:w="1080"/>
            <w:shd w:val="clear" w:fill="F4F8F5"/>
          </w:tcPr>
          <w:p>
            <w:pPr>
              <w:spacing w:before="40" w:after="40"/>
            </w:pPr>
            <w:r/>
            <w:r>
              <w:rPr>
                <w:rFonts w:ascii="Calibri" w:hAnsi="Calibri"/>
                <w:b w:val="0"/>
                <w:color w:val="33403A"/>
                <w:sz w:val="16"/>
              </w:rPr>
              <w:t>D4 PM</w:t>
            </w:r>
          </w:p>
        </w:tc>
        <w:tc>
          <w:tcPr>
            <w:tcW w:type="dxa" w:w="3528"/>
            <w:shd w:val="clear" w:fill="F4F8F5"/>
          </w:tcPr>
          <w:p>
            <w:pPr>
              <w:spacing w:before="40" w:after="40"/>
            </w:pPr>
            <w:r/>
            <w:r>
              <w:rPr>
                <w:rFonts w:ascii="Calibri" w:hAnsi="Calibri"/>
                <w:b w:val="0"/>
                <w:color w:val="33403A"/>
                <w:sz w:val="16"/>
              </w:rPr>
              <w:t>2.1.1 · 4.3</w:t>
            </w:r>
          </w:p>
        </w:tc>
      </w:tr>
      <w:tr>
        <w:tc>
          <w:tcPr>
            <w:tcW w:type="dxa" w:w="5184"/>
          </w:tcPr>
          <w:p>
            <w:pPr>
              <w:spacing w:before="40" w:after="40"/>
            </w:pPr>
            <w:r/>
            <w:r>
              <w:rPr>
                <w:rFonts w:ascii="Calibri" w:hAnsi="Calibri"/>
                <w:b w:val="0"/>
                <w:color w:val="33403A"/>
                <w:sz w:val="16"/>
              </w:rPr>
              <w:t>Publication and preparation for Day 5</w:t>
            </w:r>
          </w:p>
        </w:tc>
        <w:tc>
          <w:tcPr>
            <w:tcW w:type="dxa" w:w="1080"/>
          </w:tcPr>
          <w:p>
            <w:pPr>
              <w:spacing w:before="40" w:after="40"/>
            </w:pPr>
            <w:r/>
            <w:r>
              <w:rPr>
                <w:rFonts w:ascii="Calibri" w:hAnsi="Calibri"/>
                <w:b w:val="0"/>
                <w:color w:val="33403A"/>
                <w:sz w:val="16"/>
              </w:rPr>
              <w:t>D4 PM</w:t>
            </w:r>
          </w:p>
        </w:tc>
        <w:tc>
          <w:tcPr>
            <w:tcW w:type="dxa" w:w="3528"/>
          </w:tcPr>
          <w:p>
            <w:pPr>
              <w:spacing w:before="40" w:after="40"/>
            </w:pPr>
            <w:r/>
            <w:r>
              <w:rPr>
                <w:rFonts w:ascii="Calibri" w:hAnsi="Calibri"/>
                <w:b w:val="0"/>
                <w:color w:val="33403A"/>
                <w:sz w:val="16"/>
              </w:rPr>
              <w:t>4.2.1 · 3.1.1</w:t>
            </w:r>
          </w:p>
        </w:tc>
      </w:tr>
      <w:tr>
        <w:tc>
          <w:tcPr>
            <w:tcW w:type="dxa" w:w="5184"/>
            <w:shd w:val="clear" w:fill="F4F8F5"/>
          </w:tcPr>
          <w:p>
            <w:pPr>
              <w:spacing w:before="40" w:after="40"/>
            </w:pPr>
            <w:r/>
            <w:r>
              <w:rPr>
                <w:rFonts w:ascii="Calibri" w:hAnsi="Calibri"/>
                <w:b w:val="0"/>
                <w:color w:val="33403A"/>
                <w:sz w:val="16"/>
              </w:rPr>
              <w:t>Assisting countries in publishing their work</w:t>
            </w:r>
          </w:p>
        </w:tc>
        <w:tc>
          <w:tcPr>
            <w:tcW w:type="dxa" w:w="1080"/>
            <w:shd w:val="clear" w:fill="F4F8F5"/>
          </w:tcPr>
          <w:p>
            <w:pPr>
              <w:spacing w:before="40" w:after="40"/>
            </w:pPr>
            <w:r/>
            <w:r>
              <w:rPr>
                <w:rFonts w:ascii="Calibri" w:hAnsi="Calibri"/>
                <w:b w:val="0"/>
                <w:color w:val="33403A"/>
                <w:sz w:val="16"/>
              </w:rPr>
              <w:t>D5 AM</w:t>
            </w:r>
          </w:p>
        </w:tc>
        <w:tc>
          <w:tcPr>
            <w:tcW w:type="dxa" w:w="3528"/>
            <w:shd w:val="clear" w:fill="F4F8F5"/>
          </w:tcPr>
          <w:p>
            <w:pPr>
              <w:spacing w:before="40" w:after="40"/>
            </w:pPr>
            <w:r/>
            <w:r>
              <w:rPr>
                <w:rFonts w:ascii="Calibri" w:hAnsi="Calibri"/>
                <w:b w:val="0"/>
                <w:color w:val="33403A"/>
                <w:sz w:val="16"/>
              </w:rPr>
              <w:t>2.1.1 · 4.2.1 · 3.2.1</w:t>
            </w:r>
          </w:p>
        </w:tc>
      </w:tr>
      <w:tr>
        <w:tc>
          <w:tcPr>
            <w:tcW w:type="dxa" w:w="5184"/>
          </w:tcPr>
          <w:p>
            <w:pPr>
              <w:spacing w:before="40" w:after="40"/>
            </w:pPr>
            <w:r/>
            <w:r>
              <w:rPr>
                <w:rFonts w:ascii="Calibri" w:hAnsi="Calibri"/>
                <w:b w:val="0"/>
                <w:color w:val="33403A"/>
                <w:sz w:val="16"/>
              </w:rPr>
              <w:t>Country presentations</w:t>
            </w:r>
          </w:p>
        </w:tc>
        <w:tc>
          <w:tcPr>
            <w:tcW w:type="dxa" w:w="1080"/>
          </w:tcPr>
          <w:p>
            <w:pPr>
              <w:spacing w:before="40" w:after="40"/>
            </w:pPr>
            <w:r/>
            <w:r>
              <w:rPr>
                <w:rFonts w:ascii="Calibri" w:hAnsi="Calibri"/>
                <w:b w:val="0"/>
                <w:color w:val="33403A"/>
                <w:sz w:val="16"/>
              </w:rPr>
              <w:t>D5 AM</w:t>
            </w:r>
          </w:p>
        </w:tc>
        <w:tc>
          <w:tcPr>
            <w:tcW w:type="dxa" w:w="3528"/>
          </w:tcPr>
          <w:p>
            <w:pPr>
              <w:spacing w:before="40" w:after="40"/>
            </w:pPr>
            <w:r/>
            <w:r>
              <w:rPr>
                <w:rFonts w:ascii="Calibri" w:hAnsi="Calibri"/>
                <w:b w:val="0"/>
                <w:color w:val="33403A"/>
                <w:sz w:val="16"/>
              </w:rPr>
              <w:t>3.1.1 · 3.1.2</w:t>
            </w:r>
          </w:p>
        </w:tc>
      </w:tr>
      <w:tr>
        <w:tc>
          <w:tcPr>
            <w:tcW w:type="dxa" w:w="5184"/>
            <w:shd w:val="clear" w:fill="F4F8F5"/>
          </w:tcPr>
          <w:p>
            <w:pPr>
              <w:spacing w:before="40" w:after="40"/>
            </w:pPr>
            <w:r/>
            <w:r>
              <w:rPr>
                <w:rFonts w:ascii="Calibri" w:hAnsi="Calibri"/>
                <w:b w:val="0"/>
                <w:color w:val="33403A"/>
                <w:sz w:val="16"/>
              </w:rPr>
              <w:t>Key takeaways and way forward</w:t>
            </w:r>
          </w:p>
        </w:tc>
        <w:tc>
          <w:tcPr>
            <w:tcW w:type="dxa" w:w="1080"/>
            <w:shd w:val="clear" w:fill="F4F8F5"/>
          </w:tcPr>
          <w:p>
            <w:pPr>
              <w:spacing w:before="40" w:after="40"/>
            </w:pPr>
            <w:r/>
            <w:r>
              <w:rPr>
                <w:rFonts w:ascii="Calibri" w:hAnsi="Calibri"/>
                <w:b w:val="0"/>
                <w:color w:val="33403A"/>
                <w:sz w:val="16"/>
              </w:rPr>
              <w:t>D5 AM</w:t>
            </w:r>
          </w:p>
        </w:tc>
        <w:tc>
          <w:tcPr>
            <w:tcW w:type="dxa" w:w="3528"/>
            <w:shd w:val="clear" w:fill="F4F8F5"/>
          </w:tcPr>
          <w:p>
            <w:pPr>
              <w:spacing w:before="40" w:after="40"/>
            </w:pPr>
            <w:r/>
            <w:r>
              <w:rPr>
                <w:rFonts w:ascii="Calibri" w:hAnsi="Calibri"/>
                <w:b w:val="0"/>
                <w:color w:val="33403A"/>
                <w:sz w:val="16"/>
              </w:rPr>
              <w:t>1.3.1 · 2.1.1 · 3.1.1 · 4.1.1</w:t>
            </w:r>
          </w:p>
        </w:tc>
      </w:tr>
    </w:tbl>
    <w:p>
      <w:pPr>
        <w:pStyle w:val="Heading1"/>
        <w:spacing w:before="280" w:after="120"/>
      </w:pPr>
      <w:r>
        <w:rPr>
          <w:rFonts w:ascii="Cambria" w:hAnsi="Cambria"/>
          <w:b/>
          <w:color w:val="C08A1E"/>
          <w:sz w:val="26"/>
        </w:rPr>
        <w:t>6  Laboratory specifications</w:t>
      </w:r>
    </w:p>
    <w:p>
      <w:pPr>
        <w:spacing w:after="120"/>
        <w:jc w:val="both"/>
      </w:pPr>
      <w:r>
        <w:rPr>
          <w:rFonts w:ascii="Calibri" w:hAnsi="Calibri"/>
          <w:i w:val="0"/>
          <w:color w:val="33403A"/>
          <w:sz w:val="19"/>
        </w:rPr>
        <w:t>13 laboratories carry the week. Each is specified below with the environment it needs, the artefact the team must produce, and the fallback the facilitation team applies when something breaks — which it will.</w:t>
      </w:r>
    </w:p>
    <w:tbl>
      <w:tblPr>
        <w:tblW w:type="auto" w:w="0"/>
        <w:jc w:val="center"/>
        <w:tblLayout w:type="fixed"/>
        <w:tblLook w:firstColumn="1" w:firstRow="1" w:lastColumn="0" w:lastRow="0" w:noHBand="0" w:noVBand="1" w:val="04A0"/>
      </w:tblPr>
      <w:tblGrid>
        <w:gridCol w:w="2437"/>
        <w:gridCol w:w="2437"/>
        <w:gridCol w:w="2437"/>
        <w:gridCol w:w="2437"/>
      </w:tblGrid>
      <w:tr>
        <w:tc>
          <w:tcPr>
            <w:tcW w:type="dxa" w:w="1800"/>
            <w:shd w:val="clear" w:fill="0B2545"/>
          </w:tcPr>
          <w:p>
            <w:pPr>
              <w:spacing w:before="40" w:after="40"/>
            </w:pPr>
            <w:r/>
            <w:r>
              <w:rPr>
                <w:rFonts w:ascii="Calibri" w:hAnsi="Calibri"/>
                <w:b/>
                <w:color w:val="FFFFFF"/>
                <w:sz w:val="17"/>
              </w:rPr>
              <w:t>Laboratory</w:t>
            </w:r>
          </w:p>
        </w:tc>
        <w:tc>
          <w:tcPr>
            <w:tcW w:type="dxa" w:w="3024"/>
            <w:shd w:val="clear" w:fill="0B2545"/>
          </w:tcPr>
          <w:p>
            <w:pPr>
              <w:spacing w:before="40" w:after="40"/>
            </w:pPr>
            <w:r/>
            <w:r>
              <w:rPr>
                <w:rFonts w:ascii="Calibri" w:hAnsi="Calibri"/>
                <w:b/>
                <w:color w:val="FFFFFF"/>
                <w:sz w:val="17"/>
              </w:rPr>
              <w:t>Environment and data</w:t>
            </w:r>
          </w:p>
        </w:tc>
        <w:tc>
          <w:tcPr>
            <w:tcW w:type="dxa" w:w="2592"/>
            <w:shd w:val="clear" w:fill="0B2545"/>
          </w:tcPr>
          <w:p>
            <w:pPr>
              <w:spacing w:before="40" w:after="40"/>
            </w:pPr>
            <w:r/>
            <w:r>
              <w:rPr>
                <w:rFonts w:ascii="Calibri" w:hAnsi="Calibri"/>
                <w:b/>
                <w:color w:val="FFFFFF"/>
                <w:sz w:val="17"/>
              </w:rPr>
              <w:t>Team deliverable</w:t>
            </w:r>
          </w:p>
        </w:tc>
        <w:tc>
          <w:tcPr>
            <w:tcW w:type="dxa" w:w="2376"/>
            <w:shd w:val="clear" w:fill="0B2545"/>
          </w:tcPr>
          <w:p>
            <w:pPr>
              <w:spacing w:before="40" w:after="40"/>
            </w:pPr>
            <w:r/>
            <w:r>
              <w:rPr>
                <w:rFonts w:ascii="Calibri" w:hAnsi="Calibri"/>
                <w:b/>
                <w:color w:val="FFFFFF"/>
                <w:sz w:val="17"/>
              </w:rPr>
              <w:t>Fallback</w:t>
            </w:r>
          </w:p>
        </w:tc>
      </w:tr>
      <w:tr>
        <w:tc>
          <w:tcPr>
            <w:tcW w:type="dxa" w:w="1800"/>
          </w:tcPr>
          <w:p>
            <w:pPr>
              <w:spacing w:before="40" w:after="40"/>
            </w:pPr>
            <w:r/>
            <w:r>
              <w:rPr>
                <w:rFonts w:ascii="Calibri" w:hAnsi="Calibri"/>
                <w:b w:val="0"/>
                <w:color w:val="33403A"/>
                <w:sz w:val="15"/>
              </w:rPr>
              <w:t>D1 · RAG assistant</w:t>
            </w:r>
          </w:p>
        </w:tc>
        <w:tc>
          <w:tcPr>
            <w:tcW w:type="dxa" w:w="3024"/>
          </w:tcPr>
          <w:p>
            <w:pPr>
              <w:spacing w:before="40" w:after="40"/>
            </w:pPr>
            <w:r/>
            <w:r>
              <w:rPr>
                <w:rFonts w:ascii="Calibri" w:hAnsi="Calibri"/>
                <w:b w:val="0"/>
                <w:color w:val="33403A"/>
                <w:sz w:val="15"/>
              </w:rPr>
              <w:t>Python in Colab, Kaggle or local; scikit-learn for the word-matching retriever, which needs no download; sentence-transformers optional for the meaning-matching one; no vector database — the corpus is small enough that one is not warranted</w:t>
            </w:r>
          </w:p>
        </w:tc>
        <w:tc>
          <w:tcPr>
            <w:tcW w:type="dxa" w:w="2592"/>
          </w:tcPr>
          <w:p>
            <w:pPr>
              <w:spacing w:before="40" w:after="40"/>
            </w:pPr>
            <w:r/>
            <w:r>
              <w:rPr>
                <w:rFonts w:ascii="Calibri" w:hAnsi="Calibri"/>
                <w:b w:val="0"/>
                <w:color w:val="33403A"/>
                <w:sz w:val="15"/>
              </w:rPr>
              <w:t>A transcript of answers with the exact passages behind each one, and a retrieval evaluation separating retrieval failures from generation failures</w:t>
            </w:r>
          </w:p>
        </w:tc>
        <w:tc>
          <w:tcPr>
            <w:tcW w:type="dxa" w:w="2376"/>
          </w:tcPr>
          <w:p>
            <w:pPr>
              <w:spacing w:before="40" w:after="40"/>
            </w:pPr>
            <w:r/>
            <w:r>
              <w:rPr>
                <w:rFonts w:ascii="Calibri" w:hAnsi="Calibri"/>
                <w:b w:val="0"/>
                <w:color w:val="33403A"/>
                <w:sz w:val="15"/>
              </w:rPr>
              <w:t>A fictional five-document corpus ships with the toolkit, so no team is blocked by uncleared publications; without any model provider, the retrieval half of the laboratory still runs — and that is where most RAG problems are</w:t>
            </w:r>
          </w:p>
        </w:tc>
      </w:tr>
      <w:tr>
        <w:tc>
          <w:tcPr>
            <w:tcW w:type="dxa" w:w="1800"/>
            <w:shd w:val="clear" w:fill="F4F8F5"/>
          </w:tcPr>
          <w:p>
            <w:pPr>
              <w:spacing w:before="40" w:after="40"/>
            </w:pPr>
            <w:r/>
            <w:r>
              <w:rPr>
                <w:rFonts w:ascii="Calibri" w:hAnsi="Calibri"/>
                <w:b w:val="0"/>
                <w:color w:val="33403A"/>
                <w:sz w:val="15"/>
              </w:rPr>
              <w:t>D1 · From RAG to agent</w:t>
            </w:r>
          </w:p>
        </w:tc>
        <w:tc>
          <w:tcPr>
            <w:tcW w:type="dxa" w:w="3024"/>
            <w:shd w:val="clear" w:fill="F4F8F5"/>
          </w:tcPr>
          <w:p>
            <w:pPr>
              <w:spacing w:before="40" w:after="40"/>
            </w:pPr>
            <w:r/>
            <w:r>
              <w:rPr>
                <w:rFonts w:ascii="Calibri" w:hAnsi="Calibri"/>
                <w:b w:val="0"/>
                <w:color w:val="33403A"/>
                <w:sz w:val="15"/>
              </w:rPr>
              <w:t>Same environment as the RAG laboratory; four tools — retrieval, a document list, a guarded calculator and one that writes to disk. A JSON text protocol rather than native function calling, so the request-to-execution gap stays visible and the exercise runs on any provider including a local model</w:t>
            </w:r>
          </w:p>
        </w:tc>
        <w:tc>
          <w:tcPr>
            <w:tcW w:type="dxa" w:w="2592"/>
            <w:shd w:val="clear" w:fill="F4F8F5"/>
          </w:tcPr>
          <w:p>
            <w:pPr>
              <w:spacing w:before="40" w:after="40"/>
            </w:pPr>
            <w:r/>
            <w:r>
              <w:rPr>
                <w:rFonts w:ascii="Calibri" w:hAnsi="Calibri"/>
                <w:b w:val="0"/>
                <w:color w:val="33403A"/>
                <w:sz w:val="15"/>
              </w:rPr>
              <w:t>An audit log recording every tool the model asked for, whether policy allowed it, and the raw reply behind each request — plus the note the agent wrote once a policy permitted it</w:t>
            </w:r>
          </w:p>
        </w:tc>
        <w:tc>
          <w:tcPr>
            <w:tcW w:type="dxa" w:w="2376"/>
            <w:shd w:val="clear" w:fill="F4F8F5"/>
          </w:tcPr>
          <w:p>
            <w:pPr>
              <w:spacing w:before="40" w:after="40"/>
            </w:pPr>
            <w:r/>
            <w:r>
              <w:rPr>
                <w:rFonts w:ascii="Calibri" w:hAnsi="Calibri"/>
                <w:b w:val="0"/>
                <w:color w:val="33403A"/>
                <w:sz w:val="15"/>
              </w:rPr>
              <w:t>A scripted model replays fixed replies, so the loop, the approval gate, the error recovery and the audit log are all exercised with no API key. That is deliberate rather than a consolation path — those four things are what an office writes and owns; the model is what it rents</w:t>
            </w:r>
          </w:p>
        </w:tc>
      </w:tr>
      <w:tr>
        <w:tc>
          <w:tcPr>
            <w:tcW w:type="dxa" w:w="1800"/>
          </w:tcPr>
          <w:p>
            <w:pPr>
              <w:spacing w:before="40" w:after="40"/>
            </w:pPr>
            <w:r/>
            <w:r>
              <w:rPr>
                <w:rFonts w:ascii="Calibri" w:hAnsi="Calibri"/>
                <w:b w:val="0"/>
                <w:color w:val="33403A"/>
                <w:sz w:val="15"/>
              </w:rPr>
              <w:t>D2 · Document to dashboard</w:t>
            </w:r>
          </w:p>
        </w:tc>
        <w:tc>
          <w:tcPr>
            <w:tcW w:type="dxa" w:w="3024"/>
          </w:tcPr>
          <w:p>
            <w:pPr>
              <w:spacing w:before="40" w:after="40"/>
            </w:pPr>
            <w:r/>
            <w:r>
              <w:rPr>
                <w:rFonts w:ascii="Calibri" w:hAnsi="Calibri"/>
                <w:b w:val="0"/>
                <w:color w:val="33403A"/>
                <w:sz w:val="15"/>
              </w:rPr>
              <w:t>LLM API; Python or plain HTML/JS; the participant's own national publication; GitHub Pages</w:t>
            </w:r>
          </w:p>
        </w:tc>
        <w:tc>
          <w:tcPr>
            <w:tcW w:type="dxa" w:w="2592"/>
          </w:tcPr>
          <w:p>
            <w:pPr>
              <w:spacing w:before="40" w:after="40"/>
            </w:pPr>
            <w:r/>
            <w:r>
              <w:rPr>
                <w:rFonts w:ascii="Calibri" w:hAnsi="Calibri"/>
                <w:b w:val="0"/>
                <w:color w:val="33403A"/>
                <w:sz w:val="15"/>
              </w:rPr>
              <w:t>A public dashboard URL and the extraction-verification table comparing output against the source</w:t>
            </w:r>
          </w:p>
        </w:tc>
        <w:tc>
          <w:tcPr>
            <w:tcW w:type="dxa" w:w="2376"/>
          </w:tcPr>
          <w:p>
            <w:pPr>
              <w:spacing w:before="40" w:after="40"/>
            </w:pPr>
            <w:r/>
            <w:r>
              <w:rPr>
                <w:rFonts w:ascii="Calibri" w:hAnsi="Calibri"/>
                <w:b w:val="0"/>
                <w:color w:val="33403A"/>
                <w:sz w:val="15"/>
              </w:rPr>
              <w:t>A sample publication and a static dashboard template are supplied; publishing can be done from the template alone</w:t>
            </w:r>
          </w:p>
        </w:tc>
      </w:tr>
      <w:tr>
        <w:tc>
          <w:tcPr>
            <w:tcW w:type="dxa" w:w="1800"/>
            <w:shd w:val="clear" w:fill="F4F8F5"/>
          </w:tcPr>
          <w:p>
            <w:pPr>
              <w:spacing w:before="40" w:after="40"/>
            </w:pPr>
            <w:r/>
            <w:r>
              <w:rPr>
                <w:rFonts w:ascii="Calibri" w:hAnsi="Calibri"/>
                <w:b w:val="0"/>
                <w:color w:val="33403A"/>
                <w:sz w:val="15"/>
              </w:rPr>
              <w:t>D2 · Provider benchmark</w:t>
            </w:r>
          </w:p>
        </w:tc>
        <w:tc>
          <w:tcPr>
            <w:tcW w:type="dxa" w:w="3024"/>
            <w:shd w:val="clear" w:fill="F4F8F5"/>
          </w:tcPr>
          <w:p>
            <w:pPr>
              <w:spacing w:before="40" w:after="40"/>
            </w:pPr>
            <w:r/>
            <w:r>
              <w:rPr>
                <w:rFonts w:ascii="Calibri" w:hAnsi="Calibri"/>
                <w:b w:val="0"/>
                <w:color w:val="33403A"/>
                <w:sz w:val="15"/>
              </w:rPr>
              <w:t>Two API endpoints including Groq; one shared spreadsheet</w:t>
            </w:r>
          </w:p>
        </w:tc>
        <w:tc>
          <w:tcPr>
            <w:tcW w:type="dxa" w:w="2592"/>
            <w:shd w:val="clear" w:fill="F4F8F5"/>
          </w:tcPr>
          <w:p>
            <w:pPr>
              <w:spacing w:before="40" w:after="40"/>
            </w:pPr>
            <w:r/>
            <w:r>
              <w:rPr>
                <w:rFonts w:ascii="Calibri" w:hAnsi="Calibri"/>
                <w:b w:val="0"/>
                <w:color w:val="33403A"/>
                <w:sz w:val="15"/>
              </w:rPr>
              <w:t>Three rows in the shared comparison sheet: latency, cost per thousand documents, quality score</w:t>
            </w:r>
          </w:p>
        </w:tc>
        <w:tc>
          <w:tcPr>
            <w:tcW w:type="dxa" w:w="2376"/>
            <w:shd w:val="clear" w:fill="F4F8F5"/>
          </w:tcPr>
          <w:p>
            <w:pPr>
              <w:spacing w:before="40" w:after="40"/>
            </w:pPr>
            <w:r/>
            <w:r>
              <w:rPr>
                <w:rFonts w:ascii="Calibri" w:hAnsi="Calibri"/>
                <w:b w:val="0"/>
                <w:color w:val="33403A"/>
                <w:sz w:val="15"/>
              </w:rPr>
              <w:t>The facilitator runs the benchmark live from the podium if participant keys fail</w:t>
            </w:r>
          </w:p>
        </w:tc>
      </w:tr>
      <w:tr>
        <w:tc>
          <w:tcPr>
            <w:tcW w:type="dxa" w:w="1800"/>
          </w:tcPr>
          <w:p>
            <w:pPr>
              <w:spacing w:before="40" w:after="40"/>
            </w:pPr>
            <w:r/>
            <w:r>
              <w:rPr>
                <w:rFonts w:ascii="Calibri" w:hAnsi="Calibri"/>
                <w:b w:val="0"/>
                <w:color w:val="33403A"/>
                <w:sz w:val="15"/>
              </w:rPr>
              <w:t>D2 · Toolkit stations</w:t>
            </w:r>
          </w:p>
        </w:tc>
        <w:tc>
          <w:tcPr>
            <w:tcW w:type="dxa" w:w="3024"/>
          </w:tcPr>
          <w:p>
            <w:pPr>
              <w:spacing w:before="40" w:after="40"/>
            </w:pPr>
            <w:r/>
            <w:r>
              <w:rPr>
                <w:rFonts w:ascii="Calibri" w:hAnsi="Calibri"/>
                <w:b w:val="0"/>
                <w:color w:val="33403A"/>
                <w:sz w:val="15"/>
              </w:rPr>
              <w:t>Varies by station; all accessible from a browser</w:t>
            </w:r>
          </w:p>
        </w:tc>
        <w:tc>
          <w:tcPr>
            <w:tcW w:type="dxa" w:w="2592"/>
          </w:tcPr>
          <w:p>
            <w:pPr>
              <w:spacing w:before="40" w:after="40"/>
            </w:pPr>
            <w:r/>
            <w:r>
              <w:rPr>
                <w:rFonts w:ascii="Calibri" w:hAnsi="Calibri"/>
                <w:b w:val="0"/>
                <w:color w:val="33403A"/>
                <w:sz w:val="15"/>
              </w:rPr>
              <w:t>Two finished artefacts per participant, one from each chosen station</w:t>
            </w:r>
          </w:p>
        </w:tc>
        <w:tc>
          <w:tcPr>
            <w:tcW w:type="dxa" w:w="2376"/>
          </w:tcPr>
          <w:p>
            <w:pPr>
              <w:spacing w:before="40" w:after="40"/>
            </w:pPr>
            <w:r/>
            <w:r>
              <w:rPr>
                <w:rFonts w:ascii="Calibri" w:hAnsi="Calibri"/>
                <w:b w:val="0"/>
                <w:color w:val="33403A"/>
                <w:sz w:val="15"/>
              </w:rPr>
              <w:t>Stations are independent — a station that fails costs only itself</w:t>
            </w:r>
          </w:p>
        </w:tc>
      </w:tr>
      <w:tr>
        <w:tc>
          <w:tcPr>
            <w:tcW w:type="dxa" w:w="1800"/>
            <w:shd w:val="clear" w:fill="F4F8F5"/>
          </w:tcPr>
          <w:p>
            <w:pPr>
              <w:spacing w:before="40" w:after="40"/>
            </w:pPr>
            <w:r/>
            <w:r>
              <w:rPr>
                <w:rFonts w:ascii="Calibri" w:hAnsi="Calibri"/>
                <w:b w:val="0"/>
                <w:color w:val="33403A"/>
                <w:sz w:val="15"/>
              </w:rPr>
              <w:t>D3 · Ookla and WorldPop</w:t>
            </w:r>
          </w:p>
        </w:tc>
        <w:tc>
          <w:tcPr>
            <w:tcW w:type="dxa" w:w="3024"/>
            <w:shd w:val="clear" w:fill="F4F8F5"/>
          </w:tcPr>
          <w:p>
            <w:pPr>
              <w:spacing w:before="40" w:after="40"/>
            </w:pPr>
            <w:r/>
            <w:r>
              <w:rPr>
                <w:rFonts w:ascii="Calibri" w:hAnsi="Calibri"/>
                <w:b w:val="0"/>
                <w:color w:val="33403A"/>
                <w:sz w:val="15"/>
              </w:rPr>
              <w:t>Python with geopandas and pyarrow; Ookla parquet tiles and WorldPop rasters mirrored locally; national administrative boundaries</w:t>
            </w:r>
          </w:p>
        </w:tc>
        <w:tc>
          <w:tcPr>
            <w:tcW w:type="dxa" w:w="2592"/>
            <w:shd w:val="clear" w:fill="F4F8F5"/>
          </w:tcPr>
          <w:p>
            <w:pPr>
              <w:spacing w:before="40" w:after="40"/>
            </w:pPr>
            <w:r/>
            <w:r>
              <w:rPr>
                <w:rFonts w:ascii="Calibri" w:hAnsi="Calibri"/>
                <w:b w:val="0"/>
                <w:color w:val="33403A"/>
                <w:sz w:val="15"/>
              </w:rPr>
              <w:t>A population-weighted download-speed and latency indicator per first-level administrative region, one map and one quarterly series</w:t>
            </w:r>
          </w:p>
        </w:tc>
        <w:tc>
          <w:tcPr>
            <w:tcW w:type="dxa" w:w="2376"/>
            <w:shd w:val="clear" w:fill="F4F8F5"/>
          </w:tcPr>
          <w:p>
            <w:pPr>
              <w:spacing w:before="40" w:after="40"/>
            </w:pPr>
            <w:r/>
            <w:r>
              <w:rPr>
                <w:rFonts w:ascii="Calibri" w:hAnsi="Calibri"/>
                <w:b w:val="0"/>
                <w:color w:val="33403A"/>
                <w:sz w:val="15"/>
              </w:rPr>
              <w:t>Pre-clipped country extracts are prepared in advance for every participating country</w:t>
            </w:r>
          </w:p>
        </w:tc>
      </w:tr>
      <w:tr>
        <w:tc>
          <w:tcPr>
            <w:tcW w:type="dxa" w:w="1800"/>
          </w:tcPr>
          <w:p>
            <w:pPr>
              <w:spacing w:before="40" w:after="40"/>
            </w:pPr>
            <w:r/>
            <w:r>
              <w:rPr>
                <w:rFonts w:ascii="Calibri" w:hAnsi="Calibri"/>
                <w:b w:val="0"/>
                <w:color w:val="33403A"/>
                <w:sz w:val="15"/>
              </w:rPr>
              <w:t>D3 · Elasticsearch</w:t>
            </w:r>
          </w:p>
        </w:tc>
        <w:tc>
          <w:tcPr>
            <w:tcW w:type="dxa" w:w="3024"/>
          </w:tcPr>
          <w:p>
            <w:pPr>
              <w:spacing w:before="40" w:after="40"/>
            </w:pPr>
            <w:r/>
            <w:r>
              <w:rPr>
                <w:rFonts w:ascii="Calibri" w:hAnsi="Calibri"/>
                <w:b w:val="0"/>
                <w:color w:val="33403A"/>
                <w:sz w:val="15"/>
              </w:rPr>
              <w:t>Pre-provisioned and pre-loaded cluster, one index per country, Kibana available</w:t>
            </w:r>
          </w:p>
        </w:tc>
        <w:tc>
          <w:tcPr>
            <w:tcW w:type="dxa" w:w="2592"/>
          </w:tcPr>
          <w:p>
            <w:pPr>
              <w:spacing w:before="40" w:after="40"/>
            </w:pPr>
            <w:r/>
            <w:r>
              <w:rPr>
                <w:rFonts w:ascii="Calibri" w:hAnsi="Calibri"/>
                <w:b w:val="0"/>
                <w:color w:val="33403A"/>
                <w:sz w:val="15"/>
              </w:rPr>
              <w:t>Five saved queries and a timing comparison against the morning's pandas approach</w:t>
            </w:r>
          </w:p>
        </w:tc>
        <w:tc>
          <w:tcPr>
            <w:tcW w:type="dxa" w:w="2376"/>
          </w:tcPr>
          <w:p>
            <w:pPr>
              <w:spacing w:before="40" w:after="40"/>
            </w:pPr>
            <w:r/>
            <w:r>
              <w:rPr>
                <w:rFonts w:ascii="Calibri" w:hAnsi="Calibri"/>
                <w:b w:val="0"/>
                <w:color w:val="33403A"/>
                <w:sz w:val="15"/>
              </w:rPr>
              <w:t>If the cluster is unreachable, the same exercise runs locally in DuckDB with an identical query set</w:t>
            </w:r>
          </w:p>
        </w:tc>
      </w:tr>
      <w:tr>
        <w:tc>
          <w:tcPr>
            <w:tcW w:type="dxa" w:w="1800"/>
            <w:shd w:val="clear" w:fill="F4F8F5"/>
          </w:tcPr>
          <w:p>
            <w:pPr>
              <w:spacing w:before="40" w:after="40"/>
            </w:pPr>
            <w:r/>
            <w:r>
              <w:rPr>
                <w:rFonts w:ascii="Calibri" w:hAnsi="Calibri"/>
                <w:b w:val="0"/>
                <w:color w:val="33403A"/>
                <w:sz w:val="15"/>
              </w:rPr>
              <w:t>D3 · Search-driven exploration</w:t>
            </w:r>
          </w:p>
        </w:tc>
        <w:tc>
          <w:tcPr>
            <w:tcW w:type="dxa" w:w="3024"/>
            <w:shd w:val="clear" w:fill="F4F8F5"/>
          </w:tcPr>
          <w:p>
            <w:pPr>
              <w:spacing w:before="40" w:after="40"/>
            </w:pPr>
            <w:r/>
            <w:r>
              <w:rPr>
                <w:rFonts w:ascii="Calibri" w:hAnsi="Calibri"/>
                <w:b w:val="0"/>
                <w:color w:val="33403A"/>
                <w:sz w:val="15"/>
              </w:rPr>
              <w:t>The same cluster, or the DuckDB fallback</w:t>
            </w:r>
          </w:p>
        </w:tc>
        <w:tc>
          <w:tcPr>
            <w:tcW w:type="dxa" w:w="2592"/>
            <w:shd w:val="clear" w:fill="F4F8F5"/>
          </w:tcPr>
          <w:p>
            <w:pPr>
              <w:spacing w:before="40" w:after="40"/>
            </w:pPr>
            <w:r/>
            <w:r>
              <w:rPr>
                <w:rFonts w:ascii="Calibri" w:hAnsi="Calibri"/>
                <w:b w:val="0"/>
                <w:color w:val="33403A"/>
                <w:sz w:val="15"/>
              </w:rPr>
              <w:t>A search-driven exploration of connectivity by region and quarter, with the timing conclusion</w:t>
            </w:r>
          </w:p>
        </w:tc>
        <w:tc>
          <w:tcPr>
            <w:tcW w:type="dxa" w:w="2376"/>
            <w:shd w:val="clear" w:fill="F4F8F5"/>
          </w:tcPr>
          <w:p>
            <w:pPr>
              <w:spacing w:before="40" w:after="40"/>
            </w:pPr>
            <w:r/>
            <w:r>
              <w:rPr>
                <w:rFonts w:ascii="Calibri" w:hAnsi="Calibri"/>
                <w:b w:val="0"/>
                <w:color w:val="33403A"/>
                <w:sz w:val="15"/>
              </w:rPr>
              <w:t>Identical query set runs in DuckDB on the same parquet files</w:t>
            </w:r>
          </w:p>
        </w:tc>
      </w:tr>
      <w:tr>
        <w:tc>
          <w:tcPr>
            <w:tcW w:type="dxa" w:w="1800"/>
          </w:tcPr>
          <w:p>
            <w:pPr>
              <w:spacing w:before="40" w:after="40"/>
            </w:pPr>
            <w:r/>
            <w:r>
              <w:rPr>
                <w:rFonts w:ascii="Calibri" w:hAnsi="Calibri"/>
                <w:b w:val="0"/>
                <w:color w:val="33403A"/>
                <w:sz w:val="15"/>
              </w:rPr>
              <w:t>D4 · NTL collect and explore</w:t>
            </w:r>
          </w:p>
        </w:tc>
        <w:tc>
          <w:tcPr>
            <w:tcW w:type="dxa" w:w="3024"/>
          </w:tcPr>
          <w:p>
            <w:pPr>
              <w:spacing w:before="40" w:after="40"/>
            </w:pPr>
            <w:r/>
            <w:r>
              <w:rPr>
                <w:rFonts w:ascii="Calibri" w:hAnsi="Calibri"/>
                <w:b w:val="0"/>
                <w:color w:val="33403A"/>
                <w:sz w:val="15"/>
              </w:rPr>
              <w:t>Python with rasterio and h5py; VIIRS monthly and annual subsets mirrored locally; Earth Engine account optional</w:t>
            </w:r>
          </w:p>
        </w:tc>
        <w:tc>
          <w:tcPr>
            <w:tcW w:type="dxa" w:w="2592"/>
          </w:tcPr>
          <w:p>
            <w:pPr>
              <w:spacing w:before="40" w:after="40"/>
            </w:pPr>
            <w:r/>
            <w:r>
              <w:rPr>
                <w:rFonts w:ascii="Calibri" w:hAnsi="Calibri"/>
                <w:b w:val="0"/>
                <w:color w:val="33403A"/>
                <w:sz w:val="15"/>
              </w:rPr>
              <w:t>A documented national raster subset and an inventory of the artefacts present in that country</w:t>
            </w:r>
          </w:p>
        </w:tc>
        <w:tc>
          <w:tcPr>
            <w:tcW w:type="dxa" w:w="2376"/>
          </w:tcPr>
          <w:p>
            <w:pPr>
              <w:spacing w:before="40" w:after="40"/>
            </w:pPr>
            <w:r/>
            <w:r>
              <w:rPr>
                <w:rFonts w:ascii="Calibri" w:hAnsi="Calibri"/>
                <w:b w:val="0"/>
                <w:color w:val="33403A"/>
                <w:sz w:val="15"/>
              </w:rPr>
              <w:t>Pre-clipped national subsets are prepared for every participating country; the Earth Engine variant downloads nothing at all</w:t>
            </w:r>
          </w:p>
        </w:tc>
      </w:tr>
      <w:tr>
        <w:tc>
          <w:tcPr>
            <w:tcW w:type="dxa" w:w="1800"/>
            <w:shd w:val="clear" w:fill="F4F8F5"/>
          </w:tcPr>
          <w:p>
            <w:pPr>
              <w:spacing w:before="40" w:after="40"/>
            </w:pPr>
            <w:r/>
            <w:r>
              <w:rPr>
                <w:rFonts w:ascii="Calibri" w:hAnsi="Calibri"/>
                <w:b w:val="0"/>
                <w:color w:val="33403A"/>
                <w:sz w:val="15"/>
              </w:rPr>
              <w:t>D4 · NTL explore and understand</w:t>
            </w:r>
          </w:p>
        </w:tc>
        <w:tc>
          <w:tcPr>
            <w:tcW w:type="dxa" w:w="3024"/>
            <w:shd w:val="clear" w:fill="F4F8F5"/>
          </w:tcPr>
          <w:p>
            <w:pPr>
              <w:spacing w:before="40" w:after="40"/>
            </w:pPr>
            <w:r/>
            <w:r>
              <w:rPr>
                <w:rFonts w:ascii="Calibri" w:hAnsi="Calibri"/>
                <w:b w:val="0"/>
                <w:color w:val="33403A"/>
                <w:sz w:val="15"/>
              </w:rPr>
              <w:t>Same notebook as part 1 — steps 7 and 8</w:t>
            </w:r>
          </w:p>
        </w:tc>
        <w:tc>
          <w:tcPr>
            <w:tcW w:type="dxa" w:w="2592"/>
            <w:shd w:val="clear" w:fill="F4F8F5"/>
          </w:tcPr>
          <w:p>
            <w:pPr>
              <w:spacing w:before="40" w:after="40"/>
            </w:pPr>
            <w:r/>
            <w:r>
              <w:rPr>
                <w:rFonts w:ascii="Calibri" w:hAnsi="Calibri"/>
                <w:b w:val="0"/>
                <w:color w:val="33403A"/>
                <w:sz w:val="15"/>
              </w:rPr>
              <w:t>The artefact inventory for your country, with evidence</w:t>
            </w:r>
          </w:p>
        </w:tc>
        <w:tc>
          <w:tcPr>
            <w:tcW w:type="dxa" w:w="2376"/>
            <w:shd w:val="clear" w:fill="F4F8F5"/>
          </w:tcPr>
          <w:p>
            <w:pPr>
              <w:spacing w:before="40" w:after="40"/>
            </w:pPr>
            <w:r/>
            <w:r>
              <w:rPr>
                <w:rFonts w:ascii="Calibri" w:hAnsi="Calibri"/>
                <w:b w:val="0"/>
                <w:color w:val="33403A"/>
                <w:sz w:val="15"/>
              </w:rPr>
              <w:t>The reference country (Côte d'Ivoire) is prepared end to end</w:t>
            </w:r>
          </w:p>
        </w:tc>
      </w:tr>
      <w:tr>
        <w:tc>
          <w:tcPr>
            <w:tcW w:type="dxa" w:w="1800"/>
          </w:tcPr>
          <w:p>
            <w:pPr>
              <w:spacing w:before="40" w:after="40"/>
            </w:pPr>
            <w:r/>
            <w:r>
              <w:rPr>
                <w:rFonts w:ascii="Calibri" w:hAnsi="Calibri"/>
                <w:b w:val="0"/>
                <w:color w:val="33403A"/>
                <w:sz w:val="15"/>
              </w:rPr>
              <w:t>D4 · NTL analysis</w:t>
            </w:r>
          </w:p>
        </w:tc>
        <w:tc>
          <w:tcPr>
            <w:tcW w:type="dxa" w:w="3024"/>
          </w:tcPr>
          <w:p>
            <w:pPr>
              <w:spacing w:before="40" w:after="40"/>
            </w:pPr>
            <w:r/>
            <w:r>
              <w:rPr>
                <w:rFonts w:ascii="Calibri" w:hAnsi="Calibri"/>
                <w:b w:val="0"/>
                <w:color w:val="33403A"/>
                <w:sz w:val="15"/>
              </w:rPr>
              <w:t>rasterstats or exactextract; the panel produced in the morning</w:t>
            </w:r>
          </w:p>
        </w:tc>
        <w:tc>
          <w:tcPr>
            <w:tcW w:type="dxa" w:w="2592"/>
          </w:tcPr>
          <w:p>
            <w:pPr>
              <w:spacing w:before="40" w:after="40"/>
            </w:pPr>
            <w:r/>
            <w:r>
              <w:rPr>
                <w:rFonts w:ascii="Calibri" w:hAnsi="Calibri"/>
                <w:b w:val="0"/>
                <w:color w:val="33403A"/>
                <w:sz w:val="15"/>
              </w:rPr>
              <w:t>Zonal statistics table, time series, change detection between two periods, and the maps</w:t>
            </w:r>
          </w:p>
        </w:tc>
        <w:tc>
          <w:tcPr>
            <w:tcW w:type="dxa" w:w="2376"/>
          </w:tcPr>
          <w:p>
            <w:pPr>
              <w:spacing w:before="40" w:after="40"/>
            </w:pPr>
            <w:r/>
            <w:r>
              <w:rPr>
                <w:rFonts w:ascii="Calibri" w:hAnsi="Calibri"/>
                <w:b w:val="0"/>
                <w:color w:val="33403A"/>
                <w:sz w:val="15"/>
              </w:rPr>
              <w:t>One reference country is prepared end to end and handed to any team whose national data proves incomplete</w:t>
            </w:r>
          </w:p>
        </w:tc>
      </w:tr>
      <w:tr>
        <w:tc>
          <w:tcPr>
            <w:tcW w:type="dxa" w:w="1800"/>
            <w:shd w:val="clear" w:fill="F4F8F5"/>
          </w:tcPr>
          <w:p>
            <w:pPr>
              <w:spacing w:before="40" w:after="40"/>
            </w:pPr>
            <w:r/>
            <w:r>
              <w:rPr>
                <w:rFonts w:ascii="Calibri" w:hAnsi="Calibri"/>
                <w:b w:val="0"/>
                <w:color w:val="33403A"/>
                <w:sz w:val="15"/>
              </w:rPr>
              <w:t>D4 · NTL validation</w:t>
            </w:r>
          </w:p>
        </w:tc>
        <w:tc>
          <w:tcPr>
            <w:tcW w:type="dxa" w:w="3024"/>
            <w:shd w:val="clear" w:fill="F4F8F5"/>
          </w:tcPr>
          <w:p>
            <w:pPr>
              <w:spacing w:before="40" w:after="40"/>
            </w:pPr>
            <w:r/>
            <w:r>
              <w:rPr>
                <w:rFonts w:ascii="Calibri" w:hAnsi="Calibri"/>
                <w:b w:val="0"/>
                <w:color w:val="33403A"/>
                <w:sz w:val="15"/>
              </w:rPr>
              <w:t>The official subnational indicator brought by the team</w:t>
            </w:r>
          </w:p>
        </w:tc>
        <w:tc>
          <w:tcPr>
            <w:tcW w:type="dxa" w:w="2592"/>
            <w:shd w:val="clear" w:fill="F4F8F5"/>
          </w:tcPr>
          <w:p>
            <w:pPr>
              <w:spacing w:before="40" w:after="40"/>
            </w:pPr>
            <w:r/>
            <w:r>
              <w:rPr>
                <w:rFonts w:ascii="Calibri" w:hAnsi="Calibri"/>
                <w:b w:val="0"/>
                <w:color w:val="33403A"/>
                <w:sz w:val="15"/>
              </w:rPr>
              <w:t>Correlation against the official indicator, and a written limitations statement</w:t>
            </w:r>
          </w:p>
        </w:tc>
        <w:tc>
          <w:tcPr>
            <w:tcW w:type="dxa" w:w="2376"/>
            <w:shd w:val="clear" w:fill="F4F8F5"/>
          </w:tcPr>
          <w:p>
            <w:pPr>
              <w:spacing w:before="40" w:after="40"/>
            </w:pPr>
            <w:r/>
            <w:r>
              <w:rPr>
                <w:rFonts w:ascii="Calibri" w:hAnsi="Calibri"/>
                <w:b w:val="0"/>
                <w:color w:val="33403A"/>
                <w:sz w:val="15"/>
              </w:rPr>
              <w:t>A reference official indicator is supplied for the reference country</w:t>
            </w:r>
          </w:p>
        </w:tc>
      </w:tr>
      <w:tr>
        <w:tc>
          <w:tcPr>
            <w:tcW w:type="dxa" w:w="1800"/>
          </w:tcPr>
          <w:p>
            <w:pPr>
              <w:spacing w:before="40" w:after="40"/>
            </w:pPr>
            <w:r/>
            <w:r>
              <w:rPr>
                <w:rFonts w:ascii="Calibri" w:hAnsi="Calibri"/>
                <w:b w:val="0"/>
                <w:color w:val="33403A"/>
                <w:sz w:val="15"/>
              </w:rPr>
              <w:t>D5 · Publish your work</w:t>
            </w:r>
          </w:p>
        </w:tc>
        <w:tc>
          <w:tcPr>
            <w:tcW w:type="dxa" w:w="3024"/>
          </w:tcPr>
          <w:p>
            <w:pPr>
              <w:spacing w:before="40" w:after="40"/>
            </w:pPr>
            <w:r/>
            <w:r>
              <w:rPr>
                <w:rFonts w:ascii="Calibri" w:hAnsi="Calibri"/>
                <w:b w:val="0"/>
                <w:color w:val="33403A"/>
                <w:sz w:val="15"/>
              </w:rPr>
              <w:t>A GitHub account and the country-template repository</w:t>
            </w:r>
          </w:p>
        </w:tc>
        <w:tc>
          <w:tcPr>
            <w:tcW w:type="dxa" w:w="2592"/>
          </w:tcPr>
          <w:p>
            <w:pPr>
              <w:spacing w:before="40" w:after="40"/>
            </w:pPr>
            <w:r/>
            <w:r>
              <w:rPr>
                <w:rFonts w:ascii="Calibri" w:hAnsi="Calibri"/>
                <w:b w:val="0"/>
                <w:color w:val="33403A"/>
                <w:sz w:val="15"/>
              </w:rPr>
              <w:t>A public country repository with README, licence, metadata, GitHub Pages site and citation file</w:t>
            </w:r>
          </w:p>
        </w:tc>
        <w:tc>
          <w:tcPr>
            <w:tcW w:type="dxa" w:w="2376"/>
          </w:tcPr>
          <w:p>
            <w:pPr>
              <w:spacing w:before="40" w:after="40"/>
            </w:pPr>
            <w:r/>
            <w:r>
              <w:rPr>
                <w:rFonts w:ascii="Calibri" w:hAnsi="Calibri"/>
                <w:b w:val="0"/>
                <w:color w:val="33403A"/>
                <w:sz w:val="15"/>
              </w:rPr>
              <w:t>The template can be published as-is and populated afterwards</w:t>
            </w:r>
          </w:p>
        </w:tc>
      </w:tr>
    </w:tbl>
    <w:p>
      <w:pPr>
        <w:pStyle w:val="Heading3"/>
        <w:spacing w:before="200" w:after="120"/>
      </w:pPr>
      <w:r>
        <w:rPr>
          <w:rFonts w:ascii="Cambria" w:hAnsi="Cambria"/>
          <w:b/>
          <w:color w:val="0A3527"/>
          <w:sz w:val="22"/>
        </w:rPr>
        <w:t>State of the material</w:t>
      </w:r>
    </w:p>
    <w:p>
      <w:pPr>
        <w:spacing w:after="120"/>
        <w:jc w:val="both"/>
      </w:pPr>
      <w:r>
        <w:rPr>
          <w:rFonts w:ascii="Calibri" w:hAnsi="Calibri"/>
          <w:i w:val="0"/>
          <w:color w:val="33403A"/>
          <w:sz w:val="19"/>
        </w:rPr>
        <w:t>This section reports what exists at the date of this note, not what is planned. Of 10 presentations in the agenda, 4 are written and published in both languages. Of 13 specified laboratories, 4 are complete and runnable end to end. They are distributed as 18 notebooks: each laboratory exists in English and French and in a guided and an open version, and the environment-check notebook is supplied in both languages.</w:t>
      </w:r>
    </w:p>
    <w:p>
      <w:pPr>
        <w:spacing w:after="120"/>
        <w:jc w:val="both"/>
      </w:pPr>
      <w:r>
        <w:rPr>
          <w:rFonts w:ascii="Calibri" w:hAnsi="Calibri"/>
          <w:i w:val="0"/>
          <w:color w:val="33403A"/>
          <w:sz w:val="19"/>
        </w:rPr>
        <w:t>Two tracks in every laboratory. Participants arrive with markedly different levels. Each notebook therefore exists in two versions: a guided version in which the analytical steps are written and the participant fills the gaps, and an open version containing only the objective and the data. Teams choose at the start of each laboratory and may switch. The deliverable is identical either way, which keeps the Friday presentations comparable.</w:t>
      </w:r>
    </w:p>
    <w:p>
      <w:pPr>
        <w:spacing w:after="120"/>
        <w:jc w:val="both"/>
      </w:pPr>
      <w:r>
        <w:rPr>
          <w:rFonts w:ascii="Calibri" w:hAnsi="Calibri"/>
          <w:i w:val="0"/>
          <w:color w:val="33403A"/>
          <w:sz w:val="19"/>
        </w:rPr>
        <w:t>Every laboratory has a documented fallback, listed in the table above. The rule adopted throughout is that no laboratory may depend on a step that has not been tested in advance on the workshop machines, and that every team must be able to reach its deliverable even if its own national data, its network or its API key turns out to be unusable.</w:t>
      </w:r>
    </w:p>
    <w:p>
      <w:pPr>
        <w:pStyle w:val="Heading1"/>
        <w:spacing w:before="280" w:after="120"/>
      </w:pPr>
      <w:r>
        <w:rPr>
          <w:rFonts w:ascii="Cambria" w:hAnsi="Cambria"/>
          <w:b/>
          <w:color w:val="C08A1E"/>
          <w:sz w:val="26"/>
        </w:rPr>
        <w:t>7  Preparation timeline and responsibilities</w:t>
      </w:r>
    </w:p>
    <w:p>
      <w:pPr>
        <w:spacing w:after="120"/>
        <w:jc w:val="both"/>
      </w:pPr>
      <w:r>
        <w:rPr>
          <w:rFonts w:ascii="Calibri" w:hAnsi="Calibri"/>
          <w:i w:val="0"/>
          <w:color w:val="33403A"/>
          <w:sz w:val="19"/>
        </w:rPr>
        <w:t>The agenda holds only if the preparation below is completed. The critical path runs through the mirroring of national datasets and the provisioning of API access; both must be finished a fortnight before the workshop opens.</w:t>
      </w:r>
    </w:p>
    <w:tbl>
      <w:tblPr>
        <w:tblW w:type="auto" w:w="0"/>
        <w:jc w:val="center"/>
        <w:tblLayout w:type="fixed"/>
        <w:tblLook w:firstColumn="1" w:firstRow="1" w:lastColumn="0" w:lastRow="0" w:noHBand="0" w:noVBand="1" w:val="04A0"/>
      </w:tblPr>
      <w:tblGrid>
        <w:gridCol w:w="3250"/>
        <w:gridCol w:w="3250"/>
        <w:gridCol w:w="3250"/>
      </w:tblGrid>
      <w:tr>
        <w:tc>
          <w:tcPr>
            <w:tcW w:type="dxa" w:w="1584"/>
            <w:shd w:val="clear" w:fill="0B2545"/>
          </w:tcPr>
          <w:p>
            <w:pPr>
              <w:spacing w:before="40" w:after="40"/>
            </w:pPr>
            <w:r/>
            <w:r>
              <w:rPr>
                <w:rFonts w:ascii="Calibri" w:hAnsi="Calibri"/>
                <w:b/>
                <w:color w:val="FFFFFF"/>
                <w:sz w:val="17"/>
              </w:rPr>
              <w:t>When</w:t>
            </w:r>
          </w:p>
        </w:tc>
        <w:tc>
          <w:tcPr>
            <w:tcW w:type="dxa" w:w="2160"/>
            <w:shd w:val="clear" w:fill="0B2545"/>
          </w:tcPr>
          <w:p>
            <w:pPr>
              <w:spacing w:before="40" w:after="40"/>
            </w:pPr>
            <w:r/>
            <w:r>
              <w:rPr>
                <w:rFonts w:ascii="Calibri" w:hAnsi="Calibri"/>
                <w:b/>
                <w:color w:val="FFFFFF"/>
                <w:sz w:val="17"/>
              </w:rPr>
              <w:t>Who</w:t>
            </w:r>
          </w:p>
        </w:tc>
        <w:tc>
          <w:tcPr>
            <w:tcW w:type="dxa" w:w="6048"/>
            <w:shd w:val="clear" w:fill="0B2545"/>
          </w:tcPr>
          <w:p>
            <w:pPr>
              <w:spacing w:before="40" w:after="40"/>
            </w:pPr>
            <w:r/>
            <w:r>
              <w:rPr>
                <w:rFonts w:ascii="Calibri" w:hAnsi="Calibri"/>
                <w:b/>
                <w:color w:val="FFFFFF"/>
                <w:sz w:val="17"/>
              </w:rPr>
              <w:t>What</w:t>
            </w:r>
          </w:p>
        </w:tc>
      </w:tr>
      <w:tr>
        <w:tc>
          <w:tcPr>
            <w:tcW w:type="dxa" w:w="1584"/>
          </w:tcPr>
          <w:p>
            <w:pPr>
              <w:spacing w:before="40" w:after="40"/>
            </w:pPr>
            <w:r/>
            <w:r>
              <w:rPr>
                <w:rFonts w:ascii="Calibri" w:hAnsi="Calibri"/>
                <w:b w:val="0"/>
                <w:color w:val="33403A"/>
                <w:sz w:val="16"/>
              </w:rPr>
              <w:t>T − 6 weeks</w:t>
            </w:r>
          </w:p>
        </w:tc>
        <w:tc>
          <w:tcPr>
            <w:tcW w:type="dxa" w:w="2160"/>
          </w:tcPr>
          <w:p>
            <w:pPr>
              <w:spacing w:before="40" w:after="40"/>
            </w:pPr>
            <w:r/>
            <w:r>
              <w:rPr>
                <w:rFonts w:ascii="Calibri" w:hAnsi="Calibri"/>
                <w:b w:val="0"/>
                <w:color w:val="33403A"/>
                <w:sz w:val="16"/>
              </w:rPr>
              <w:t>Secretariat (AfDB)</w:t>
            </w:r>
          </w:p>
        </w:tc>
        <w:tc>
          <w:tcPr>
            <w:tcW w:type="dxa" w:w="6048"/>
          </w:tcPr>
          <w:p>
            <w:pPr>
              <w:spacing w:before="40" w:after="40"/>
            </w:pPr>
            <w:r/>
            <w:r>
              <w:rPr>
                <w:rFonts w:ascii="Calibri" w:hAnsi="Calibri"/>
                <w:b w:val="0"/>
                <w:color w:val="33403A"/>
                <w:sz w:val="16"/>
              </w:rPr>
              <w:t>Confirm dates, venue, hybrid platform and interpretation; issue invitations carrying the country input request and the data-pack list</w:t>
            </w:r>
          </w:p>
        </w:tc>
      </w:tr>
      <w:tr>
        <w:tc>
          <w:tcPr>
            <w:tcW w:type="dxa" w:w="1584"/>
            <w:shd w:val="clear" w:fill="F4F8F5"/>
          </w:tcPr>
          <w:p>
            <w:pPr>
              <w:spacing w:before="40" w:after="40"/>
            </w:pPr>
            <w:r/>
            <w:r>
              <w:rPr>
                <w:rFonts w:ascii="Calibri" w:hAnsi="Calibri"/>
                <w:b w:val="0"/>
                <w:color w:val="33403A"/>
                <w:sz w:val="16"/>
              </w:rPr>
              <w:t>T − 4 weeks</w:t>
            </w:r>
          </w:p>
        </w:tc>
        <w:tc>
          <w:tcPr>
            <w:tcW w:type="dxa" w:w="2160"/>
            <w:shd w:val="clear" w:fill="F4F8F5"/>
          </w:tcPr>
          <w:p>
            <w:pPr>
              <w:spacing w:before="40" w:after="40"/>
            </w:pPr>
            <w:r/>
            <w:r>
              <w:rPr>
                <w:rFonts w:ascii="Calibri" w:hAnsi="Calibri"/>
                <w:b w:val="0"/>
                <w:color w:val="33403A"/>
                <w:sz w:val="16"/>
              </w:rPr>
              <w:t>Country focal points</w:t>
            </w:r>
          </w:p>
        </w:tc>
        <w:tc>
          <w:tcPr>
            <w:tcW w:type="dxa" w:w="6048"/>
            <w:shd w:val="clear" w:fill="F4F8F5"/>
          </w:tcPr>
          <w:p>
            <w:pPr>
              <w:spacing w:before="40" w:after="40"/>
            </w:pPr>
            <w:r/>
            <w:r>
              <w:rPr>
                <w:rFonts w:ascii="Calibri" w:hAnsi="Calibri"/>
                <w:b w:val="0"/>
                <w:color w:val="33403A"/>
                <w:sz w:val="16"/>
              </w:rPr>
              <w:t>Confirm participants and nominate the country team that will carry the work through to Friday</w:t>
            </w:r>
          </w:p>
        </w:tc>
      </w:tr>
      <w:tr>
        <w:tc>
          <w:tcPr>
            <w:tcW w:type="dxa" w:w="1584"/>
          </w:tcPr>
          <w:p>
            <w:pPr>
              <w:spacing w:before="40" w:after="40"/>
            </w:pPr>
            <w:r/>
            <w:r>
              <w:rPr>
                <w:rFonts w:ascii="Calibri" w:hAnsi="Calibri"/>
                <w:b w:val="0"/>
                <w:color w:val="33403A"/>
                <w:sz w:val="16"/>
              </w:rPr>
              <w:t>T − 4 weeks</w:t>
            </w:r>
          </w:p>
        </w:tc>
        <w:tc>
          <w:tcPr>
            <w:tcW w:type="dxa" w:w="2160"/>
          </w:tcPr>
          <w:p>
            <w:pPr>
              <w:spacing w:before="40" w:after="40"/>
            </w:pPr>
            <w:r/>
            <w:r>
              <w:rPr>
                <w:rFonts w:ascii="Calibri" w:hAnsi="Calibri"/>
                <w:b w:val="0"/>
                <w:color w:val="33403A"/>
                <w:sz w:val="16"/>
              </w:rPr>
              <w:t>Lead facilitator</w:t>
            </w:r>
          </w:p>
        </w:tc>
        <w:tc>
          <w:tcPr>
            <w:tcW w:type="dxa" w:w="6048"/>
          </w:tcPr>
          <w:p>
            <w:pPr>
              <w:spacing w:before="40" w:after="40"/>
            </w:pPr>
            <w:r/>
            <w:r>
              <w:rPr>
                <w:rFonts w:ascii="Calibri" w:hAnsi="Calibri"/>
                <w:b w:val="0"/>
                <w:color w:val="33403A"/>
                <w:sz w:val="16"/>
              </w:rPr>
              <w:t>Freeze the notebook set in both guided and open versions; create the GitHub organisation and one repository per country</w:t>
            </w:r>
          </w:p>
        </w:tc>
      </w:tr>
      <w:tr>
        <w:tc>
          <w:tcPr>
            <w:tcW w:type="dxa" w:w="1584"/>
            <w:shd w:val="clear" w:fill="F4F8F5"/>
          </w:tcPr>
          <w:p>
            <w:pPr>
              <w:spacing w:before="40" w:after="40"/>
            </w:pPr>
            <w:r/>
            <w:r>
              <w:rPr>
                <w:rFonts w:ascii="Calibri" w:hAnsi="Calibri"/>
                <w:b w:val="0"/>
                <w:color w:val="33403A"/>
                <w:sz w:val="16"/>
              </w:rPr>
              <w:t>T − 3 weeks</w:t>
            </w:r>
          </w:p>
        </w:tc>
        <w:tc>
          <w:tcPr>
            <w:tcW w:type="dxa" w:w="2160"/>
            <w:shd w:val="clear" w:fill="F4F8F5"/>
          </w:tcPr>
          <w:p>
            <w:pPr>
              <w:spacing w:before="40" w:after="40"/>
            </w:pPr>
            <w:r/>
            <w:r>
              <w:rPr>
                <w:rFonts w:ascii="Calibri" w:hAnsi="Calibri"/>
                <w:b w:val="0"/>
                <w:color w:val="33403A"/>
                <w:sz w:val="16"/>
              </w:rPr>
              <w:t>Technical assistants</w:t>
            </w:r>
          </w:p>
        </w:tc>
        <w:tc>
          <w:tcPr>
            <w:tcW w:type="dxa" w:w="6048"/>
            <w:shd w:val="clear" w:fill="F4F8F5"/>
          </w:tcPr>
          <w:p>
            <w:pPr>
              <w:spacing w:before="40" w:after="40"/>
            </w:pPr>
            <w:r/>
            <w:r>
              <w:rPr>
                <w:rFonts w:ascii="Calibri" w:hAnsi="Calibri"/>
                <w:b w:val="0"/>
                <w:color w:val="33403A"/>
                <w:sz w:val="16"/>
              </w:rPr>
              <w:t>Mirror the Ookla tiles, WorldPop rasters and NTL subsets for every participating country and prepare the pre-clipped extracts and the reference country</w:t>
            </w:r>
          </w:p>
        </w:tc>
      </w:tr>
      <w:tr>
        <w:tc>
          <w:tcPr>
            <w:tcW w:type="dxa" w:w="1584"/>
          </w:tcPr>
          <w:p>
            <w:pPr>
              <w:spacing w:before="40" w:after="40"/>
            </w:pPr>
            <w:r/>
            <w:r>
              <w:rPr>
                <w:rFonts w:ascii="Calibri" w:hAnsi="Calibri"/>
                <w:b w:val="0"/>
                <w:color w:val="33403A"/>
                <w:sz w:val="16"/>
              </w:rPr>
              <w:t>T − 2 weeks</w:t>
            </w:r>
          </w:p>
        </w:tc>
        <w:tc>
          <w:tcPr>
            <w:tcW w:type="dxa" w:w="2160"/>
          </w:tcPr>
          <w:p>
            <w:pPr>
              <w:spacing w:before="40" w:after="40"/>
            </w:pPr>
            <w:r/>
            <w:r>
              <w:rPr>
                <w:rFonts w:ascii="Calibri" w:hAnsi="Calibri"/>
                <w:b w:val="0"/>
                <w:color w:val="33403A"/>
                <w:sz w:val="16"/>
              </w:rPr>
              <w:t>Participants</w:t>
            </w:r>
          </w:p>
        </w:tc>
        <w:tc>
          <w:tcPr>
            <w:tcW w:type="dxa" w:w="6048"/>
          </w:tcPr>
          <w:p>
            <w:pPr>
              <w:spacing w:before="40" w:after="40"/>
            </w:pPr>
            <w:r/>
            <w:r>
              <w:rPr>
                <w:rFonts w:ascii="Calibri" w:hAnsi="Calibri"/>
                <w:b w:val="0"/>
                <w:color w:val="33403A"/>
                <w:sz w:val="16"/>
              </w:rPr>
              <w:t>Send the six country slides; create a GitHub account; submit the national data pack</w:t>
            </w:r>
          </w:p>
        </w:tc>
      </w:tr>
      <w:tr>
        <w:tc>
          <w:tcPr>
            <w:tcW w:type="dxa" w:w="1584"/>
            <w:shd w:val="clear" w:fill="F4F8F5"/>
          </w:tcPr>
          <w:p>
            <w:pPr>
              <w:spacing w:before="40" w:after="40"/>
            </w:pPr>
            <w:r/>
            <w:r>
              <w:rPr>
                <w:rFonts w:ascii="Calibri" w:hAnsi="Calibri"/>
                <w:b w:val="0"/>
                <w:color w:val="33403A"/>
                <w:sz w:val="16"/>
              </w:rPr>
              <w:t>T − 2 weeks</w:t>
            </w:r>
          </w:p>
        </w:tc>
        <w:tc>
          <w:tcPr>
            <w:tcW w:type="dxa" w:w="2160"/>
            <w:shd w:val="clear" w:fill="F4F8F5"/>
          </w:tcPr>
          <w:p>
            <w:pPr>
              <w:spacing w:before="40" w:after="40"/>
            </w:pPr>
            <w:r/>
            <w:r>
              <w:rPr>
                <w:rFonts w:ascii="Calibri" w:hAnsi="Calibri"/>
                <w:b w:val="0"/>
                <w:color w:val="33403A"/>
                <w:sz w:val="16"/>
              </w:rPr>
              <w:t>Secretariat</w:t>
            </w:r>
          </w:p>
        </w:tc>
        <w:tc>
          <w:tcPr>
            <w:tcW w:type="dxa" w:w="6048"/>
            <w:shd w:val="clear" w:fill="F4F8F5"/>
          </w:tcPr>
          <w:p>
            <w:pPr>
              <w:spacing w:before="40" w:after="40"/>
            </w:pPr>
            <w:r/>
            <w:r>
              <w:rPr>
                <w:rFonts w:ascii="Calibri" w:hAnsi="Calibri"/>
                <w:b w:val="0"/>
                <w:color w:val="33403A"/>
                <w:sz w:val="16"/>
              </w:rPr>
              <w:t>Provision LLM and Groq API keys with per-participant quotas; provision and load the Elasticsearch cluster</w:t>
            </w:r>
          </w:p>
        </w:tc>
      </w:tr>
      <w:tr>
        <w:tc>
          <w:tcPr>
            <w:tcW w:type="dxa" w:w="1584"/>
          </w:tcPr>
          <w:p>
            <w:pPr>
              <w:spacing w:before="40" w:after="40"/>
            </w:pPr>
            <w:r/>
            <w:r>
              <w:rPr>
                <w:rFonts w:ascii="Calibri" w:hAnsi="Calibri"/>
                <w:b w:val="0"/>
                <w:color w:val="33403A"/>
                <w:sz w:val="16"/>
              </w:rPr>
              <w:t>T − 1 week</w:t>
            </w:r>
          </w:p>
        </w:tc>
        <w:tc>
          <w:tcPr>
            <w:tcW w:type="dxa" w:w="2160"/>
          </w:tcPr>
          <w:p>
            <w:pPr>
              <w:spacing w:before="40" w:after="40"/>
            </w:pPr>
            <w:r/>
            <w:r>
              <w:rPr>
                <w:rFonts w:ascii="Calibri" w:hAnsi="Calibri"/>
                <w:b w:val="0"/>
                <w:color w:val="33403A"/>
                <w:sz w:val="16"/>
              </w:rPr>
              <w:t>Technical assistants</w:t>
            </w:r>
          </w:p>
        </w:tc>
        <w:tc>
          <w:tcPr>
            <w:tcW w:type="dxa" w:w="6048"/>
          </w:tcPr>
          <w:p>
            <w:pPr>
              <w:spacing w:before="40" w:after="40"/>
            </w:pPr>
            <w:r/>
            <w:r>
              <w:rPr>
                <w:rFonts w:ascii="Calibri" w:hAnsi="Calibri"/>
                <w:b w:val="0"/>
                <w:color w:val="33403A"/>
                <w:sz w:val="16"/>
              </w:rPr>
              <w:t>Run the remote environment check — one hour, offered twice in two time zones — and resolve machine-level problems before Day 1</w:t>
            </w:r>
          </w:p>
        </w:tc>
      </w:tr>
      <w:tr>
        <w:tc>
          <w:tcPr>
            <w:tcW w:type="dxa" w:w="1584"/>
            <w:shd w:val="clear" w:fill="F4F8F5"/>
          </w:tcPr>
          <w:p>
            <w:pPr>
              <w:spacing w:before="40" w:after="40"/>
            </w:pPr>
            <w:r/>
            <w:r>
              <w:rPr>
                <w:rFonts w:ascii="Calibri" w:hAnsi="Calibri"/>
                <w:b w:val="0"/>
                <w:color w:val="33403A"/>
                <w:sz w:val="16"/>
              </w:rPr>
              <w:t>T − 1 week</w:t>
            </w:r>
          </w:p>
        </w:tc>
        <w:tc>
          <w:tcPr>
            <w:tcW w:type="dxa" w:w="2160"/>
            <w:shd w:val="clear" w:fill="F4F8F5"/>
          </w:tcPr>
          <w:p>
            <w:pPr>
              <w:spacing w:before="40" w:after="40"/>
            </w:pPr>
            <w:r/>
            <w:r>
              <w:rPr>
                <w:rFonts w:ascii="Calibri" w:hAnsi="Calibri"/>
                <w:b w:val="0"/>
                <w:color w:val="33403A"/>
                <w:sz w:val="16"/>
              </w:rPr>
              <w:t>Lead facilitator</w:t>
            </w:r>
          </w:p>
        </w:tc>
        <w:tc>
          <w:tcPr>
            <w:tcW w:type="dxa" w:w="6048"/>
            <w:shd w:val="clear" w:fill="F4F8F5"/>
          </w:tcPr>
          <w:p>
            <w:pPr>
              <w:spacing w:before="40" w:after="40"/>
            </w:pPr>
            <w:r/>
            <w:r>
              <w:rPr>
                <w:rFonts w:ascii="Calibri" w:hAnsi="Calibri"/>
                <w:b w:val="0"/>
                <w:color w:val="33403A"/>
                <w:sz w:val="16"/>
              </w:rPr>
              <w:t>Dry-run every laboratory end to end on a workshop-specification machine, timing each step</w:t>
            </w:r>
          </w:p>
        </w:tc>
      </w:tr>
      <w:tr>
        <w:tc>
          <w:tcPr>
            <w:tcW w:type="dxa" w:w="1584"/>
          </w:tcPr>
          <w:p>
            <w:pPr>
              <w:spacing w:before="40" w:after="40"/>
            </w:pPr>
            <w:r/>
            <w:r>
              <w:rPr>
                <w:rFonts w:ascii="Calibri" w:hAnsi="Calibri"/>
                <w:b w:val="0"/>
                <w:color w:val="33403A"/>
                <w:sz w:val="16"/>
              </w:rPr>
              <w:t>Day 0</w:t>
            </w:r>
          </w:p>
        </w:tc>
        <w:tc>
          <w:tcPr>
            <w:tcW w:type="dxa" w:w="2160"/>
          </w:tcPr>
          <w:p>
            <w:pPr>
              <w:spacing w:before="40" w:after="40"/>
            </w:pPr>
            <w:r/>
            <w:r>
              <w:rPr>
                <w:rFonts w:ascii="Calibri" w:hAnsi="Calibri"/>
                <w:b w:val="0"/>
                <w:color w:val="33403A"/>
                <w:sz w:val="16"/>
              </w:rPr>
              <w:t>All</w:t>
            </w:r>
          </w:p>
        </w:tc>
        <w:tc>
          <w:tcPr>
            <w:tcW w:type="dxa" w:w="6048"/>
          </w:tcPr>
          <w:p>
            <w:pPr>
              <w:spacing w:before="40" w:after="40"/>
            </w:pPr>
            <w:r/>
            <w:r>
              <w:rPr>
                <w:rFonts w:ascii="Calibri" w:hAnsi="Calibri"/>
                <w:b w:val="0"/>
                <w:color w:val="33403A"/>
                <w:sz w:val="16"/>
              </w:rPr>
              <w:t>Room and network test; distribution of the USB keys carrying all data, notebooks and slides</w:t>
            </w:r>
          </w:p>
        </w:tc>
      </w:tr>
      <w:tr>
        <w:tc>
          <w:tcPr>
            <w:tcW w:type="dxa" w:w="1584"/>
            <w:shd w:val="clear" w:fill="F4F8F5"/>
          </w:tcPr>
          <w:p>
            <w:pPr>
              <w:spacing w:before="40" w:after="40"/>
            </w:pPr>
            <w:r/>
            <w:r>
              <w:rPr>
                <w:rFonts w:ascii="Calibri" w:hAnsi="Calibri"/>
                <w:b w:val="0"/>
                <w:color w:val="33403A"/>
                <w:sz w:val="16"/>
              </w:rPr>
              <w:t>T + 1 week</w:t>
            </w:r>
          </w:p>
        </w:tc>
        <w:tc>
          <w:tcPr>
            <w:tcW w:type="dxa" w:w="2160"/>
            <w:shd w:val="clear" w:fill="F4F8F5"/>
          </w:tcPr>
          <w:p>
            <w:pPr>
              <w:spacing w:before="40" w:after="40"/>
            </w:pPr>
            <w:r/>
            <w:r>
              <w:rPr>
                <w:rFonts w:ascii="Calibri" w:hAnsi="Calibri"/>
                <w:b w:val="0"/>
                <w:color w:val="33403A"/>
                <w:sz w:val="16"/>
              </w:rPr>
              <w:t>Secretariat</w:t>
            </w:r>
          </w:p>
        </w:tc>
        <w:tc>
          <w:tcPr>
            <w:tcW w:type="dxa" w:w="6048"/>
            <w:shd w:val="clear" w:fill="F4F8F5"/>
          </w:tcPr>
          <w:p>
            <w:pPr>
              <w:spacing w:before="40" w:after="40"/>
            </w:pPr>
            <w:r/>
            <w:r>
              <w:rPr>
                <w:rFonts w:ascii="Calibri" w:hAnsi="Calibri"/>
                <w:b w:val="0"/>
                <w:color w:val="33403A"/>
                <w:sz w:val="16"/>
              </w:rPr>
              <w:t>Publish recordings and notebooks; consolidate the commitments board into a dated follow-up calendar circulated to the Bureau</w:t>
            </w:r>
          </w:p>
        </w:tc>
      </w:tr>
    </w:tbl>
    <w:p>
      <w:pPr>
        <w:pStyle w:val="Heading3"/>
        <w:spacing w:before="200" w:after="120"/>
      </w:pPr>
      <w:r>
        <w:rPr>
          <w:rFonts w:ascii="Cambria" w:hAnsi="Cambria"/>
          <w:b/>
          <w:color w:val="0A3527"/>
          <w:sz w:val="22"/>
        </w:rPr>
        <w:t>Known risks and how they are handled</w:t>
      </w:r>
    </w:p>
    <w:p>
      <w:pPr>
        <w:spacing w:after="120"/>
        <w:jc w:val="both"/>
      </w:pPr>
      <w:r>
        <w:rPr>
          <w:rFonts w:ascii="Calibri" w:hAnsi="Calibri"/>
          <w:i w:val="0"/>
          <w:color w:val="33403A"/>
          <w:sz w:val="19"/>
        </w:rPr>
        <w:t>Bandwidth is the most frequent cause of laboratory failure, which is why every dataset is mirrored locally and distributed on USB keys rather than downloaded during sessions. Failed or rate-limited API keys are handled by per-participant quotas provisioned in advance and by a facilitator-run demonstration path for each API-dependent step; in addition, every laboratory that uses a model has a documented path that runs without one. Heterogeneous laptops are absorbed by the Colab fallback, tested during the environment check rather than discovered on Day 1. Uneven skill levels are handled by the two-track notebooks and by pairing participants across levels from Day 3 onwards. Incomplete national data — a missing boundary file, an indicator available only at national level — is handled by the fully prepared reference country, so that no team loses a day. Finally, the Day 1 country exchange is the session most likely to overrun; a timekeeper is appointed and the synthesis slot absorbs any overflow.</w:t>
      </w:r>
    </w:p>
    <w:p>
      <w:pPr>
        <w:pStyle w:val="Heading1"/>
        <w:spacing w:before="280" w:after="120"/>
      </w:pPr>
      <w:r>
        <w:rPr>
          <w:rFonts w:ascii="Cambria" w:hAnsi="Cambria"/>
          <w:b/>
          <w:color w:val="C08A1E"/>
          <w:sz w:val="26"/>
        </w:rPr>
        <w:t>8  Practical requirements</w:t>
      </w:r>
    </w:p>
    <w:p>
      <w:pPr>
        <w:pStyle w:val="Heading3"/>
        <w:spacing w:before="200" w:after="120"/>
      </w:pPr>
      <w:r>
        <w:rPr>
          <w:rFonts w:ascii="Cambria" w:hAnsi="Cambria"/>
          <w:b/>
          <w:color w:val="0A3527"/>
          <w:sz w:val="22"/>
        </w:rPr>
        <w:t>Before the workshop</w:t>
      </w:r>
    </w:p>
    <w:p>
      <w:pPr>
        <w:spacing w:after="120"/>
        <w:jc w:val="both"/>
      </w:pPr>
      <w:r>
        <w:rPr>
          <w:rFonts w:ascii="Calibri" w:hAnsi="Calibri"/>
          <w:i w:val="0"/>
          <w:color w:val="33403A"/>
          <w:sz w:val="19"/>
        </w:rPr>
        <w:t>Three items are requested from each participant at least two weeks in advance, and the workshop does not run smoothly without them. First, a country input for the Day 1 morning exchange: a maximum of six slides on what has been attempted at home in AI and non-traditional data, including what did not work. Second, a personal GitHub account, since laboratory outputs are published publicly from Day 2 onwards. Third, the national data pack: an administrative boundary file, one national statistical publication for the Day 2 dashboard exercise, and at least one official subnational indicator — GDP, population or electrification rate — for the Day 4 validation. A short remote environment check is offered in the week before the workshop, and an environment-check notebook is distributed so that participants can run it themselves beforehand.</w:t>
      </w:r>
    </w:p>
    <w:p>
      <w:pPr>
        <w:pStyle w:val="Heading3"/>
        <w:spacing w:before="200" w:after="120"/>
      </w:pPr>
      <w:r>
        <w:rPr>
          <w:rFonts w:ascii="Cambria" w:hAnsi="Cambria"/>
          <w:b/>
          <w:color w:val="0A3527"/>
          <w:sz w:val="22"/>
        </w:rPr>
        <w:t>Participants</w:t>
      </w:r>
    </w:p>
    <w:p>
      <w:pPr>
        <w:spacing w:after="120"/>
        <w:jc w:val="both"/>
      </w:pPr>
      <w:r>
        <w:rPr>
          <w:rFonts w:ascii="Calibri" w:hAnsi="Calibri"/>
          <w:i w:val="0"/>
          <w:color w:val="33403A"/>
          <w:sz w:val="19"/>
        </w:rPr>
        <w:t>Laptop with administrator rights, 16 GB RAM recommended, and a stable internet connection. Participants work in country or sub-regional teams of two to four from Day 3 onwards; the same team carries its work through to the Friday presentation.</w:t>
      </w:r>
    </w:p>
    <w:p>
      <w:pPr>
        <w:pStyle w:val="Heading3"/>
        <w:spacing w:before="200" w:after="120"/>
      </w:pPr>
      <w:r>
        <w:rPr>
          <w:rFonts w:ascii="Cambria" w:hAnsi="Cambria"/>
          <w:b/>
          <w:color w:val="0A3527"/>
          <w:sz w:val="22"/>
        </w:rPr>
        <w:t>Facilitation</w:t>
      </w:r>
    </w:p>
    <w:p>
      <w:pPr>
        <w:spacing w:after="120"/>
        <w:jc w:val="both"/>
      </w:pPr>
      <w:r>
        <w:rPr>
          <w:rFonts w:ascii="Calibri" w:hAnsi="Calibri"/>
          <w:i w:val="0"/>
          <w:color w:val="33403A"/>
          <w:sz w:val="19"/>
        </w:rPr>
        <w:t>One lead facilitator supported by two technical assistants for laboratory support, at a ratio of roughly one assistant per ten participants. Remote participants are grouped into virtual breakout teams, each with a dedicated assistant. A resource person supports the visual identity and image-generation station on Day 2.</w:t>
      </w:r>
    </w:p>
    <w:p>
      <w:pPr>
        <w:pStyle w:val="Heading3"/>
        <w:spacing w:before="200" w:after="120"/>
      </w:pPr>
      <w:r>
        <w:rPr>
          <w:rFonts w:ascii="Cambria" w:hAnsi="Cambria"/>
          <w:b/>
          <w:color w:val="0A3527"/>
          <w:sz w:val="22"/>
        </w:rPr>
        <w:t>Technical set-up</w:t>
      </w:r>
    </w:p>
    <w:p>
      <w:pPr>
        <w:spacing w:after="120"/>
        <w:jc w:val="both"/>
      </w:pPr>
      <w:r>
        <w:rPr>
          <w:rFonts w:ascii="Calibri" w:hAnsi="Calibri"/>
          <w:i w:val="0"/>
          <w:color w:val="33403A"/>
          <w:sz w:val="19"/>
        </w:rPr>
        <w:t>A workshop GitHub organisation is created in advance and hosts all notebooks, dashboards and outputs. Every notebook opens directly in Google Colab from a badge and is also distributed on a USB key, so a restricted machine is never a blocker. API access to LLM providers, including Groq, is provisioned centrally with per-participant keys. Datasets — Ookla tiles, WorldPop rasters and the NTL subsets — are downloaded and mirrored locally in advance, since bandwidth is the single most common cause of laboratory delay. An Elasticsearch cluster is pre-provisioned and pre-loaded for Day 3, so that no session time is spent on installation.</w:t>
      </w:r>
    </w:p>
    <w:p>
      <w:pPr>
        <w:pStyle w:val="Heading3"/>
        <w:spacing w:before="200" w:after="120"/>
      </w:pPr>
      <w:r>
        <w:rPr>
          <w:rFonts w:ascii="Cambria" w:hAnsi="Cambria"/>
          <w:b/>
          <w:color w:val="0A3527"/>
          <w:sz w:val="22"/>
        </w:rPr>
        <w:t>Hybrid arrangements</w:t>
      </w:r>
    </w:p>
    <w:p>
      <w:pPr>
        <w:spacing w:after="120"/>
        <w:jc w:val="both"/>
      </w:pPr>
      <w:r>
        <w:rPr>
          <w:rFonts w:ascii="Calibri" w:hAnsi="Calibri"/>
          <w:i w:val="0"/>
          <w:color w:val="33403A"/>
          <w:sz w:val="19"/>
        </w:rPr>
        <w:t>Presentations are streamed with simultaneous interpretation. Laboratories run in mixed on-site and remote teams. All recordings, notebooks and published dashboards remain available afterwards as inputs to the brown bag webinar series (activity 1.3.1).</w:t>
      </w:r>
    </w:p>
    <w:p>
      <w:pPr>
        <w:spacing w:after="120"/>
        <w:jc w:val="both"/>
      </w:pPr>
      <w:r>
        <w:rPr>
          <w:rFonts w:ascii="Calibri" w:hAnsi="Calibri"/>
          <w:i/>
          <w:color w:val="6B7B75"/>
          <w:sz w:val="16"/>
        </w:rPr>
        <w:t>Generated from config/agenda.yml — the same source that produces the workshop website, the day pages and the laboratory register. Regenerate with tools/build_concept_note.py rather than editing this file, or the two will drift.</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