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455"/>
        <w:gridCol w:w="1365"/>
        <w:gridCol w:w="1682"/>
        <w:gridCol w:w="1976"/>
        <w:gridCol w:w="1389"/>
        <w:gridCol w:w="1915"/>
      </w:tblGrid>
      <w:tr>
        <w:trPr>
          <w:trHeight w:val="574"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Table IX - Publication Bias - PEESE</w:t>
            </w:r>
          </w:p>
        </w:tc>
      </w:tr>
      <w:tr>
        <w:trPr>
          <w:trHeight w:val="57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3L-VCV Effects</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0.116</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(0.024***)</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 Error^2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-0.034</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(0.923)</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1487</w:t>
            </w:r>
          </w:p>
        </w:tc>
      </w:tr>
      <w:tr>
        <w:trPr>
          <w:trHeight w:val="57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58476.1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-1552.2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-2296.5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The estimated 'overall' effect is the result of a regression of the estimate of the impact of GenAI in productivity, measured as percentage changes in productivity, on a constant and the square of the standard error of the estimate, to control for publication bias. The different models make different assumptions about the error terms as described in the text.</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2025-04-12T17:07:22Z</dcterms:modified>
  <cp:category/>
</cp:coreProperties>
</file>