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35.png" ContentType="image/png"/>
  <Override PartName="/word/media/rId49.png" ContentType="image/png"/>
  <Override PartName="/word/media/rId52.png" ContentType="image/png"/>
  <Override PartName="/word/media/rId16.png" ContentType="image/png"/>
  <Override PartName="/word/media/rId59.png" ContentType="image/png"/>
  <Override PartName="/word/media/rId56.png" ContentType="image/png"/>
  <Override PartName="/word/media/rId25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WildGuard</w:t>
      </w:r>
    </w:p>
    <w:p>
      <w:pPr>
        <w:pStyle w:val="Subtitle"/>
      </w:pPr>
      <w:r>
        <w:t xml:space="preserve">Cross-Dataset Label Transfer for Wildlife-Trade Risk Prioritisation — Final Project Report</w:t>
      </w:r>
    </w:p>
    <w:p>
      <w:pPr>
        <w:pStyle w:val="Author"/>
      </w:pPr>
      <w:r>
        <w:t xml:space="preserve">Group 37 · NUS-ISS Graduate Certificate in Pattern Recognition Systems · Practice Module</w:t>
      </w:r>
    </w:p>
    <w:p>
      <w:pPr>
        <w:pStyle w:val="Date"/>
      </w:pPr>
      <w:r>
        <w:t xml:space="preserve">October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Student ID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Abinaya Muruganandam</w:t>
            </w:r>
          </w:p>
        </w:tc>
        <w:tc>
          <w:tcPr/>
          <w:p>
            <w:pPr>
              <w:pStyle w:val="Compact"/>
            </w:pPr>
            <w:r>
              <w:t xml:space="preserve">A0181013X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Adhithi Muruganandam</w:t>
            </w:r>
          </w:p>
        </w:tc>
        <w:tc>
          <w:tcPr/>
          <w:p>
            <w:pPr>
              <w:pStyle w:val="Compact"/>
            </w:pPr>
            <w:r>
              <w:t xml:space="preserve">A0181014W</w:t>
            </w:r>
          </w:p>
        </w:tc>
        <w:tc>
          <w:tcPr/>
          <w:p>
            <w:pPr>
              <w:pStyle w:val="Compact"/>
            </w:pPr>
            <w:r>
              <w:t xml:space="preserve">Team Leader</w:t>
            </w:r>
          </w:p>
        </w:tc>
      </w:tr>
    </w:tbl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Wildlife trade is recorded at a scale no enforcement agency can inspect record by record: the</w:t>
      </w:r>
      <w:r>
        <w:t xml:space="preserve"> </w:t>
      </w:r>
      <w:r>
        <w:t xml:space="preserve">CITES Trade Database we used holds 29.2 million records since 1975, and roughly 800,000 new</w:t>
      </w:r>
      <w:r>
        <w:t xml:space="preserve"> </w:t>
      </w:r>
      <w:r>
        <w:t xml:space="preserve">animal-trade records are added each year. The signal that separates routine trade from trade</w:t>
      </w:r>
      <w:r>
        <w:t xml:space="preserve"> </w:t>
      </w:r>
      <w:r>
        <w:t xml:space="preserve">worth a closer look rarely sits in a single field. It sits in combinations of species, product</w:t>
      </w:r>
      <w:r>
        <w:t xml:space="preserve"> </w:t>
      </w:r>
      <w:r>
        <w:t xml:space="preserve">form, quantity, purpose, source and route, judged against what is normal for that species.</w:t>
      </w:r>
    </w:p>
    <w:p>
      <w:pPr>
        <w:pStyle w:val="BodyText"/>
      </w:pPr>
      <w:r>
        <w:rPr>
          <w:b/>
          <w:bCs/>
        </w:rPr>
        <w:t xml:space="preserve">WildGuard</w:t>
      </w:r>
      <w:r>
        <w:t xml:space="preserve"> </w:t>
      </w:r>
      <w:r>
        <w:t xml:space="preserve">is a pattern-recognition system that ranks wildlife-trade records for human</w:t>
      </w:r>
      <w:r>
        <w:t xml:space="preserve"> </w:t>
      </w:r>
      <w:r>
        <w:t xml:space="preserve">review. Its central idea is</w:t>
      </w:r>
      <w:r>
        <w:t xml:space="preserve"> </w:t>
      </w:r>
      <w:r>
        <w:rPr>
          <w:b/>
          <w:bCs/>
        </w:rPr>
        <w:t xml:space="preserve">cross-dataset label transfer</w:t>
      </w:r>
      <w:r>
        <w:t xml:space="preserve">. The US Fish &amp; Wildlife Service’s</w:t>
      </w:r>
      <w:r>
        <w:t xml:space="preserve"> </w:t>
      </w:r>
      <w:r>
        <w:t xml:space="preserve">LEMIS data records what inspectors actually did with 5.5 million import line items between 2000</w:t>
      </w:r>
      <w:r>
        <w:t xml:space="preserve"> </w:t>
      </w:r>
      <w:r>
        <w:t xml:space="preserve">and 2014 (cleared, refused, seized, abandoned or re-exported). WildGuard learns the patterns that</w:t>
      </w:r>
      <w:r>
        <w:t xml:space="preserve"> </w:t>
      </w:r>
      <w:r>
        <w:t xml:space="preserve">preceded enforcement action there, and applies them to the much larger CITES database, which has</w:t>
      </w:r>
      <w:r>
        <w:t xml:space="preserve"> </w:t>
      </w:r>
      <w:r>
        <w:t xml:space="preserve">global coverage but no enforcement labels. To make this possible we built a knowledge model that</w:t>
      </w:r>
      <w:r>
        <w:t xml:space="preserve"> </w:t>
      </w:r>
      <w:r>
        <w:t xml:space="preserve">maps both datasets onto one shared schema.</w:t>
      </w:r>
    </w:p>
    <w:p>
      <w:pPr>
        <w:pStyle w:val="BodyText"/>
      </w:pPr>
      <w:r>
        <w:t xml:space="preserve">The system combines a</w:t>
      </w:r>
      <w:r>
        <w:t xml:space="preserve"> </w:t>
      </w:r>
      <w:r>
        <w:rPr>
          <w:b/>
          <w:bCs/>
        </w:rPr>
        <w:t xml:space="preserve">supervised</w:t>
      </w:r>
      <w:r>
        <w:t xml:space="preserve"> </w:t>
      </w:r>
      <w:r>
        <w:t xml:space="preserve">gradient-boosted model trained on enforcement outcomes with</w:t>
      </w:r>
      <w:r>
        <w:t xml:space="preserve"> </w:t>
      </w:r>
      <w:r>
        <w:t xml:space="preserve">three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detectors (a peer-group deviation score, an Isolation Forest and K-Means</w:t>
      </w:r>
      <w:r>
        <w:t xml:space="preserve"> </w:t>
      </w:r>
      <w:r>
        <w:t xml:space="preserve">distance) through a</w:t>
      </w:r>
      <w:r>
        <w:t xml:space="preserve"> </w:t>
      </w:r>
      <w:r>
        <w:rPr>
          <w:b/>
          <w:bCs/>
        </w:rPr>
        <w:t xml:space="preserve">stacked hybrid</w:t>
      </w:r>
      <w:r>
        <w:t xml:space="preserve"> </w:t>
      </w:r>
      <w:r>
        <w:t xml:space="preserve">meta-learner. Every flag comes with plain-language reasons</w:t>
      </w:r>
      <w:r>
        <w:t xml:space="preserve"> </w:t>
      </w:r>
      <w:r>
        <w:t xml:space="preserve">derived from TreeSHAP contributions. A Streamlit application serves as the minimum viable product.</w:t>
      </w:r>
    </w:p>
    <w:p>
      <w:pPr>
        <w:pStyle w:val="BodyText"/>
      </w:pPr>
      <w:r>
        <w:rPr>
          <w:b/>
          <w:bCs/>
        </w:rPr>
        <w:t xml:space="preserve">Results on held-out data (LEMIS 2013–2014, never used for training or tuning):</w:t>
      </w:r>
    </w:p>
    <w:p>
      <w:pPr>
        <w:pStyle w:val="Compact"/>
        <w:numPr>
          <w:ilvl w:val="0"/>
          <w:numId w:val="1001"/>
        </w:numPr>
      </w:pPr>
      <w:r>
        <w:t xml:space="preserve">With an inspection budget of</w:t>
      </w:r>
      <w:r>
        <w:t xml:space="preserve"> </w:t>
      </w:r>
      <w:r>
        <w:rPr>
          <w:b/>
          <w:bCs/>
        </w:rPr>
        <w:t xml:space="preserve">5% of shipments, WildGuard catches 70% of real</w:t>
      </w:r>
      <w:r>
        <w:rPr>
          <w:b/>
          <w:bCs/>
        </w:rPr>
        <w:t xml:space="preserve"> </w:t>
      </w:r>
      <w:r>
        <w:rPr>
          <w:b/>
          <w:bCs/>
        </w:rPr>
        <w:t xml:space="preserve">enforcement cases</w:t>
      </w:r>
      <w:r>
        <w:t xml:space="preserve"> </w:t>
      </w:r>
      <w:r>
        <w:t xml:space="preserve">(random inspection: 5%; a</w:t>
      </w:r>
      <w:r>
        <w:t xml:space="preserve"> </w:t>
      </w:r>
      <w:r>
        <w:t xml:space="preserve">“most endangered first”</w:t>
      </w:r>
      <w:r>
        <w:t xml:space="preserve"> </w:t>
      </w:r>
      <w:r>
        <w:t xml:space="preserve">rule: 9%). 79% of</w:t>
      </w:r>
      <w:r>
        <w:t xml:space="preserve"> </w:t>
      </w:r>
      <w:r>
        <w:t xml:space="preserve">its top-1% flags were real cases, against a 1.6% base rate.</w:t>
      </w:r>
    </w:p>
    <w:p>
      <w:pPr>
        <w:pStyle w:val="Compact"/>
        <w:numPr>
          <w:ilvl w:val="0"/>
          <w:numId w:val="1001"/>
        </w:numPr>
      </w:pPr>
      <w:r>
        <w:t xml:space="preserve">Catching 80% of enforcement cases requires inspecting</w:t>
      </w:r>
      <w:r>
        <w:t xml:space="preserve"> </w:t>
      </w:r>
      <w:r>
        <w:rPr>
          <w:b/>
          <w:bCs/>
        </w:rPr>
        <w:t xml:space="preserve">13% of shipments instead of</w:t>
      </w:r>
      <w:r>
        <w:rPr>
          <w:b/>
          <w:bCs/>
        </w:rPr>
        <w:t xml:space="preserve"> </w:t>
      </w:r>
      <w:r>
        <w:rPr>
          <w:b/>
          <w:bCs/>
        </w:rPr>
        <w:t xml:space="preserve">80%</w:t>
      </w:r>
      <w:r>
        <w:t xml:space="preserve">, an 84% reduction in inspection workload.</w:t>
      </w:r>
    </w:p>
    <w:p>
      <w:pPr>
        <w:pStyle w:val="Compact"/>
        <w:numPr>
          <w:ilvl w:val="0"/>
          <w:numId w:val="1001"/>
        </w:numPr>
      </w:pPr>
      <w:r>
        <w:t xml:space="preserve">PR-AUC is</w:t>
      </w:r>
      <w:r>
        <w:t xml:space="preserve"> </w:t>
      </w:r>
      <w:r>
        <w:rPr>
          <w:b/>
          <w:bCs/>
        </w:rPr>
        <w:t xml:space="preserve">0.599</w:t>
      </w:r>
      <w:r>
        <w:t xml:space="preserve"> </w:t>
      </w:r>
      <w:r>
        <w:t xml:space="preserve">against 0.016 for random inspection. The hybrid beats its supervised</w:t>
      </w:r>
      <w:r>
        <w:t xml:space="preserve"> </w:t>
      </w:r>
      <w:r>
        <w:t xml:space="preserve">part (0.588), which beats unsupervised detection alone (0.050). Restricting the model to</w:t>
      </w:r>
      <w:r>
        <w:t xml:space="preserve"> </w:t>
      </w:r>
      <w:r>
        <w:t xml:space="preserve">fields CITES also records costs only 4% of PR-AUC.</w:t>
      </w:r>
    </w:p>
    <w:p>
      <w:pPr>
        <w:pStyle w:val="Compact"/>
        <w:numPr>
          <w:ilvl w:val="0"/>
          <w:numId w:val="1001"/>
        </w:numPr>
      </w:pPr>
      <w:r>
        <w:t xml:space="preserve">Under a simulated regional shift the ranking holds up (ROC-AUC 0.900 → 0.892), and</w:t>
      </w:r>
      <w:r>
        <w:t xml:space="preserve"> </w:t>
      </w:r>
      <w:r>
        <w:t xml:space="preserve">5% of target labels close 55% of the gap to a fully supervised target model.</w:t>
      </w:r>
    </w:p>
    <w:p>
      <w:pPr>
        <w:pStyle w:val="FirstParagraph"/>
      </w:pPr>
      <w:r>
        <w:rPr>
          <w:b/>
          <w:bCs/>
        </w:rPr>
        <w:t xml:space="preserve">Results on CITES (no labels).</w:t>
      </w:r>
      <w:r>
        <w:t xml:space="preserve"> </w:t>
      </w:r>
      <w:r>
        <w:t xml:space="preserve">WildGuard ranks 8.2 million CITES animal-trade records (2015–2024) into review tiers, after setting aside 33,266 records already marked as confiscated. Flags concentrate in horn, ivory, shells, teeth and bone, in pre-Convention and unknown-source claims, and in taxa such as musk deer, whales, elephants, sea turtles and saiga. Two independent checks support the ranking without any CITES labels. First, species groups over-represented in UNODC seizure data relative to their legal trade are flagged more often (Spearman ρ = 0.864, p = 0.0001; the listing rule shows no such relationship). Second, a model that never sees the source field ranks CITES’s confiscated-specimen records far above the rest (ROC-AUC 0.87).</w:t>
      </w:r>
    </w:p>
    <w:p>
      <w:pPr>
        <w:pStyle w:val="BodyText"/>
      </w:pPr>
      <w:r>
        <w:t xml:space="preserve">The honest scope of the claim: a WildGuard flag means</w:t>
      </w:r>
      <w:r>
        <w:t xml:space="preserve"> </w:t>
      </w:r>
      <w:r>
        <w:rPr>
          <w:i/>
          <w:iCs/>
        </w:rPr>
        <w:t xml:space="preserve">this record resembles shipments that</w:t>
      </w:r>
      <w:r>
        <w:rPr>
          <w:i/>
          <w:iCs/>
        </w:rPr>
        <w:t xml:space="preserve"> </w:t>
      </w:r>
      <w:r>
        <w:rPr>
          <w:i/>
          <w:iCs/>
        </w:rPr>
        <w:t xml:space="preserve">historically drew enforcement action, or deviates sharply from normal trade for its species</w:t>
      </w:r>
      <w:r>
        <w:t xml:space="preserve">. It</w:t>
      </w:r>
      <w:r>
        <w:t xml:space="preserve"> </w:t>
      </w:r>
      <w:r>
        <w:t xml:space="preserve">is a prompt for limited human attention, not evidence that a law was broken.</w:t>
      </w:r>
    </w:p>
    <w:bookmarkEnd w:id="9"/>
    <w:bookmarkStart w:id="15" w:name="introduction"/>
    <w:p>
      <w:pPr>
        <w:pStyle w:val="Heading1"/>
      </w:pPr>
      <w:r>
        <w:t xml:space="preserve">1. Introduction</w:t>
      </w:r>
    </w:p>
    <w:bookmarkStart w:id="10" w:name="the-problem"/>
    <w:p>
      <w:pPr>
        <w:pStyle w:val="Heading2"/>
      </w:pPr>
      <w:r>
        <w:t xml:space="preserve">1.1 The problem</w:t>
      </w:r>
    </w:p>
    <w:p>
      <w:pPr>
        <w:pStyle w:val="FirstParagraph"/>
      </w:pPr>
      <w:r>
        <w:t xml:space="preserve">International trade in wild animals and plants is regulated under the Convention on</w:t>
      </w:r>
      <w:r>
        <w:t xml:space="preserve"> </w:t>
      </w:r>
      <w:r>
        <w:t xml:space="preserve">International Trade in Endangered Species of Wild Fauna and Flora (CITES). Parties report their</w:t>
      </w:r>
      <w:r>
        <w:t xml:space="preserve"> </w:t>
      </w:r>
      <w:r>
        <w:t xml:space="preserve">permitted trade annually, and those reports are compiled by UNEP-WCMC into the CITES Trade</w:t>
      </w:r>
      <w:r>
        <w:t xml:space="preserve"> </w:t>
      </w:r>
      <w:r>
        <w:t xml:space="preserve">Database. The full download we used (version 2026.1) contains</w:t>
      </w:r>
      <w:r>
        <w:t xml:space="preserve"> </w:t>
      </w:r>
      <w:r>
        <w:rPr>
          <w:b/>
          <w:bCs/>
        </w:rPr>
        <w:t xml:space="preserve">29,170,051 records</w:t>
      </w:r>
      <w:r>
        <w:t xml:space="preserve"> </w:t>
      </w:r>
      <w:r>
        <w:t xml:space="preserve">from 1975 to</w:t>
      </w:r>
      <w:r>
        <w:t xml:space="preserve"> </w:t>
      </w:r>
      <w:r>
        <w:t xml:space="preserve">2026. Illegal trade is common enough that UNODC’s</w:t>
      </w:r>
      <w:r>
        <w:t xml:space="preserve"> </w:t>
      </w:r>
      <w:r>
        <w:rPr>
          <w:i/>
          <w:iCs/>
        </w:rPr>
        <w:t xml:space="preserve">World Wildlife Crime Report 2024</w:t>
      </w:r>
      <w:r>
        <w:t xml:space="preserve"> </w:t>
      </w:r>
      <w:r>
        <w:t xml:space="preserve">analysed about</w:t>
      </w:r>
      <w:r>
        <w:t xml:space="preserve"> </w:t>
      </w:r>
      <w:r>
        <w:t xml:space="preserve">140,000 seizures across 162 countries over 2015–2021, involving around 4,000 species (UNODC,</w:t>
      </w:r>
      <w:r>
        <w:t xml:space="preserve"> </w:t>
      </w:r>
      <w:r>
        <w:t xml:space="preserve">2024).</w:t>
      </w:r>
    </w:p>
    <w:p>
      <w:pPr>
        <w:pStyle w:val="BodyText"/>
      </w:pPr>
      <w:r>
        <w:t xml:space="preserve">Enforcement agencies cannot inspect everything. The CITES Secretariat and the World Customs</w:t>
      </w:r>
      <w:r>
        <w:t xml:space="preserve"> </w:t>
      </w:r>
      <w:r>
        <w:t xml:space="preserve">Organization developed</w:t>
      </w:r>
      <w:r>
        <w:t xml:space="preserve"> </w:t>
      </w:r>
      <w:r>
        <w:rPr>
          <w:i/>
          <w:iCs/>
        </w:rPr>
        <w:t xml:space="preserve">Guidance on Risk Assessment and Inspections for CITES Trade Controls</w:t>
      </w:r>
      <w:r>
        <w:t xml:space="preserve"> </w:t>
      </w:r>
      <w:r>
        <w:t xml:space="preserve">(CITES Notification No. 2025/015). CoP20 decisions in December 2025 (Decisions 20.130–20.131)</w:t>
      </w:r>
      <w:r>
        <w:t xml:space="preserve"> </w:t>
      </w:r>
      <w:r>
        <w:t xml:space="preserve">encourage Parties to use and share experience with it. The guidance exists because inspection</w:t>
      </w:r>
      <w:r>
        <w:t xml:space="preserve"> </w:t>
      </w:r>
      <w:r>
        <w:t xml:space="preserve">resources must be targeted, but in most agencies that targeting is still a manual, officer-driven</w:t>
      </w:r>
      <w:r>
        <w:t xml:space="preserve"> </w:t>
      </w:r>
      <w:r>
        <w:t xml:space="preserve">process.</w:t>
      </w:r>
    </w:p>
    <w:bookmarkEnd w:id="10"/>
    <w:bookmarkStart w:id="12" w:name="why-pattern-recognition"/>
    <w:p>
      <w:pPr>
        <w:pStyle w:val="Heading2"/>
      </w:pPr>
      <w:r>
        <w:t xml:space="preserve">1.2 Why pattern recognition</w:t>
      </w:r>
    </w:p>
    <w:p>
      <w:pPr>
        <w:pStyle w:val="FirstParagraph"/>
      </w:pPr>
      <w:r>
        <w:t xml:space="preserve">Three properties make this a pattern-recognition problem rather than a reporting problem: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Scale.</w:t>
      </w:r>
      <w:r>
        <w:t xml:space="preserve"> </w:t>
      </w:r>
      <w:r>
        <w:t xml:space="preserve">Hundreds of thousands of new records arrive each year, far beyond manual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signal is a pattern, not a field.</w:t>
      </w:r>
      <w:r>
        <w:t xml:space="preserve"> </w:t>
      </w:r>
      <w:r>
        <w:t xml:space="preserve">In February 2000 a shipment of two live, wild-caught</w:t>
      </w:r>
      <w:r>
        <w:t xml:space="preserve"> </w:t>
      </w:r>
      <w:r>
        <w:t xml:space="preserve">Indian star tortoises (</w:t>
      </w:r>
      <w:r>
        <w:rPr>
          <w:i/>
          <w:iCs/>
        </w:rPr>
        <w:t xml:space="preserve">Geochelone elegans</w:t>
      </w:r>
      <w:r>
        <w:t xml:space="preserve">) arrived from Malaysia, declared as a personal</w:t>
      </w:r>
      <w:r>
        <w:t xml:space="preserve"> </w:t>
      </w:r>
      <w:r>
        <w:t xml:space="preserve">import worth $800 (LEMIS control number 2000709917). On its own it looks unremarkable. Against</w:t>
      </w:r>
      <w:r>
        <w:t xml:space="preserve"> </w:t>
      </w:r>
      <w:r>
        <w:t xml:space="preserve">its peers it does not: of the 1,063 wild-caught live</w:t>
      </w:r>
      <w:r>
        <w:t xml:space="preserve"> </w:t>
      </w:r>
      <w:r>
        <w:rPr>
          <w:i/>
          <w:iCs/>
        </w:rPr>
        <w:t xml:space="preserve">Geochelone</w:t>
      </w:r>
      <w:r>
        <w:t xml:space="preserve"> </w:t>
      </w:r>
      <w:r>
        <w:t xml:space="preserve">line items imported with a</w:t>
      </w:r>
      <w:r>
        <w:t xml:space="preserve"> </w:t>
      </w:r>
      <w:r>
        <w:t xml:space="preserve">declared value in 2000–2014, 99% were commercial, typically 3–25 animals (median 10) at a</w:t>
      </w:r>
      <w:r>
        <w:t xml:space="preserve"> </w:t>
      </w:r>
      <w:r>
        <w:t xml:space="preserve">median of $35 per animal. This one was personal-purpose and priced at $400 per animal, 11 times</w:t>
      </w:r>
      <w:r>
        <w:t xml:space="preserve"> </w:t>
      </w:r>
      <w:r>
        <w:t xml:space="preserve">the median. Personal-purpose imports of live</w:t>
      </w:r>
      <w:r>
        <w:t xml:space="preserve"> </w:t>
      </w:r>
      <w:r>
        <w:rPr>
          <w:i/>
          <w:iCs/>
        </w:rPr>
        <w:t xml:space="preserve">Geochelone</w:t>
      </w:r>
      <w:r>
        <w:t xml:space="preserve"> </w:t>
      </w:r>
      <w:r>
        <w:t xml:space="preserve">were refused 32% of the time, against</w:t>
      </w:r>
      <w:r>
        <w:t xml:space="preserve"> </w:t>
      </w:r>
      <w:r>
        <w:t xml:space="preserve">3.5% for commercial ones. This shipment was seized. Detecting such a case requires comparing</w:t>
      </w:r>
      <w:r>
        <w:t xml:space="preserve"> </w:t>
      </w:r>
      <w:r>
        <w:t xml:space="preserve">each record with its peers across several fields at once.</w:t>
      </w:r>
      <w:r>
        <w:rPr>
          <w:rStyle w:val="FootnoteReference"/>
        </w:rPr>
        <w:footnoteReference w:id="11"/>
      </w:r>
    </w:p>
    <w:bookmarkEnd w:id="12"/>
    <w:bookmarkStart w:id="13" w:name="objective-and-research-questions"/>
    <w:p>
      <w:pPr>
        <w:pStyle w:val="Heading2"/>
      </w:pPr>
      <w:r>
        <w:t xml:space="preserve">1.3 Objective and research questions</w:t>
      </w:r>
    </w:p>
    <w:p>
      <w:pPr>
        <w:pStyle w:val="Block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use real enforcement outcomes recorded in one national wildlife-trade dataset</w:t>
      </w:r>
      <w:r>
        <w:t xml:space="preserve"> </w:t>
      </w:r>
      <w:r>
        <w:t xml:space="preserve">(LEMIS) to build a statistically grounded system that ranks records for human review in the</w:t>
      </w:r>
      <w:r>
        <w:t xml:space="preserve"> </w:t>
      </w:r>
      <w:r>
        <w:t xml:space="preserve">much larger, unlabelled global CITES database.</w:t>
      </w:r>
    </w:p>
    <w:p>
      <w:pPr>
        <w:pStyle w:val="FirstParagraph"/>
      </w:pPr>
      <w:r>
        <w:t xml:space="preserve">We framed the project around five questions, so that its value is measured rather than asserted: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420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Where it is answered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Does it work — can enforcement outcomes be predicted on shipments the model never saw?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Is it useful — how much inspection effort does it save compared with random or rule-based inspection?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Does combining supervised and unsupervised evidence help?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Does it transfer — what happens under distribution shift, and which adaptation steps help?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What does it surface in CITES, and is that plausible against independent evidence?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</w:tr>
    </w:tbl>
    <w:bookmarkEnd w:id="13"/>
    <w:bookmarkStart w:id="14" w:name="what-a-flag-means"/>
    <w:p>
      <w:pPr>
        <w:pStyle w:val="Heading2"/>
      </w:pPr>
      <w:r>
        <w:t xml:space="preserve">1.4 What a flag means</w:t>
      </w:r>
    </w:p>
    <w:p>
      <w:pPr>
        <w:pStyle w:val="FirstParagraph"/>
      </w:pPr>
      <w:r>
        <w:t xml:space="preserve">WildGuard is a</w:t>
      </w:r>
      <w:r>
        <w:t xml:space="preserve"> </w:t>
      </w:r>
      <w:r>
        <w:rPr>
          <w:b/>
          <w:bCs/>
        </w:rPr>
        <w:t xml:space="preserve">triage aid</w:t>
      </w:r>
      <w:r>
        <w:t xml:space="preserve">. The label it learns is an enforcement outcome. That outcome is</w:t>
      </w:r>
      <w:r>
        <w:t xml:space="preserve"> </w:t>
      </w:r>
      <w:r>
        <w:t xml:space="preserve">often a paperwork refusal, not proof of trafficking, and LEMIS reflects US enforcement</w:t>
      </w:r>
      <w:r>
        <w:t xml:space="preserve"> </w:t>
      </w:r>
      <w:r>
        <w:t xml:space="preserve">priorities. On CITES no ground truth exists, so the system</w:t>
      </w:r>
      <w:r>
        <w:t xml:space="preserve"> </w:t>
      </w:r>
      <w:r>
        <w:rPr>
          <w:i/>
          <w:iCs/>
        </w:rPr>
        <w:t xml:space="preserve">ranks</w:t>
      </w:r>
      <w:r>
        <w:t xml:space="preserve"> </w:t>
      </w:r>
      <w:r>
        <w:t xml:space="preserve">records within an inspection</w:t>
      </w:r>
      <w:r>
        <w:t xml:space="preserve"> </w:t>
      </w:r>
      <w:r>
        <w:t xml:space="preserve">budget instead of claiming calibrated probabilities. Every output is meant to be reviewed by a</w:t>
      </w:r>
      <w:r>
        <w:t xml:space="preserve"> </w:t>
      </w:r>
      <w:r>
        <w:t xml:space="preserve">person.</w:t>
      </w:r>
    </w:p>
    <w:bookmarkEnd w:id="14"/>
    <w:bookmarkEnd w:id="15"/>
    <w:bookmarkStart w:id="19" w:name="X5e2506fcffc38f887e16dc95bbf65cd9289c09c"/>
    <w:p>
      <w:pPr>
        <w:pStyle w:val="Heading1"/>
      </w:pPr>
      <w:r>
        <w:t xml:space="preserve">2. Project journey: from image fusion to label transfer</w:t>
      </w:r>
    </w:p>
    <w:p>
      <w:pPr>
        <w:pStyle w:val="FirstParagraph"/>
      </w:pPr>
      <w:r>
        <w:t xml:space="preserve">Our submitted proposal (15 September 2026) described a hybrid system that fused structured CITES</w:t>
      </w:r>
      <w:r>
        <w:t xml:space="preserve"> </w:t>
      </w:r>
      <w:r>
        <w:t xml:space="preserve">and seizure records with visual recognition of pangolin products. While preparing the first</w:t>
      </w:r>
      <w:r>
        <w:t xml:space="preserve"> </w:t>
      </w:r>
      <w:r>
        <w:t xml:space="preserve">presentation we re-examined that design and dropped it, for three groups of reasons</w:t>
      </w:r>
      <w:r>
        <w:t xml:space="preserve"> </w:t>
      </w:r>
      <w:r>
        <w:t xml:space="preserve">(Figure 1):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Modality and fairness.</w:t>
      </w:r>
      <w:r>
        <w:t xml:space="preserve"> </w:t>
      </w:r>
      <w:r>
        <w:t xml:space="preserve">The visual stream covered one species (pangolins); the structured</w:t>
      </w:r>
      <w:r>
        <w:t xml:space="preserve"> </w:t>
      </w:r>
      <w:r>
        <w:t xml:space="preserve">stream covered all CITES taxa. Treating missing images as weaker evidence would systematically</w:t>
      </w:r>
      <w:r>
        <w:t xml:space="preserve"> </w:t>
      </w:r>
      <w:r>
        <w:t xml:space="preserve">suppress scores for every non-pangolin case, and positive visual evidence would systematically</w:t>
      </w:r>
      <w:r>
        <w:t xml:space="preserve"> </w:t>
      </w:r>
      <w:r>
        <w:t xml:space="preserve">inflate pangolin cases, independent of true risk. The two streams were not even guaranteed to</w:t>
      </w:r>
      <w:r>
        <w:t xml:space="preserve"> </w:t>
      </w:r>
      <w:r>
        <w:t xml:space="preserve">describe the same shipment. Proving that</w:t>
      </w:r>
      <w:r>
        <w:t xml:space="preserve"> </w:t>
      </w:r>
      <w:r>
        <w:t xml:space="preserve">“hybrid beats single-stream”</w:t>
      </w:r>
      <w:r>
        <w:t xml:space="preserve"> </w:t>
      </w:r>
      <w:r>
        <w:t xml:space="preserve">would have been hard for</w:t>
      </w:r>
      <w:r>
        <w:t xml:space="preserve"> </w:t>
      </w:r>
      <w:r>
        <w:t xml:space="preserve">one species and impossible across all of them. Published work on modality imbalance and</w:t>
      </w:r>
      <w:r>
        <w:t xml:space="preserve"> </w:t>
      </w:r>
      <w:r>
        <w:t xml:space="preserve">“greedy”</w:t>
      </w:r>
      <w:r>
        <w:t xml:space="preserve"> </w:t>
      </w:r>
      <w:r>
        <w:t xml:space="preserve">multimodal learning shows naive fusion can lose to the best single modality when one</w:t>
      </w:r>
      <w:r>
        <w:t xml:space="preserve"> </w:t>
      </w:r>
      <w:r>
        <w:t xml:space="preserve">modality is sparse (Wang et al., 2020; Wu et al., 2022; Peng et al., 2022).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Usefulness.</w:t>
      </w:r>
      <w:r>
        <w:t xml:space="preserve"> </w:t>
      </w:r>
      <w:r>
        <w:t xml:space="preserve">The system would mostly have restated what is already known (</w:t>
      </w:r>
      <w:r>
        <w:t xml:space="preserve">“pangolins are</w:t>
      </w:r>
      <w:r>
        <w:t xml:space="preserve"> </w:t>
      </w:r>
      <w:r>
        <w:t xml:space="preserve">heavily trafficked”</w:t>
      </w:r>
      <w:r>
        <w:t xml:space="preserve">) rather than saying which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record deserves attention now.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feasibility.</w:t>
      </w:r>
      <w:r>
        <w:t xml:space="preserve"> </w:t>
      </w:r>
      <w:r>
        <w:t xml:space="preserve">The candidate pangolin image datasets were available only on request; our</w:t>
      </w:r>
      <w:r>
        <w:t xml:space="preserve"> </w:t>
      </w:r>
      <w:r>
        <w:t xml:space="preserve">request to Cardoso et al. received no response. Synthetic augmentation of a small seed set</w:t>
      </w:r>
      <w:r>
        <w:t xml:space="preserve"> </w:t>
      </w:r>
      <w:r>
        <w:t xml:space="preserve">would have introduced a synthetic-to-real domain gap.</w:t>
      </w:r>
    </w:p>
    <w:p>
      <w:pPr>
        <w:pStyle w:val="CaptionedFigure"/>
      </w:pPr>
      <w:r>
        <w:drawing>
          <wp:inline>
            <wp:extent cx="5067300" cy="3424850"/>
            <wp:effectExtent b="0" l="0" r="0" t="0"/>
            <wp:docPr descr="Figure 1 – Decision path from the original proposal to the current direction (presented at the first presentation, 30 September 2026)." title="" id="17" name="Picture"/>
            <a:graphic>
              <a:graphicData uri="http://schemas.openxmlformats.org/drawingml/2006/picture">
                <pic:pic>
                  <pic:nvPicPr>
                    <pic:cNvPr descr="figures/decision_tre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2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– Decision path from the original proposal to the current direction (presented at the first presentation, 30 September 2026).</w:t>
      </w:r>
    </w:p>
    <w:p>
      <w:pPr>
        <w:pStyle w:val="BodyText"/>
      </w:pPr>
      <w:r>
        <w:t xml:space="preserve">The new direction keeps a single modality (structured trade records) and uses two large, real,</w:t>
      </w:r>
      <w:r>
        <w:t xml:space="preserve"> </w:t>
      </w:r>
      <w:r>
        <w:t xml:space="preserve">freely downloadable datasets that complement each other’s gaps:</w:t>
      </w:r>
      <w:r>
        <w:t xml:space="preserve"> </w:t>
      </w:r>
      <w:r>
        <w:rPr>
          <w:b/>
          <w:bCs/>
        </w:rPr>
        <w:t xml:space="preserve">LEMIS has labels but only US</w:t>
      </w:r>
      <w:r>
        <w:rPr>
          <w:b/>
          <w:bCs/>
        </w:rPr>
        <w:t xml:space="preserve"> </w:t>
      </w:r>
      <w:r>
        <w:rPr>
          <w:b/>
          <w:bCs/>
        </w:rPr>
        <w:t xml:space="preserve">scope; CITES has global scope but no labels.</w:t>
      </w:r>
      <w:r>
        <w:t xml:space="preserve"> </w:t>
      </w:r>
      <w:r>
        <w:t xml:space="preserve">In our literature search we found no published</w:t>
      </w:r>
      <w:r>
        <w:t xml:space="preserve"> </w:t>
      </w:r>
      <w:r>
        <w:t xml:space="preserve">work that transfers LEMIS enforcement outcomes to CITES records. The closest precedent was an</w:t>
      </w:r>
      <w:r>
        <w:t xml:space="preserve"> </w:t>
      </w:r>
      <w:r>
        <w:t xml:space="preserve">informal analysis that applied LEMIS labels to commercial shipping records rather than to CITES.</w:t>
      </w:r>
      <w:r>
        <w:t xml:space="preserve"> </w:t>
      </w:r>
      <w:r>
        <w:t xml:space="preserve">The contribution is therefore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of established techniques in a new combination,</w:t>
      </w:r>
      <w:r>
        <w:t xml:space="preserve"> </w:t>
      </w:r>
      <w:r>
        <w:t xml:space="preserve">not a new algorithm.</w:t>
      </w:r>
    </w:p>
    <w:bookmarkEnd w:id="19"/>
    <w:bookmarkStart w:id="24" w:name="data"/>
    <w:p>
      <w:pPr>
        <w:pStyle w:val="Heading1"/>
      </w:pPr>
      <w:r>
        <w:t xml:space="preserve">3. Data</w:t>
      </w:r>
    </w:p>
    <w:bookmarkStart w:id="20" w:name="sources"/>
    <w:p>
      <w:pPr>
        <w:pStyle w:val="Heading2"/>
      </w:pPr>
      <w:r>
        <w:t xml:space="preserve">3.1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LEMIS (US Fish &amp; Wildlife Service)</w:t>
            </w:r>
          </w:p>
        </w:tc>
        <w:tc>
          <w:tcPr/>
          <w:p>
            <w:pPr>
              <w:pStyle w:val="Compact"/>
            </w:pPr>
            <w:r>
              <w:t xml:space="preserve">CITES Trade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Every wildlife import declared to USFWS</w:t>
            </w:r>
          </w:p>
        </w:tc>
        <w:tc>
          <w:tcPr/>
          <w:p>
            <w:pPr>
              <w:pStyle w:val="Compact"/>
            </w:pPr>
            <w:r>
              <w:t xml:space="preserve">Trade in CITES-listed species, reported by all Parties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Zenodo record 3565869, v1.1.0 (Eskew et al., 2019; 2020)</w:t>
            </w:r>
          </w:p>
        </w:tc>
        <w:tc>
          <w:tcPr/>
          <w:p>
            <w:pPr>
              <w:pStyle w:val="Compact"/>
            </w:pPr>
            <w:r>
              <w:t xml:space="preserve">Full download v2026.1 (UNEP-WCMC)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5,512,706 import line items in 2,088,676 shipments</w:t>
            </w:r>
          </w:p>
        </w:tc>
        <w:tc>
          <w:tcPr/>
          <w:p>
            <w:pPr>
              <w:pStyle w:val="Compact"/>
            </w:pPr>
            <w:r>
              <w:t xml:space="preserve">29,170,051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 used</w:t>
            </w:r>
          </w:p>
        </w:tc>
        <w:tc>
          <w:tcPr/>
          <w:p>
            <w:pPr>
              <w:pStyle w:val="Compact"/>
            </w:pPr>
            <w:r>
              <w:t xml:space="preserve">2000–2014 (all)</w:t>
            </w:r>
          </w:p>
        </w:tc>
        <w:tc>
          <w:tcPr/>
          <w:p>
            <w:pPr>
              <w:pStyle w:val="Compact"/>
            </w:pPr>
            <w:r>
              <w:t xml:space="preserve">Animal records 2015–2024 for scoring (8,247,093); 2013–2014 US-reported records for the alignment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(Cleared/Refused),</w:t>
            </w:r>
            <w:r>
              <w:t xml:space="preserve"> </w:t>
            </w:r>
            <w:r>
              <w:rPr>
                <w:rStyle w:val="VerbatimChar"/>
              </w:rPr>
              <w:t xml:space="preserve">disposition</w:t>
            </w:r>
            <w:r>
              <w:t xml:space="preserve"> </w:t>
            </w:r>
            <w:r>
              <w:t xml:space="preserve">(Cleared/Seized/Abandoned/Re-exported)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Declared value</w:t>
            </w:r>
          </w:p>
        </w:tc>
        <w:tc>
          <w:tcPr/>
          <w:p>
            <w:pPr>
              <w:pStyle w:val="Compact"/>
            </w:pPr>
            <w:r>
              <w:t xml:space="preserve">yes (USD)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Both datasets were checked for updates during the project. LEMIS v1.1.0 is the latest Zenodo</w:t>
      </w:r>
      <w:r>
        <w:t xml:space="preserve"> </w:t>
      </w:r>
      <w:r>
        <w:t xml:space="preserve">version and is a one-off release. CITES v2026.1 is the current annual bulk release; its most</w:t>
      </w:r>
      <w:r>
        <w:t xml:space="preserve"> </w:t>
      </w:r>
      <w:r>
        <w:t xml:space="preserve">recent years are incomplete because Parties report with a lag.</w:t>
      </w:r>
    </w:p>
    <w:bookmarkEnd w:id="20"/>
    <w:bookmarkStart w:id="21" w:name="label-and-class-imbalance"/>
    <w:p>
      <w:pPr>
        <w:pStyle w:val="Heading2"/>
      </w:pPr>
      <w:r>
        <w:t xml:space="preserve">3.2 Label and class imbalance</w:t>
      </w:r>
    </w:p>
    <w:p>
      <w:pPr>
        <w:pStyle w:val="FirstParagraph"/>
      </w:pPr>
      <w:r>
        <w:t xml:space="preserve">A LEMIS line item is labelled an</w:t>
      </w:r>
      <w:r>
        <w:t xml:space="preserve"> </w:t>
      </w:r>
      <w:r>
        <w:rPr>
          <w:b/>
          <w:bCs/>
        </w:rPr>
        <w:t xml:space="preserve">enforcement case</w:t>
      </w:r>
      <w:r>
        <w:t xml:space="preserve"> </w:t>
      </w:r>
      <w:r>
        <w:t xml:space="preserve">if it was refused (</w:t>
      </w:r>
      <w:r>
        <w:rPr>
          <w:rStyle w:val="VerbatimChar"/>
        </w:rPr>
        <w:t xml:space="preserve">action = R</w:t>
      </w:r>
      <w:r>
        <w:t xml:space="preserve">) or its</w:t>
      </w:r>
      <w:r>
        <w:t xml:space="preserve"> </w:t>
      </w:r>
      <w:r>
        <w:t xml:space="preserve">disposition was seized, abandoned or re-exported. This gives</w:t>
      </w:r>
      <w:r>
        <w:t xml:space="preserve"> </w:t>
      </w:r>
      <w:r>
        <w:rPr>
          <w:b/>
          <w:bCs/>
        </w:rPr>
        <w:t xml:space="preserve">95,665 positives (1.74%)</w:t>
      </w:r>
      <w:r>
        <w:t xml:space="preserve">. Among</w:t>
      </w:r>
      <w:r>
        <w:t xml:space="preserve"> </w:t>
      </w:r>
      <w:r>
        <w:t xml:space="preserve">them, 53,030 were seized, 22,257 abandoned and 18,235 re-exported; the remainder were refused</w:t>
      </w:r>
      <w:r>
        <w:t xml:space="preserve"> </w:t>
      </w:r>
      <w:r>
        <w:t xml:space="preserve">with another or missing disposition. The positive rate is stable across years (1.5–2.2%), which</w:t>
      </w:r>
      <w:r>
        <w:t xml:space="preserve"> </w:t>
      </w:r>
      <w:r>
        <w:t xml:space="preserve">makes a temporal split meaningful. Labels are effectively shipment-level: only 1.0% of</w:t>
      </w:r>
      <w:r>
        <w:t xml:space="preserve"> </w:t>
      </w:r>
      <w:r>
        <w:t xml:space="preserve">multi-item shipments have mixed outcomes.</w:t>
      </w:r>
    </w:p>
    <w:p>
      <w:pPr>
        <w:pStyle w:val="BodyText"/>
      </w:pPr>
      <w:r>
        <w:t xml:space="preserve">At a 1.7% positive rate, accuracy is uninformative: clearing everything scores 98.3%. We</w:t>
      </w:r>
      <w:r>
        <w:t xml:space="preserve"> </w:t>
      </w:r>
      <w:r>
        <w:t xml:space="preserve">therefore evaluate with ranking and budget metrics (§6.1).</w:t>
      </w:r>
    </w:p>
    <w:bookmarkEnd w:id="21"/>
    <w:bookmarkStart w:id="22" w:name="what-the-raw-data-already-says"/>
    <w:p>
      <w:pPr>
        <w:pStyle w:val="Heading2"/>
      </w:pPr>
      <w:r>
        <w:t xml:space="preserve">3.3 What the raw data already says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Enforcement rate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Enforcement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Purpose: personal (P)</w:t>
            </w:r>
          </w:p>
        </w:tc>
        <w:tc>
          <w:tcPr/>
          <w:p>
            <w:pPr>
              <w:pStyle w:val="Compact"/>
            </w:pPr>
            <w:r>
              <w:t xml:space="preserve">25.5%</w:t>
            </w:r>
          </w:p>
        </w:tc>
        <w:tc>
          <w:tcPr/>
          <w:p>
            <w:pPr>
              <w:pStyle w:val="Compact"/>
            </w:pPr>
            <w:r>
              <w:t xml:space="preserve">Source: confiscated (I)</w:t>
            </w:r>
          </w:p>
        </w:tc>
        <w:tc>
          <w:tcPr/>
          <w:p>
            <w:pPr>
              <w:pStyle w:val="Compact"/>
            </w:pPr>
            <w:r>
              <w:t xml:space="preserve">74.6%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Purpose: commercial (T)</w:t>
            </w:r>
          </w:p>
        </w:tc>
        <w:tc>
          <w:tcPr/>
          <w:p>
            <w:pPr>
              <w:pStyle w:val="Compact"/>
            </w:pPr>
            <w:r>
              <w:t xml:space="preserve">0.98%</w:t>
            </w:r>
          </w:p>
        </w:tc>
        <w:tc>
          <w:tcPr/>
          <w:p>
            <w:pPr>
              <w:pStyle w:val="Compact"/>
            </w:pPr>
            <w:r>
              <w:t xml:space="preserve">Source: unknown (U)</w:t>
            </w:r>
          </w:p>
        </w:tc>
        <w:tc>
          <w:tcPr/>
          <w:p>
            <w:pPr>
              <w:pStyle w:val="Compact"/>
            </w:pPr>
            <w:r>
              <w:t xml:space="preserve">25.6%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Purpose: hunting trophy (H)</w:t>
            </w:r>
          </w:p>
        </w:tc>
        <w:tc>
          <w:tcPr/>
          <w:p>
            <w:pPr>
              <w:pStyle w:val="Compact"/>
            </w:pPr>
            <w:r>
              <w:t xml:space="preserve">0.55%</w:t>
            </w:r>
          </w:p>
        </w:tc>
        <w:tc>
          <w:tcPr/>
          <w:p>
            <w:pPr>
              <w:pStyle w:val="Compact"/>
            </w:pPr>
            <w:r>
              <w:t xml:space="preserve">Source: wild (W)</w:t>
            </w:r>
          </w:p>
        </w:tc>
        <w:tc>
          <w:tcPr/>
          <w:p>
            <w:pPr>
              <w:pStyle w:val="Compact"/>
            </w:pPr>
            <w:r>
              <w:t xml:space="preserve">1.76%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Product: caviar</w:t>
            </w:r>
          </w:p>
        </w:tc>
        <w:tc>
          <w:tcPr/>
          <w:p>
            <w:pPr>
              <w:pStyle w:val="Compact"/>
            </w:pPr>
            <w:r>
              <w:t xml:space="preserve">29.5%</w:t>
            </w:r>
          </w:p>
        </w:tc>
        <w:tc>
          <w:tcPr/>
          <w:p>
            <w:pPr>
              <w:pStyle w:val="Compact"/>
            </w:pPr>
            <w:r>
              <w:t xml:space="preserve">Source: captive-bred (C)</w:t>
            </w:r>
          </w:p>
        </w:tc>
        <w:tc>
          <w:tcPr/>
          <w:p>
            <w:pPr>
              <w:pStyle w:val="Compact"/>
            </w:pPr>
            <w:r>
              <w:t xml:space="preserve">0.56%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Product: extracts / medicine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  <w:tc>
          <w:tcPr/>
          <w:p>
            <w:pPr>
              <w:pStyle w:val="Compact"/>
            </w:pPr>
            <w:r>
              <w:t xml:space="preserve">Appendix I species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Product: ivory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Appendix II species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Product: live animals</w:t>
            </w:r>
          </w:p>
        </w:tc>
        <w:tc>
          <w:tcPr/>
          <w:p>
            <w:pPr>
              <w:pStyle w:val="Compact"/>
            </w:pPr>
            <w:r>
              <w:t xml:space="preserve">0.52%</w:t>
            </w:r>
          </w:p>
        </w:tc>
        <w:tc>
          <w:tcPr/>
          <w:p>
            <w:pPr>
              <w:pStyle w:val="Compact"/>
            </w:pPr>
            <w:r>
              <w:t xml:space="preserve">Not CITES-listed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</w:tr>
    </w:tbl>
    <w:p>
      <w:pPr>
        <w:pStyle w:val="BodyText"/>
      </w:pPr>
      <w:r>
        <w:t xml:space="preserve">Half of all enforcement cases (49.6%) are personal imports, typically wildlife products in</w:t>
      </w:r>
      <w:r>
        <w:t xml:space="preserve"> </w:t>
      </w:r>
      <w:r>
        <w:t xml:space="preserve">travellers’ luggage: wild-sourced personal</w:t>
      </w:r>
      <w:r>
        <w:t xml:space="preserve"> </w:t>
      </w:r>
      <w:r>
        <w:t xml:space="preserve">“extracts/medicine”</w:t>
      </w:r>
      <w:r>
        <w:t xml:space="preserve"> </w:t>
      </w:r>
      <w:r>
        <w:t xml:space="preserve">is refused 96% of the time.</w:t>
      </w:r>
      <w:r>
        <w:t xml:space="preserve"> </w:t>
      </w:r>
      <w:r>
        <w:t xml:space="preserve">Commercial imports account for 41.9% of cases. This matters for transfer, because CITES records</w:t>
      </w:r>
      <w:r>
        <w:t xml:space="preserve"> </w:t>
      </w:r>
      <w:r>
        <w:t xml:space="preserve">are overwhelmingly commercial (purpose T in 90.0% of 2015–2024 animal records; personal purpose in only 3.2%). We therefore also report</w:t>
      </w:r>
      <w:r>
        <w:t xml:space="preserve"> </w:t>
      </w:r>
      <w:r>
        <w:t xml:space="preserve">a commercial-only evaluation (§6.5).</w:t>
      </w:r>
    </w:p>
    <w:bookmarkEnd w:id="22"/>
    <w:bookmarkStart w:id="23" w:name="schema-alignment-the-knowledge-model"/>
    <w:p>
      <w:pPr>
        <w:pStyle w:val="Heading2"/>
      </w:pPr>
      <w:r>
        <w:t xml:space="preserve">3.4 Schema alignment — the knowledge model</w:t>
      </w:r>
    </w:p>
    <w:p>
      <w:pPr>
        <w:pStyle w:val="FirstParagraph"/>
      </w:pPr>
      <w:r>
        <w:t xml:space="preserve">LEMIS and CITES describe the same kind of event in different vocabularies. We built an explicit</w:t>
      </w:r>
      <w:r>
        <w:t xml:space="preserve"> </w:t>
      </w:r>
      <w:r>
        <w:t xml:space="preserve">crosswalk (</w:t>
      </w:r>
      <w:r>
        <w:rPr>
          <w:rStyle w:val="VerbatimChar"/>
        </w:rPr>
        <w:t xml:space="preserve">schema_alignment.py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301"/>
        <w:gridCol w:w="2301"/>
        <w:gridCol w:w="2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LEMIS</w:t>
            </w:r>
          </w:p>
        </w:tc>
        <w:tc>
          <w:tcPr/>
          <w:p>
            <w:pPr>
              <w:pStyle w:val="Compact"/>
            </w:pPr>
            <w:r>
              <w:t xml:space="preserve">CITES</w:t>
            </w:r>
          </w:p>
        </w:tc>
        <w:tc>
          <w:tcPr/>
          <w:p>
            <w:pPr>
              <w:pStyle w:val="Compact"/>
            </w:pPr>
            <w:r>
              <w:t xml:space="preserve">Shared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form</w:t>
            </w:r>
          </w:p>
        </w:tc>
        <w:tc>
          <w:tcPr/>
          <w:p>
            <w:pPr>
              <w:pStyle w:val="Compact"/>
            </w:pPr>
            <w:r>
              <w:t xml:space="preserve">94 three-letter codes (</w:t>
            </w:r>
            <w:r>
              <w:rPr>
                <w:rStyle w:val="VerbatimChar"/>
              </w:rPr>
              <w:t xml:space="preserve">LIV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IVC</w:t>
            </w:r>
            <w:r>
              <w:t xml:space="preserve"> 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t xml:space="preserve">101 English terms (</w:t>
            </w:r>
            <w:r>
              <w:rPr>
                <w:rStyle w:val="VerbatimChar"/>
              </w:rPr>
              <w:t xml:space="preserve">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skins</w:t>
            </w:r>
            <w:r>
              <w:t xml:space="preserve"> 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t xml:space="preserve">31 product groups (live vs dead, raw vs worked; ivory, horn and bone kept apart)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</w:t>
            </w:r>
            <w:r>
              <w:t xml:space="preserve"> 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, blank = number …</w:t>
            </w:r>
          </w:p>
        </w:tc>
        <w:tc>
          <w:tcPr/>
          <w:p>
            <w:pPr>
              <w:pStyle w:val="Compact"/>
            </w:pPr>
            <w:r>
              <w:t xml:space="preserve">count / kg / litre / m / m² / m³, quantities converted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Source, purpose</w:t>
            </w:r>
          </w:p>
        </w:tc>
        <w:tc>
          <w:tcPr/>
          <w:p>
            <w:pPr>
              <w:pStyle w:val="Compact"/>
            </w:pPr>
            <w:r>
              <w:t xml:space="preserve">CITES letter codes</w:t>
            </w:r>
          </w:p>
        </w:tc>
        <w:tc>
          <w:tcPr/>
          <w:p>
            <w:pPr>
              <w:pStyle w:val="Compact"/>
            </w:pPr>
            <w:r>
              <w:t xml:space="preserve">CITES letter codes</w:t>
            </w:r>
          </w:p>
        </w:tc>
        <w:tc>
          <w:tcPr/>
          <w:p>
            <w:pPr>
              <w:pStyle w:val="Compact"/>
            </w:pPr>
            <w:r>
              <w:t xml:space="preserve">identical (unmapped →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ISO-3166 alpha-2</w:t>
            </w:r>
          </w:p>
        </w:tc>
        <w:tc>
          <w:tcPr/>
          <w:p>
            <w:pPr>
              <w:pStyle w:val="Compact"/>
            </w:pPr>
            <w:r>
              <w:t xml:space="preserve">ISO-3166 alpha-2</w:t>
            </w:r>
          </w:p>
        </w:tc>
        <w:tc>
          <w:tcPr/>
          <w:p>
            <w:pPr>
              <w:pStyle w:val="Compact"/>
            </w:pPr>
            <w:r>
              <w:t xml:space="preserve">identical, plus world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</w:t>
            </w:r>
          </w:p>
        </w:tc>
        <w:tc>
          <w:tcPr/>
          <w:p>
            <w:pPr>
              <w:pStyle w:val="Compact"/>
            </w:pPr>
            <w:r>
              <w:t xml:space="preserve">genus, species, class</w:t>
            </w:r>
          </w:p>
        </w:tc>
        <w:tc>
          <w:tcPr/>
          <w:p>
            <w:pPr>
              <w:pStyle w:val="Compact"/>
            </w:pPr>
            <w:r>
              <w:t xml:space="preserve">taxon, genus, family, order, class</w:t>
            </w:r>
          </w:p>
        </w:tc>
        <w:tc>
          <w:tcPr/>
          <w:p>
            <w:pPr>
              <w:pStyle w:val="Compact"/>
            </w:pPr>
            <w:r>
              <w:t xml:space="preserve">genus, class (</w:t>
            </w:r>
            <w:r>
              <w:rPr>
                <w:i/>
                <w:iCs/>
              </w:rPr>
              <w:t xml:space="preserve">Actinopterygii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i/>
                <w:iCs/>
              </w:rPr>
              <w:t xml:space="preserve">Actinopteri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CITES appendix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recorded</w:t>
            </w:r>
          </w:p>
        </w:tc>
        <w:tc>
          <w:tcPr/>
          <w:p>
            <w:pPr>
              <w:pStyle w:val="Compact"/>
            </w:pPr>
            <w:r>
              <w:t xml:space="preserve">looked up for LEMIS taxa from CITES (species, then genus)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Declared value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used only by the LEMIS-only</w:t>
            </w:r>
            <w:r>
              <w:t xml:space="preserve"> </w:t>
            </w:r>
            <w:r>
              <w:t xml:space="preserve">“full”</w:t>
            </w:r>
            <w:r>
              <w:t xml:space="preserve"> </w:t>
            </w:r>
            <w:r>
              <w:t xml:space="preserve">model</w:t>
            </w:r>
          </w:p>
        </w:tc>
      </w:tr>
    </w:tbl>
    <w:p>
      <w:pPr>
        <w:pStyle w:val="BodyText"/>
      </w:pPr>
      <w:r>
        <w:t xml:space="preserve">After mapping, only 0.5% of LEMIS and 0.03% of CITES animal records fall into the residual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product group. The alignment was checked empirically with a domain classifier and the</w:t>
      </w:r>
      <w:r>
        <w:t xml:space="preserve"> </w:t>
      </w:r>
      <w:r>
        <w:t xml:space="preserve">population stability index (§6.6 B).</w:t>
      </w:r>
    </w:p>
    <w:bookmarkEnd w:id="23"/>
    <w:bookmarkEnd w:id="24"/>
    <w:bookmarkStart w:id="45" w:name="system-design"/>
    <w:p>
      <w:pPr>
        <w:pStyle w:val="Heading1"/>
      </w:pPr>
      <w:r>
        <w:t xml:space="preserve">4. System design</w:t>
      </w:r>
    </w:p>
    <w:bookmarkStart w:id="28" w:name="architecture"/>
    <w:p>
      <w:pPr>
        <w:pStyle w:val="Heading2"/>
      </w:pPr>
      <w:r>
        <w:t xml:space="preserve">4.1 Architecture</w:t>
      </w:r>
    </w:p>
    <w:p>
      <w:pPr>
        <w:pStyle w:val="CaptionedFigure"/>
      </w:pPr>
      <w:r>
        <w:drawing>
          <wp:inline>
            <wp:extent cx="5334000" cy="2297723"/>
            <wp:effectExtent b="0" l="0" r="0" t="0"/>
            <wp:docPr descr="Figure 2 – WildGuard architecture. The LEMIS lane trains and evaluates every component with real labels; the CITES lane re-uses the mapping, the trained model and the combiner weights, re-learns peer norms and re-fits the label-free detectors on CITES itself." title="" id="26" name="Picture"/>
            <a:graphic>
              <a:graphicData uri="http://schemas.openxmlformats.org/drawingml/2006/picture">
                <pic:pic>
                  <pic:nvPicPr>
                    <pic:cNvPr descr="figures/system_architec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– WildGuard architecture. The LEMIS lane trains and evaluates every component with real labels; the CITES lane re-uses the mapping, the trained model and the combiner weights, re-learns peer norms and re-fits the label-free detectors on CITES itself.</w:t>
      </w:r>
    </w:p>
    <w:p>
      <w:pPr>
        <w:pStyle w:val="BodyText"/>
      </w:pPr>
      <w:r>
        <w:t xml:space="preserve">The pipeline is implemented as a Python package (</w:t>
      </w:r>
      <w:r>
        <w:rPr>
          <w:rStyle w:val="VerbatimChar"/>
        </w:rPr>
        <w:t xml:space="preserve">SYSTEM CODE/wildguard/</w:t>
      </w:r>
      <w:r>
        <w:t xml:space="preserve">) and runs end to end</w:t>
      </w:r>
      <w:r>
        <w:t xml:space="preserve"> </w:t>
      </w:r>
      <w:r>
        <w:t xml:space="preserve">with one script (</w:t>
      </w:r>
      <w:r>
        <w:rPr>
          <w:rStyle w:val="VerbatimChar"/>
        </w:rPr>
        <w:t xml:space="preserve">run_pipeline.sh</w:t>
      </w:r>
      <w:r>
        <w:t xml:space="preserve">). DuckDB streams the ~6 GB of raw CSV into aligned Parquet</w:t>
      </w:r>
      <w:r>
        <w:t xml:space="preserve"> </w:t>
      </w:r>
      <w:r>
        <w:t xml:space="preserve">files; all modelling uses pandas, scikit-learn and XGBoost.</w:t>
      </w:r>
    </w:p>
    <w:bookmarkEnd w:id="28"/>
    <w:bookmarkStart w:id="29" w:name="relative-risk-features"/>
    <w:p>
      <w:pPr>
        <w:pStyle w:val="Heading2"/>
      </w:pPr>
      <w:r>
        <w:t xml:space="preserve">4.2 Relative risk features</w:t>
      </w:r>
    </w:p>
    <w:p>
      <w:pPr>
        <w:pStyle w:val="FirstParagraph"/>
      </w:pPr>
      <w:r>
        <w:t xml:space="preserve">The worked tortoise example shows that risk lies in</w:t>
      </w:r>
      <w:r>
        <w:t xml:space="preserve"> </w:t>
      </w:r>
      <w:r>
        <w:rPr>
          <w:i/>
          <w:iCs/>
        </w:rPr>
        <w:t xml:space="preserve">deviation from a record’s peers</w:t>
      </w:r>
      <w:r>
        <w:t xml:space="preserve">. Most</w:t>
      </w:r>
      <w:r>
        <w:t xml:space="preserve"> </w:t>
      </w:r>
      <w:r>
        <w:t xml:space="preserve">features are therefore relative, and relative features also transfer better across datasets than</w:t>
      </w:r>
      <w:r>
        <w:t xml:space="preserve"> </w:t>
      </w:r>
      <w:r>
        <w:t xml:space="preserve">absolute ones.</w:t>
      </w:r>
      <w:r>
        <w:t xml:space="preserve"> </w:t>
      </w:r>
      <w:r>
        <w:t xml:space="preserve">“Ten times the usual quantity for this species and product”</w:t>
      </w:r>
      <w:r>
        <w:t xml:space="preserve"> </w:t>
      </w:r>
      <w:r>
        <w:t xml:space="preserve">means the same in</w:t>
      </w:r>
      <w:r>
        <w:t xml:space="preserve"> </w:t>
      </w:r>
      <w:r>
        <w:t xml:space="preserve">LEMIS and CITES even though their absolute volumes differ.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qty_z</w:t>
            </w:r>
          </w:p>
        </w:tc>
        <w:tc>
          <w:tcPr/>
          <w:p>
            <w:pPr>
              <w:pStyle w:val="Compact"/>
            </w:pPr>
            <w:r>
              <w:t xml:space="preserve">Robust z-score of log quantity within the peer group (genus × product group × unit), using median and MAD; backs off to class level for groups under 20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unit_value_z</w:t>
            </w:r>
            <w:r>
              <w:t xml:space="preserve"> </w:t>
            </w:r>
            <w:r>
              <w:t xml:space="preserve">(LEMIS only)</w:t>
            </w:r>
          </w:p>
        </w:tc>
        <w:tc>
          <w:tcPr/>
          <w:p>
            <w:pPr>
              <w:pStyle w:val="Compact"/>
            </w:pPr>
            <w:r>
              <w:t xml:space="preserve">Robust z-score of log declared value per unit within the peer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route_n_log</w:t>
            </w:r>
          </w:p>
        </w:tc>
        <w:tc>
          <w:tcPr/>
          <w:p>
            <w:pPr>
              <w:pStyle w:val="Compact"/>
            </w:pPr>
            <w:r>
              <w:t xml:space="preserve">Share of the genus’s records exported by this country; route volume per million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combo_rarity</w:t>
            </w:r>
          </w:p>
        </w:tc>
        <w:tc>
          <w:tcPr/>
          <w:p>
            <w:pPr>
              <w:pStyle w:val="Compact"/>
            </w:pPr>
            <w:r>
              <w:t xml:space="preserve">−log₁₀ frequency of the product × purpose × source combination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purpose_share_in_genus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source_share_in_genus</w:t>
            </w:r>
          </w:p>
        </w:tc>
        <w:tc>
          <w:tcPr/>
          <w:p>
            <w:pPr>
              <w:pStyle w:val="Compact"/>
            </w:pPr>
            <w:r>
              <w:t xml:space="preserve">How common this purpose / source is for this genus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peer_n_log</w:t>
            </w:r>
          </w:p>
        </w:tc>
        <w:tc>
          <w:tcPr/>
          <w:p>
            <w:pPr>
              <w:pStyle w:val="Compact"/>
            </w:pPr>
            <w:r>
              <w:t xml:space="preserve">Size of the peer group, per million records (thin groups are less certain)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reexport_flag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is_wild</w:t>
            </w:r>
          </w:p>
        </w:tc>
        <w:tc>
          <w:tcPr/>
          <w:p>
            <w:pPr>
              <w:pStyle w:val="Compact"/>
            </w:pPr>
            <w:r>
              <w:t xml:space="preserve">Origin ≠ exporter; source = wild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class, product group, unit group, purpose, source, CITES appendix, origin/exporter region, top-300 genus, top-120 origin and exporter countries</w:t>
            </w:r>
          </w:p>
        </w:tc>
      </w:tr>
    </w:tbl>
    <w:p>
      <w:pPr>
        <w:pStyle w:val="BodyText"/>
      </w:pPr>
      <w:r>
        <w:t xml:space="preserve">Peer norms are always learned from a</w:t>
      </w:r>
      <w:r>
        <w:t xml:space="preserve"> </w:t>
      </w:r>
      <w:r>
        <w:rPr>
          <w:i/>
          <w:iCs/>
        </w:rPr>
        <w:t xml:space="preserve">reference population</w:t>
      </w:r>
      <w:r>
        <w:t xml:space="preserve">: the LEMIS training years when</w:t>
      </w:r>
      <w:r>
        <w:t xml:space="preserve"> </w:t>
      </w:r>
      <w:r>
        <w:t xml:space="preserve">training, or CITES itself when scoring CITES. The genus and country vocabulary always comes from</w:t>
      </w:r>
      <w:r>
        <w:t xml:space="preserve"> </w:t>
      </w:r>
      <w:r>
        <w:t xml:space="preserve">the training data. Counts are expressed per million records so that they mean the same thing in</w:t>
      </w:r>
      <w:r>
        <w:t xml:space="preserve"> </w:t>
      </w:r>
      <w:r>
        <w:t xml:space="preserve">populations of different size.</w:t>
      </w:r>
    </w:p>
    <w:p>
      <w:pPr>
        <w:pStyle w:val="BodyText"/>
      </w:pPr>
      <w:r>
        <w:t xml:space="preserve">Two feature sets are trained in parallel: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</w:t>
      </w:r>
      <w:r>
        <w:t xml:space="preserve">: all features, including LEMIS-only declared value, unit value, entry port and month.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Transfer</w:t>
      </w:r>
      <w:r>
        <w:t xml:space="preserve">: only fields that also exist in CITES. This is the model deployed on CITES.</w:t>
      </w:r>
    </w:p>
    <w:bookmarkEnd w:id="29"/>
    <w:bookmarkStart w:id="30" w:name="supervised-learning"/>
    <w:p>
      <w:pPr>
        <w:pStyle w:val="Heading2"/>
      </w:pPr>
      <w:r>
        <w:t xml:space="preserve">4.3 Supervised learning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(gradient-boosted trees; histogram method with native categorical support, depth</w:t>
      </w:r>
      <w:r>
        <w:t xml:space="preserve"> </w:t>
      </w:r>
      <w:r>
        <w:t xml:space="preserve">8, learning rate 0.08, row/column subsampling 0.8,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t xml:space="preserve">= √(neg/pos) ≈ 7.5).</w:t>
      </w:r>
      <w:r>
        <w:t xml:space="preserve"> </w:t>
      </w:r>
      <w:r>
        <w:t xml:space="preserve">Early stopping on validation PR-AUC selected 326 (transfer) and 227 (full) boosting rounds.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(300 trees, depth 18, balanced class weights, 600k-row subsample) and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(one-hot plus standardised numerics, balanced weights) as comparison</w:t>
      </w:r>
      <w:r>
        <w:t xml:space="preserve"> </w:t>
      </w:r>
      <w:r>
        <w:t xml:space="preserve">models.</w:t>
      </w:r>
    </w:p>
    <w:bookmarkEnd w:id="30"/>
    <w:bookmarkStart w:id="31" w:name="unsupervised-learning"/>
    <w:p>
      <w:pPr>
        <w:pStyle w:val="Heading2"/>
      </w:pPr>
      <w:r>
        <w:t xml:space="preserve">4.4 Unsupervised learning</w:t>
      </w:r>
    </w:p>
    <w:p>
      <w:pPr>
        <w:pStyle w:val="FirstParagraph"/>
      </w:pPr>
      <w:r>
        <w:t xml:space="preserve">Three detectors score how anomalous a record is</w:t>
      </w:r>
      <w:r>
        <w:t xml:space="preserve"> </w:t>
      </w:r>
      <w:r>
        <w:rPr>
          <w:b/>
          <w:bCs/>
        </w:rPr>
        <w:t xml:space="preserve">without using labels</w:t>
      </w:r>
      <w:r>
        <w:t xml:space="preserve">, so they can be fitted on</w:t>
      </w:r>
      <w:r>
        <w:t xml:space="preserve"> </w:t>
      </w:r>
      <w:r>
        <w:t xml:space="preserve">any unlabelled stream, including CITES: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Peer-deviation score</w:t>
      </w:r>
      <w:r>
        <w:t xml:space="preserve">: a transparent statistical score that averages the capped |qty_z|,</w:t>
      </w:r>
      <w:r>
        <w:t xml:space="preserve"> </w:t>
      </w:r>
      <w:r>
        <w:t xml:space="preserve">route rarity, combination rarity and purpose/source rarity (plus |unit_value_z| in the full</w:t>
      </w:r>
      <w:r>
        <w:t xml:space="preserve"> </w:t>
      </w:r>
      <w:r>
        <w:t xml:space="preserve">variant).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Isolation Forest</w:t>
      </w:r>
      <w:r>
        <w:t xml:space="preserve">: 200 trees on the deviation features, fitted on a 300k-record sample.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K-Means distance</w:t>
      </w:r>
      <w:r>
        <w:t xml:space="preserve">: trade profiles are clustered with MiniBatch K-Means. k is chosen from</w:t>
      </w:r>
      <w:r>
        <w:t xml:space="preserve"> </w:t>
      </w:r>
      <w:r>
        <w:t xml:space="preserve">{4, 6, 8, 10, 12} by silhouette score and checked for stability with the adjusted Rand index</w:t>
      </w:r>
      <w:r>
        <w:t xml:space="preserve"> </w:t>
      </w:r>
      <w:r>
        <w:t xml:space="preserve">between two independent fits. The anomaly score is the distance to the nearest centroid divided</w:t>
      </w:r>
      <w:r>
        <w:t xml:space="preserve"> </w:t>
      </w:r>
      <w:r>
        <w:t xml:space="preserve">by that cluster’s 95th-percentile distance. The selected k was 12 (transfer features) and 10 (full features).</w:t>
      </w:r>
    </w:p>
    <w:p>
      <w:pPr>
        <w:pStyle w:val="FirstParagraph"/>
      </w:pPr>
      <w:r>
        <w:t xml:space="preserve">Each detector’s raw score is mapped to a percentile within its own reference population, so</w:t>
      </w:r>
      <w:r>
        <w:t xml:space="preserve"> </w:t>
      </w:r>
      <w:r>
        <w:t xml:space="preserve">detectors fitted on different datasets share one 0–1 scale.</w:t>
      </w:r>
    </w:p>
    <w:bookmarkEnd w:id="31"/>
    <w:bookmarkStart w:id="32" w:name="hybrid-stacking"/>
    <w:p>
      <w:pPr>
        <w:pStyle w:val="Heading2"/>
      </w:pPr>
      <w:r>
        <w:t xml:space="preserve">4.5 Hybrid stacking</w:t>
      </w:r>
    </w:p>
    <w:p>
      <w:pPr>
        <w:pStyle w:val="FirstParagraph"/>
      </w:pPr>
      <w:r>
        <w:t xml:space="preserve">A logistic-regression meta-learner combines four inputs: the supervised logit and the percentile</w:t>
      </w:r>
      <w:r>
        <w:t xml:space="preserve"> </w:t>
      </w:r>
      <w:r>
        <w:t xml:space="preserve">ranks of the three detectors. It is fitted on the</w:t>
      </w:r>
      <w:r>
        <w:t xml:space="preserve"> </w:t>
      </w:r>
      <w:r>
        <w:rPr>
          <w:b/>
          <w:bCs/>
        </w:rPr>
        <w:t xml:space="preserve">validation years (2011–2012)</w:t>
      </w:r>
      <w:r>
        <w:t xml:space="preserve"> </w:t>
      </w:r>
      <w:r>
        <w:t xml:space="preserve">only, so it</w:t>
      </w:r>
      <w:r>
        <w:t xml:space="preserve"> </w:t>
      </w:r>
      <w:r>
        <w:t xml:space="preserve">never sees the training data’s in-sample predictions or the test years. Its output is the</w:t>
      </w:r>
      <w:r>
        <w:t xml:space="preserve"> </w:t>
      </w:r>
      <w:r>
        <w:t xml:space="preserve">WildGuard risk score. Learned weights for the transfer stack: supervised logit 0.85, Isolation Forest 1.18, peer deviation 0.36, K-Means 0.01.</w:t>
      </w:r>
    </w:p>
    <w:bookmarkEnd w:id="32"/>
    <w:bookmarkStart w:id="33" w:name="explanations"/>
    <w:p>
      <w:pPr>
        <w:pStyle w:val="Heading2"/>
      </w:pPr>
      <w:r>
        <w:t xml:space="preserve">4.6 Explanations</w:t>
      </w:r>
    </w:p>
    <w:p>
      <w:pPr>
        <w:pStyle w:val="FirstParagraph"/>
      </w:pPr>
      <w:r>
        <w:t xml:space="preserve">For every flagged record, XGBoost’s exact per-feature contributions (TreeSHAP,</w:t>
      </w:r>
      <w:r>
        <w:t xml:space="preserve"> </w:t>
      </w:r>
      <w:r>
        <w:rPr>
          <w:rStyle w:val="VerbatimChar"/>
        </w:rPr>
        <w:t xml:space="preserve">pred_contribs</w:t>
      </w:r>
      <w:r>
        <w:t xml:space="preserve">) identify the inputs that pushed the risk up. The top three are turned into</w:t>
      </w:r>
      <w:r>
        <w:t xml:space="preserve"> </w:t>
      </w:r>
      <w:r>
        <w:t xml:space="preserve">plain-language reasons that an analyst can check against the record. For the tortoise shipment</w:t>
      </w:r>
      <w:r>
        <w:t xml:space="preserve"> </w:t>
      </w:r>
      <w:r>
        <w:t xml:space="preserve">of §1.2 these are</w:t>
      </w:r>
      <w:r>
        <w:t xml:space="preserve"> </w:t>
      </w:r>
      <w:r>
        <w:rPr>
          <w:i/>
          <w:iCs/>
        </w:rPr>
        <w:t xml:space="preserve">“declared purpose</w:t>
      </w:r>
      <w:r>
        <w:rPr>
          <w:i/>
          <w:iCs/>
        </w:rPr>
        <w:t xml:space="preserve"> </w:t>
      </w:r>
      <w:r>
        <w:rPr>
          <w:i/>
          <w:iCs/>
        </w:rPr>
        <w:t xml:space="preserve">‘Personal’</w:t>
      </w:r>
      <w:r>
        <w:rPr>
          <w:i/>
          <w:iCs/>
        </w:rPr>
        <w:t xml:space="preserve"> </w:t>
      </w:r>
      <w:r>
        <w:rPr>
          <w:i/>
          <w:iCs/>
        </w:rPr>
        <w:t xml:space="preserve">– only 5.9% of Geochelone records”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“rare</w:t>
      </w:r>
      <w:r>
        <w:rPr>
          <w:i/>
          <w:iCs/>
        </w:rPr>
        <w:t xml:space="preserve"> </w:t>
      </w:r>
      <w:r>
        <w:rPr>
          <w:i/>
          <w:iCs/>
        </w:rPr>
        <w:t xml:space="preserve">route: Malaysia accounts for 0.07% of recorded Geochelone trade”</w:t>
      </w:r>
      <w:r>
        <w:t xml:space="preserve">. Country codes, purposes and</w:t>
      </w:r>
      <w:r>
        <w:t xml:space="preserve"> </w:t>
      </w:r>
      <w:r>
        <w:t xml:space="preserve">sources are rendered with their codebook names.</w:t>
      </w:r>
    </w:p>
    <w:bookmarkEnd w:id="33"/>
    <w:bookmarkStart w:id="34" w:name="deployment-on-cites"/>
    <w:p>
      <w:pPr>
        <w:pStyle w:val="Heading2"/>
      </w:pPr>
      <w:r>
        <w:t xml:space="preserve">4.7 Deployment on CITES</w:t>
      </w:r>
    </w:p>
    <w:p>
      <w:pPr>
        <w:pStyle w:val="Compact"/>
        <w:numPr>
          <w:ilvl w:val="0"/>
          <w:numId w:val="1007"/>
        </w:numPr>
      </w:pPr>
      <w:r>
        <w:t xml:space="preserve">CITES 2015–2024 animal records (8,247,093 records) are mapped with the same crosswalk.</w:t>
      </w:r>
    </w:p>
    <w:p>
      <w:pPr>
        <w:pStyle w:val="Compact"/>
        <w:numPr>
          <w:ilvl w:val="0"/>
          <w:numId w:val="1007"/>
        </w:numPr>
      </w:pPr>
      <w:r>
        <w:t xml:space="preserve">Peer norms are re-learned from CITES itself (no labels needed), with the vocabulary fixed to</w:t>
      </w:r>
      <w:r>
        <w:t xml:space="preserve"> </w:t>
      </w:r>
      <w:r>
        <w:t xml:space="preserve">the training data’s.</w:t>
      </w:r>
    </w:p>
    <w:p>
      <w:pPr>
        <w:pStyle w:val="Compact"/>
        <w:numPr>
          <w:ilvl w:val="0"/>
          <w:numId w:val="1007"/>
        </w:numPr>
      </w:pPr>
      <w:r>
        <w:t xml:space="preserve">The LEMIS-trained supervised model scores each record; the three detectors are re-fitted on</w:t>
      </w:r>
      <w:r>
        <w:t xml:space="preserve"> </w:t>
      </w:r>
      <w:r>
        <w:t xml:space="preserve">CITES, so</w:t>
      </w:r>
      <w:r>
        <w:t xml:space="preserve"> </w:t>
      </w:r>
      <w:r>
        <w:t xml:space="preserve">“anomalous”</w:t>
      </w:r>
      <w:r>
        <w:t xml:space="preserve"> </w:t>
      </w:r>
      <w:r>
        <w:t xml:space="preserve">means anomalous relative to global CITES trade.</w:t>
      </w:r>
    </w:p>
    <w:p>
      <w:pPr>
        <w:pStyle w:val="Compact"/>
        <w:numPr>
          <w:ilvl w:val="0"/>
          <w:numId w:val="1007"/>
        </w:numPr>
      </w:pPr>
      <w:r>
        <w:t xml:space="preserve">The LEMIS-fitted meta-learner combines the four signals. The deployed supervised model is the</w:t>
      </w:r>
      <w:r>
        <w:t xml:space="preserve"> </w:t>
      </w:r>
      <w:r>
        <w:t xml:space="preserve">unweighted transfer model; an importance-weighted variant was tested and rejected (§6.6 C).</w:t>
      </w:r>
    </w:p>
    <w:p>
      <w:pPr>
        <w:pStyle w:val="Compact"/>
        <w:numPr>
          <w:ilvl w:val="0"/>
          <w:numId w:val="1007"/>
        </w:numPr>
      </w:pPr>
      <w:r>
        <w:t xml:space="preserve">Records that are already enforcement material are set aside: source</w:t>
      </w:r>
      <w:r>
        <w:t xml:space="preserve"> </w:t>
      </w:r>
      <w:r>
        <w:t xml:space="preserve">“I”</w:t>
      </w:r>
      <w:r>
        <w:t xml:space="preserve"> </w:t>
      </w:r>
      <w:r>
        <w:t xml:space="preserve">(confiscated or</w:t>
      </w:r>
      <w:r>
        <w:t xml:space="preserve"> </w:t>
      </w:r>
      <w:r>
        <w:t xml:space="preserve">seized specimen) or purpose</w:t>
      </w:r>
      <w:r>
        <w:t xml:space="preserve"> </w:t>
      </w:r>
      <w:r>
        <w:t xml:space="preserve">“L”</w:t>
      </w:r>
      <w:r>
        <w:t xml:space="preserve"> </w:t>
      </w:r>
      <w:r>
        <w:t xml:space="preserve">(law enforcement / judicial / forensic). Telling an analyst</w:t>
      </w:r>
      <w:r>
        <w:t xml:space="preserve"> </w:t>
      </w:r>
      <w:r>
        <w:t xml:space="preserve">to review what has already been seized adds nothing. In an early run these records filled a</w:t>
      </w:r>
      <w:r>
        <w:t xml:space="preserve"> </w:t>
      </w:r>
      <w:r>
        <w:t xml:space="preserve">fifth of the priority tier.</w:t>
      </w:r>
    </w:p>
    <w:p>
      <w:pPr>
        <w:pStyle w:val="Compact"/>
        <w:numPr>
          <w:ilvl w:val="0"/>
          <w:numId w:val="1007"/>
        </w:numPr>
      </w:pPr>
      <w:r>
        <w:t xml:space="preserve">The remaining records are ranked</w:t>
      </w:r>
      <w:r>
        <w:t xml:space="preserve"> </w:t>
      </w:r>
      <w:r>
        <w:rPr>
          <w:b/>
          <w:bCs/>
        </w:rPr>
        <w:t xml:space="preserve">within each year</w:t>
      </w:r>
      <w:r>
        <w:t xml:space="preserve"> </w:t>
      </w:r>
      <w:r>
        <w:t xml:space="preserve">into tiers by inspection budget: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= top 1%,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= next 4%,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= the rest. Without CITES labels the</w:t>
      </w:r>
      <w:r>
        <w:t xml:space="preserve"> </w:t>
      </w:r>
      <w:r>
        <w:t xml:space="preserve">score cannot be calibrated as a probability, so budget-based tiers are the defensible output.</w:t>
      </w:r>
    </w:p>
    <w:bookmarkEnd w:id="34"/>
    <w:bookmarkStart w:id="44" w:name="mvp-the-wildguard-review-tool"/>
    <w:p>
      <w:pPr>
        <w:pStyle w:val="Heading2"/>
      </w:pPr>
      <w:r>
        <w:t xml:space="preserve">4.8 MVP: the WildGuard review tool</w:t>
      </w:r>
    </w:p>
    <w:p>
      <w:pPr>
        <w:pStyle w:val="FirstParagraph"/>
      </w:pPr>
      <w:r>
        <w:t xml:space="preserve">The Streamlit application (</w:t>
      </w:r>
      <w:r>
        <w:rPr>
          <w:rStyle w:val="VerbatimChar"/>
        </w:rPr>
        <w:t xml:space="preserve">SYSTEM CODE/app/app.py</w:t>
      </w:r>
      <w:r>
        <w:t xml:space="preserve">) runs from a clone of the repository without</w:t>
      </w:r>
      <w:r>
        <w:t xml:space="preserve"> </w:t>
      </w:r>
      <w:r>
        <w:t xml:space="preserve">the raw data. Its five pages: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What the system does, headline results, what a flag means and does not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queue</w:t>
            </w:r>
          </w:p>
        </w:tc>
        <w:tc>
          <w:tcPr/>
          <w:p>
            <w:pPr>
              <w:pStyle w:val="Compact"/>
            </w:pPr>
            <w:r>
              <w:t xml:space="preserve">CITES records ranked for review with filters; each opens a flag card with the record, reasons and the four underlying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a shipment</w:t>
            </w:r>
          </w:p>
        </w:tc>
        <w:tc>
          <w:tcPr/>
          <w:p>
            <w:pPr>
              <w:pStyle w:val="Compact"/>
            </w:pPr>
            <w:r>
              <w:t xml:space="preserve">Scores any record, either as a CITES record (transfer model) or as a US import declaration with value (full model). Includes the real Indian star tortoise case as a preset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work?</w:t>
            </w:r>
          </w:p>
        </w:tc>
        <w:tc>
          <w:tcPr/>
          <w:p>
            <w:pPr>
              <w:pStyle w:val="Compact"/>
            </w:pPr>
            <w:r>
              <w:t xml:space="preserve">An inspection-budget slider over held-out LEMIS shipments: cases caught against random and rule-based inspection, plus the model comparison, triage bands and domain-shift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patterns</w:t>
            </w:r>
          </w:p>
        </w:tc>
        <w:tc>
          <w:tcPr/>
          <w:p>
            <w:pPr>
              <w:pStyle w:val="Compact"/>
            </w:pPr>
            <w:r>
              <w:t xml:space="preserve">Where flagged CITES trade concentrates, and the UNODC consistency check</w:t>
            </w:r>
          </w:p>
        </w:tc>
      </w:tr>
    </w:tbl>
    <w:p>
      <w:pPr>
        <w:pStyle w:val="CaptionedFigure"/>
      </w:pPr>
      <w:r>
        <w:drawing>
          <wp:inline>
            <wp:extent cx="5067300" cy="4750593"/>
            <wp:effectExtent b="0" l="0" r="0" t="0"/>
            <wp:docPr descr="Figure 3 – Review queue: CITES records ranked for review, each with a flag card stating the record, the reasons and the four underlying signals." title="" id="36" name="Picture"/>
            <a:graphic>
              <a:graphicData uri="http://schemas.openxmlformats.org/drawingml/2006/picture">
                <pic:pic>
                  <pic:nvPicPr>
                    <pic:cNvPr descr="figures/app_review_queu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750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– Review queue: CITES records ranked for review, each with a flag card stating the record, the reasons and the four underlying signals.</w:t>
      </w:r>
    </w:p>
    <w:p>
      <w:pPr>
        <w:pStyle w:val="CaptionedFigure"/>
      </w:pPr>
      <w:r>
        <w:drawing>
          <wp:inline>
            <wp:extent cx="5067300" cy="5102489"/>
            <wp:effectExtent b="0" l="0" r="0" t="0"/>
            <wp:docPr descr="Figure 4 – Check a shipment: the Indian star tortoise declaration scored by the full model (priority review, with reasons)." title="" id="39" name="Picture"/>
            <a:graphic>
              <a:graphicData uri="http://schemas.openxmlformats.org/drawingml/2006/picture">
                <pic:pic>
                  <pic:nvPicPr>
                    <pic:cNvPr descr="figures/app_check_shipmen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02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– Check a shipment: the Indian star tortoise declaration scored by the full model (priority review, with reasons).</w:t>
      </w:r>
    </w:p>
    <w:p>
      <w:pPr>
        <w:pStyle w:val="CaptionedFigure"/>
      </w:pPr>
      <w:r>
        <w:drawing>
          <wp:inline>
            <wp:extent cx="5067300" cy="4398697"/>
            <wp:effectExtent b="0" l="0" r="0" t="0"/>
            <wp:docPr descr="Figure 5 – “Does it work?”: an inspection-budget slider over held-out LEMIS shipments, with the model comparison." title="" id="42" name="Picture"/>
            <a:graphic>
              <a:graphicData uri="http://schemas.openxmlformats.org/drawingml/2006/picture">
                <pic:pic>
                  <pic:nvPicPr>
                    <pic:cNvPr descr="figures/app_evaluat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9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–</w:t>
      </w:r>
      <w:r>
        <w:t xml:space="preserve"> </w:t>
      </w:r>
      <w:r>
        <w:t xml:space="preserve">“Does it work?”</w:t>
      </w:r>
      <w:r>
        <w:t xml:space="preserve">: an inspection-budget slider over held-out LEMIS shipments, with the model comparison.</w:t>
      </w:r>
    </w:p>
    <w:bookmarkEnd w:id="44"/>
    <w:bookmarkEnd w:id="45"/>
    <w:bookmarkStart w:id="46" w:name="tools-and-techniques"/>
    <w:p>
      <w:pPr>
        <w:pStyle w:val="Heading1"/>
      </w:pPr>
      <w:r>
        <w:t xml:space="preserve">5. Tools and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80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we used</w:t>
            </w:r>
          </w:p>
        </w:tc>
        <w:tc>
          <w:tcPr/>
          <w:p>
            <w:pPr>
              <w:pStyle w:val="Compact"/>
            </w:pPr>
            <w:r>
              <w:t xml:space="preserve">Module aspect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DuckDB (streaming SQL over 6 GB of CSV), pandas, PyArrow / Parquet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modelling</w:t>
            </w:r>
          </w:p>
        </w:tc>
        <w:tc>
          <w:tcPr/>
          <w:p>
            <w:pPr>
              <w:pStyle w:val="Compact"/>
            </w:pPr>
            <w:r>
              <w:t xml:space="preserve">LEMIS ↔ CITES crosswalk (product, unit, source, purpose, country, appendix)</w:t>
            </w:r>
          </w:p>
        </w:tc>
        <w:tc>
          <w:tcPr/>
          <w:p>
            <w:pPr>
              <w:pStyle w:val="Compact"/>
            </w:pPr>
            <w:r>
              <w:t xml:space="preserve">Sense making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</w:pPr>
            <w:r>
              <w:t xml:space="preserve">Robust peer-group statistics (median/MAD z-scores), rarity and share features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Supervised learning</w:t>
            </w:r>
          </w:p>
        </w:tc>
        <w:tc>
          <w:tcPr/>
          <w:p>
            <w:pPr>
              <w:pStyle w:val="Compact"/>
            </w:pPr>
            <w:r>
              <w:t xml:space="preserve">XGBoost, Random Forest, Logistic Regression; temporal split; early stopping</w:t>
            </w:r>
          </w:p>
        </w:tc>
        <w:tc>
          <w:tcPr/>
          <w:p>
            <w:pPr>
              <w:pStyle w:val="Compact"/>
            </w:pPr>
            <w:r>
              <w:t xml:space="preserve">Supervised learning; ML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Unsupervised learning</w:t>
            </w:r>
          </w:p>
        </w:tc>
        <w:tc>
          <w:tcPr/>
          <w:p>
            <w:pPr>
              <w:pStyle w:val="Compact"/>
            </w:pPr>
            <w:r>
              <w:t xml:space="preserve">Peer-deviation score, Isolation Forest, K-Means (silhouette selection, ARI stability)</w:t>
            </w:r>
          </w:p>
        </w:tc>
        <w:tc>
          <w:tcPr/>
          <w:p>
            <w:pPr>
              <w:pStyle w:val="Compact"/>
            </w:pPr>
            <w:r>
              <w:t xml:space="preserve">Unsupervised learning; ML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/ ensemble</w:t>
            </w:r>
          </w:p>
        </w:tc>
        <w:tc>
          <w:tcPr/>
          <w:p>
            <w:pPr>
              <w:pStyle w:val="Compact"/>
            </w:pPr>
            <w:r>
              <w:t xml:space="preserve">Boosted and bagged tree ensembles; stacked logistic meta-learner over supervised and unsupervised signals</w:t>
            </w:r>
          </w:p>
        </w:tc>
        <w:tc>
          <w:tcPr/>
          <w:p>
            <w:pPr>
              <w:pStyle w:val="Compact"/>
            </w:pPr>
            <w:r>
              <w:t xml:space="preserve">Hybrid ML / ensemble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/ domain adaptation</w:t>
            </w:r>
          </w:p>
        </w:tc>
        <w:tc>
          <w:tcPr/>
          <w:p>
            <w:pPr>
              <w:pStyle w:val="Compact"/>
            </w:pPr>
            <w:r>
              <w:t xml:space="preserve">Feature re-normalisation, domain classifier, importance weighting, few-shot target labels</w:t>
            </w:r>
          </w:p>
        </w:tc>
        <w:tc>
          <w:tcPr/>
          <w:p>
            <w:pPr>
              <w:pStyle w:val="Compact"/>
            </w:pPr>
            <w:r>
              <w:t xml:space="preserve">Hybrid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PR-AUC, ROC-AUC, F1 at validation-fixed thresholds, precision/recall at inspection budgets, capture curves, confidence bands, PSI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Sense making</w:t>
            </w:r>
          </w:p>
        </w:tc>
        <w:tc>
          <w:tcPr/>
          <w:p>
            <w:pPr>
              <w:pStyle w:val="Compact"/>
            </w:pPr>
            <w:r>
              <w:t xml:space="preserve">TreeSHAP explanations, triage tiers, risk-pattern analytics, UNODC consistency check (Spearman)</w:t>
            </w:r>
          </w:p>
        </w:tc>
        <w:tc>
          <w:tcPr/>
          <w:p>
            <w:pPr>
              <w:pStyle w:val="Compact"/>
            </w:pPr>
            <w:r>
              <w:t xml:space="preserve">Sense making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Streamlit, Plotly, Matplotlib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Python 3.11, scikit-learn 1.5, XGBoost 2.1, SciPy, joblib, Git/GitHub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project develops, integrates and demonstrates the first three required aspects</w:t>
      </w:r>
      <w:r>
        <w:t xml:space="preserve"> </w:t>
      </w:r>
      <w:r>
        <w:t xml:space="preserve">(supervised/unsupervised learning, machine-learning techniques, hybrid/ensemble). The</w:t>
      </w:r>
      <w:r>
        <w:t xml:space="preserve"> </w:t>
      </w:r>
      <w:r>
        <w:t xml:space="preserve">explanation and triage layer adds a sense-making component on top.</w:t>
      </w:r>
    </w:p>
    <w:bookmarkEnd w:id="46"/>
    <w:bookmarkStart w:id="69" w:name="system-performance"/>
    <w:p>
      <w:pPr>
        <w:pStyle w:val="Heading1"/>
      </w:pPr>
      <w:r>
        <w:t xml:space="preserve">6. System performance</w:t>
      </w:r>
    </w:p>
    <w:bookmarkStart w:id="47" w:name="evaluation-protocol"/>
    <w:p>
      <w:pPr>
        <w:pStyle w:val="Heading2"/>
      </w:pPr>
      <w:r>
        <w:t xml:space="preserve">6.1 Evaluation protocol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Temporal split.</w:t>
      </w:r>
      <w:r>
        <w:t xml:space="preserve"> </w:t>
      </w:r>
      <w:r>
        <w:t xml:space="preserve">Train on 2000–2010 (3,877,130 line items), tune thresholds and fit the</w:t>
      </w:r>
      <w:r>
        <w:t xml:space="preserve"> </w:t>
      </w:r>
      <w:r>
        <w:t xml:space="preserve">meta-learner on 2011–2012 (813,487), and report on 2013–2014 (822,089, positive rate</w:t>
      </w:r>
      <w:r>
        <w:t xml:space="preserve"> </w:t>
      </w:r>
      <w:r>
        <w:t xml:space="preserve">1.59%). The test years are never used for fitting, peer statistics, thresholds or model</w:t>
      </w:r>
      <w:r>
        <w:t xml:space="preserve"> </w:t>
      </w:r>
      <w:r>
        <w:t xml:space="preserve">selection.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Metrics.</w:t>
      </w:r>
      <w:r>
        <w:t xml:space="preserve"> </w:t>
      </w:r>
      <w:r>
        <w:t xml:space="preserve">PR-AUC (the headline ranking metric under imbalance) and ROC-AUC. Precision,</w:t>
      </w:r>
      <w:r>
        <w:t xml:space="preserve"> </w:t>
      </w:r>
      <w:r>
        <w:t xml:space="preserve">recall and F1 are computed at a threshold fixed on the validation years. Budget metrics answer</w:t>
      </w:r>
      <w:r>
        <w:t xml:space="preserve"> </w:t>
      </w:r>
      <w:r>
        <w:t xml:space="preserve">an inspector’s question: precision and recall when inspecting the top 1%, 5% or 10%, lift over</w:t>
      </w:r>
      <w:r>
        <w:t xml:space="preserve"> </w:t>
      </w:r>
      <w:r>
        <w:t xml:space="preserve">random, and the share of shipments that must be inspected to catch 50% or 80% of cases.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Baselines.</w:t>
      </w:r>
      <w:r>
        <w:t xml:space="preserve"> </w:t>
      </w:r>
      <w:r>
        <w:t xml:space="preserve">Random inspection, and a</w:t>
      </w:r>
      <w:r>
        <w:t xml:space="preserve"> </w:t>
      </w:r>
      <w:r>
        <w:t xml:space="preserve">“most endangered first”</w:t>
      </w:r>
      <w:r>
        <w:t xml:space="preserve"> </w:t>
      </w:r>
      <w:r>
        <w:t xml:space="preserve">listing rule (Appendix I, then</w:t>
      </w:r>
      <w:r>
        <w:t xml:space="preserve"> </w:t>
      </w:r>
      <w:r>
        <w:t xml:space="preserve">Appendix II/III, wild-sourced first) that represents an obvious manual heuristic.</w:t>
      </w:r>
    </w:p>
    <w:bookmarkEnd w:id="47"/>
    <w:bookmarkStart w:id="48" w:name="main-results-rq1"/>
    <w:p>
      <w:pPr>
        <w:pStyle w:val="Heading2"/>
      </w:pPr>
      <w:r>
        <w:t xml:space="preserve">6.2 Main results (RQ1)</w:t>
      </w:r>
    </w:p>
    <w:p>
      <w:pPr>
        <w:pStyle w:val="TableCaption"/>
      </w:pPr>
      <w:r>
        <w:t xml:space="preserve">Table 1 – Held-out results, LEMIS 2013–2014 (822,089 line items, 1.59% enforcement cases). † F1 at the threshold that maximised F1 on the validation years.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= includes LEMIS-only declared value, unit value, port and month;</w:t>
      </w:r>
      <w: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t xml:space="preserve">= only fields that also exist in CITES.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 – Held-out results, LEMIS 2013–2014 (822,089 line items, 1.59% enforcement cases). † F1 at the threshold that maximised F1 on the validation years. full = includes LEMIS-only declared value, unit value, port and month; transfer = only fields that also exist in CITES."/>
      </w:tblPr>
      <w:tblGrid>
        <w:gridCol w:w="2024"/>
        <w:gridCol w:w="952"/>
        <w:gridCol w:w="595"/>
        <w:gridCol w:w="595"/>
        <w:gridCol w:w="595"/>
        <w:gridCol w:w="1071"/>
        <w:gridCol w:w="893"/>
        <w:gridCol w:w="1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PR-AUC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F1 †</w:t>
            </w:r>
          </w:p>
        </w:tc>
        <w:tc>
          <w:tcPr/>
          <w:p>
            <w:pPr>
              <w:pStyle w:val="Compact"/>
            </w:pPr>
            <w:r>
              <w:t xml:space="preserve">Precision @ top 1%</w:t>
            </w:r>
          </w:p>
        </w:tc>
        <w:tc>
          <w:tcPr/>
          <w:p>
            <w:pPr>
              <w:pStyle w:val="Compact"/>
            </w:pPr>
            <w:r>
              <w:t xml:space="preserve">Recall @ top 5%</w:t>
            </w:r>
          </w:p>
        </w:tc>
        <w:tc>
          <w:tcPr/>
          <w:p>
            <w:pPr>
              <w:pStyle w:val="Compact"/>
            </w:pPr>
            <w:r>
              <w:t xml:space="preserve">Inspect to catch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inspection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0.501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  <w:tc>
          <w:tcPr/>
          <w:p>
            <w:pPr>
              <w:pStyle w:val="Compact"/>
            </w:pPr>
            <w:r>
              <w:t xml:space="preserve">5.1%</w:t>
            </w:r>
          </w:p>
        </w:tc>
        <w:tc>
          <w:tcPr/>
          <w:p>
            <w:pPr>
              <w:pStyle w:val="Compact"/>
            </w:pPr>
            <w:r>
              <w:t xml:space="preserve">79.7%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rule (most endangered, wild first)</w:t>
            </w:r>
          </w:p>
        </w:tc>
        <w:tc>
          <w:tcPr/>
          <w:p>
            <w:pPr>
              <w:pStyle w:val="Compact"/>
            </w:pPr>
            <w:r>
              <w:t xml:space="preserve">appendix, source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70.6%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K-Means distance</w:t>
            </w:r>
          </w:p>
        </w:tc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0.616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8.8%</w:t>
            </w:r>
          </w:p>
        </w:tc>
        <w:tc>
          <w:tcPr/>
          <w:p>
            <w:pPr>
              <w:pStyle w:val="Compact"/>
            </w:pPr>
            <w:r>
              <w:t xml:space="preserve">64.5%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Peer-deviation score</w:t>
            </w:r>
          </w:p>
        </w:tc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9.1%</w:t>
            </w:r>
          </w:p>
        </w:tc>
        <w:tc>
          <w:tcPr/>
          <w:p>
            <w:pPr>
              <w:pStyle w:val="Compact"/>
            </w:pPr>
            <w:r>
              <w:t xml:space="preserve">42.0%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Forest</w:t>
            </w:r>
          </w:p>
        </w:tc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Unsupervised mean (3 detectors)</w:t>
            </w:r>
          </w:p>
        </w:tc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0.762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  <w:tc>
          <w:tcPr/>
          <w:p>
            <w:pPr>
              <w:pStyle w:val="Compact"/>
            </w:pPr>
            <w:r>
              <w:t xml:space="preserve">17.8%</w:t>
            </w:r>
          </w:p>
        </w:tc>
        <w:tc>
          <w:tcPr/>
          <w:p>
            <w:pPr>
              <w:pStyle w:val="Compact"/>
            </w:pPr>
            <w:r>
              <w:t xml:space="preserve">40.6%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0.440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67.3%</w:t>
            </w:r>
          </w:p>
        </w:tc>
        <w:tc>
          <w:tcPr/>
          <w:p>
            <w:pPr>
              <w:pStyle w:val="Compact"/>
            </w:pPr>
            <w:r>
              <w:t xml:space="preserve">16.1%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73.1%</w:t>
            </w:r>
          </w:p>
        </w:tc>
        <w:tc>
          <w:tcPr/>
          <w:p>
            <w:pPr>
              <w:pStyle w:val="Compact"/>
            </w:pPr>
            <w:r>
              <w:t xml:space="preserve">65.8%</w:t>
            </w:r>
          </w:p>
        </w:tc>
        <w:tc>
          <w:tcPr/>
          <w:p>
            <w:pPr>
              <w:pStyle w:val="Compact"/>
            </w:pPr>
            <w:r>
              <w:t xml:space="preserve">18.4%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t xml:space="preserve">69.5%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81.6%</w:t>
            </w:r>
          </w:p>
        </w:tc>
        <w:tc>
          <w:tcPr/>
          <w:p>
            <w:pPr>
              <w:pStyle w:val="Compact"/>
            </w:pPr>
            <w:r>
              <w:t xml:space="preserve">70.9%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— deployed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  <w:tc>
          <w:tcPr/>
          <w:p>
            <w:pPr>
              <w:pStyle w:val="Compact"/>
            </w:pPr>
            <w:r>
              <w:t xml:space="preserve">79.4%</w:t>
            </w:r>
          </w:p>
        </w:tc>
        <w:tc>
          <w:tcPr/>
          <w:p>
            <w:pPr>
              <w:pStyle w:val="Compact"/>
            </w:pPr>
            <w:r>
              <w:t xml:space="preserve">70.0%</w:t>
            </w:r>
          </w:p>
        </w:tc>
        <w:tc>
          <w:tcPr/>
          <w:p>
            <w:pPr>
              <w:pStyle w:val="Compact"/>
            </w:pPr>
            <w:r>
              <w:t xml:space="preserve">13.0%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71.5%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learned model beats both baselines by a wide margin, and the deployed transfer hybrid</w:t>
      </w:r>
      <w:r>
        <w:rPr>
          <w:b/>
          <w:bCs/>
        </w:rPr>
        <w:t xml:space="preserve"> </w:t>
      </w:r>
      <w:r>
        <w:rPr>
          <w:b/>
          <w:bCs/>
        </w:rPr>
        <w:t xml:space="preserve">is close to the best model.</w:t>
      </w:r>
      <w:r>
        <w:t xml:space="preserve"> </w:t>
      </w:r>
      <w:r>
        <w:t xml:space="preserve">The deployed hybrid reaches a PR-AUC of 0.599, against</w:t>
      </w:r>
      <w:r>
        <w:t xml:space="preserve"> </w:t>
      </w:r>
      <w:r>
        <w:t xml:space="preserve">0.016 for random inspection: a 38-fold improvement in the</w:t>
      </w:r>
      <w:r>
        <w:t xml:space="preserve"> </w:t>
      </w:r>
      <w:r>
        <w:t xml:space="preserve">metric that matters under imbalance. The ordering is consistent across metrics: hybrid &gt;</w:t>
      </w:r>
      <w:r>
        <w:t xml:space="preserve"> </w:t>
      </w:r>
      <w:r>
        <w:t xml:space="preserve">XGBoost &gt; Random Forest &gt; Logistic Regression &gt; unsupervised detectors &gt; listing rule &gt; random.</w:t>
      </w:r>
    </w:p>
    <w:p>
      <w:pPr>
        <w:pStyle w:val="BodyText"/>
      </w:pPr>
      <w:r>
        <w:t xml:space="preserve">Three findings stand out: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obvious manual heuristic barely works.</w:t>
      </w:r>
      <w:r>
        <w:t xml:space="preserve"> </w:t>
      </w:r>
      <w:r>
        <w:t xml:space="preserve">Inspecting the most endangered, wild-caught</w:t>
      </w:r>
      <w:r>
        <w:t xml:space="preserve"> </w:t>
      </w:r>
      <w:r>
        <w:t xml:space="preserve">species first gives a PR-AUC of 0.024, only 1.5× random. Listing status</w:t>
      </w:r>
      <w:r>
        <w:t xml:space="preserve"> </w:t>
      </w:r>
      <w:r>
        <w:t xml:space="preserve">alone is not the risk signal; the</w:t>
      </w:r>
      <w:r>
        <w:t xml:space="preserve"> </w:t>
      </w:r>
      <w:r>
        <w:rPr>
          <w:i/>
          <w:iCs/>
        </w:rPr>
        <w:t xml:space="preserve">combination</w:t>
      </w:r>
      <w:r>
        <w:t xml:space="preserve"> </w:t>
      </w:r>
      <w:r>
        <w:t xml:space="preserve">of fields is. This is the core argument for a</w:t>
      </w:r>
      <w:r>
        <w:t xml:space="preserve"> </w:t>
      </w:r>
      <w:r>
        <w:t xml:space="preserve">pattern-recognition approach.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Transfer costs little.</w:t>
      </w:r>
      <w:r>
        <w:t xml:space="preserve"> </w:t>
      </w:r>
      <w:r>
        <w:t xml:space="preserve">Restricting the model to CITES-compatible fields (dropping declared</w:t>
      </w:r>
      <w:r>
        <w:t xml:space="preserve"> </w:t>
      </w:r>
      <w:r>
        <w:t xml:space="preserve">value, unit value, port and month) lowers PR-AUC from 0.624 to 0.599</w:t>
      </w:r>
      <w:r>
        <w:t xml:space="preserve"> </w:t>
      </w:r>
      <w:r>
        <w:t xml:space="preserve">(4% relative). Most of the predictive signal lives in fields both datasets share.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Gradient boosting wins clearly.</w:t>
      </w:r>
      <w:r>
        <w:t xml:space="preserve"> </w:t>
      </w:r>
      <w:r>
        <w:t xml:space="preserve">XGBoost outperforms Random Forest (0.619</w:t>
      </w:r>
      <w:r>
        <w:t xml:space="preserve"> </w:t>
      </w:r>
      <w:r>
        <w:t xml:space="preserve">vs 0.548) and Logistic Regression (0.440) on the</w:t>
      </w:r>
      <w:r>
        <w:t xml:space="preserve"> </w:t>
      </w:r>
      <w:r>
        <w:t xml:space="preserve">same full feature set, as expected for heterogeneous tabular data with many interacting categories.</w:t>
      </w:r>
    </w:p>
    <w:bookmarkEnd w:id="48"/>
    <w:bookmarkStart w:id="55" w:name="Xdf0c5d276753a4d2e397ba28d11eacf2aefc310"/>
    <w:p>
      <w:pPr>
        <w:pStyle w:val="Heading2"/>
      </w:pPr>
      <w:r>
        <w:t xml:space="preserve">6.3 Usability: what an inspection budget buys (RQ2)</w:t>
      </w:r>
    </w:p>
    <w:p>
      <w:pPr>
        <w:pStyle w:val="CaptionedFigure"/>
      </w:pPr>
      <w:r>
        <w:drawing>
          <wp:inline>
            <wp:extent cx="4533900" cy="2849880"/>
            <wp:effectExtent b="0" l="0" r="0" t="0"/>
            <wp:docPr descr="Figure 6 – Share of real enforcement cases caught against share of shipments inspected (held-out 2013–2014)." title="" id="50" name="Picture"/>
            <a:graphic>
              <a:graphicData uri="http://schemas.openxmlformats.org/drawingml/2006/picture">
                <pic:pic>
                  <pic:nvPicPr>
                    <pic:cNvPr descr="figures/capture_curv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– Share of real enforcement cases caught against share of shipments inspected (held-out 2013–2014).</w:t>
      </w:r>
    </w:p>
    <w:p>
      <w:pPr>
        <w:pStyle w:val="TableCaption"/>
      </w:pPr>
      <w:r>
        <w:t xml:space="preserve">Table 2 – What an inspection budget buys (held-out 2013–2014).</w:t>
      </w:r>
      <w:r>
        <w:t xml:space="preserve"> </w:t>
      </w:r>
      <w:r>
        <w:t xml:space="preserve">“Caught”</w:t>
      </w:r>
      <w:r>
        <w:t xml:space="preserve"> </w:t>
      </w:r>
      <w:r>
        <w:t xml:space="preserve">= share of all enforcement cases found within the budget; precision = share of inspected line items that were enforcement cases.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 – What an inspection budget buys (held-out 2013–2014). “Caught” = share of all enforcement cases found within the budget; precision = share of inspected line items that were enforcement cases."/>
      </w:tblPr>
      <w:tblGrid>
        <w:gridCol w:w="1139"/>
        <w:gridCol w:w="1481"/>
        <w:gridCol w:w="1481"/>
        <w:gridCol w:w="1538"/>
        <w:gridCol w:w="1139"/>
        <w:gridCol w:w="11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Top 1%: caught (precision)</w:t>
            </w:r>
          </w:p>
        </w:tc>
        <w:tc>
          <w:tcPr/>
          <w:p>
            <w:pPr>
              <w:pStyle w:val="Compact"/>
            </w:pPr>
            <w:r>
              <w:t xml:space="preserve">Top 5%: caught (precision)</w:t>
            </w:r>
          </w:p>
        </w:tc>
        <w:tc>
          <w:tcPr/>
          <w:p>
            <w:pPr>
              <w:pStyle w:val="Compact"/>
            </w:pPr>
            <w:r>
              <w:t xml:space="preserve">Top 10%: caught (precision)</w:t>
            </w:r>
          </w:p>
        </w:tc>
        <w:tc>
          <w:tcPr/>
          <w:p>
            <w:pPr>
              <w:pStyle w:val="Compact"/>
            </w:pPr>
            <w:r>
              <w:t xml:space="preserve">Inspect to catch 50%</w:t>
            </w:r>
          </w:p>
        </w:tc>
        <w:tc>
          <w:tcPr/>
          <w:p>
            <w:pPr>
              <w:pStyle w:val="Compact"/>
            </w:pPr>
            <w:r>
              <w:t xml:space="preserve">Inspect to catch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WildGuard (deployed)</w:t>
            </w:r>
          </w:p>
        </w:tc>
        <w:tc>
          <w:tcPr/>
          <w:p>
            <w:pPr>
              <w:pStyle w:val="Compact"/>
            </w:pPr>
            <w:r>
              <w:t xml:space="preserve">50.0% (79.4%)</w:t>
            </w:r>
          </w:p>
        </w:tc>
        <w:tc>
          <w:tcPr/>
          <w:p>
            <w:pPr>
              <w:pStyle w:val="Compact"/>
            </w:pPr>
            <w:r>
              <w:t xml:space="preserve">70.0% (22.3%)</w:t>
            </w:r>
          </w:p>
        </w:tc>
        <w:tc>
          <w:tcPr/>
          <w:p>
            <w:pPr>
              <w:pStyle w:val="Compact"/>
            </w:pPr>
            <w:r>
              <w:t xml:space="preserve">77.4% (12.3%)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rule</w:t>
            </w:r>
          </w:p>
        </w:tc>
        <w:tc>
          <w:tcPr/>
          <w:p>
            <w:pPr>
              <w:pStyle w:val="Compact"/>
            </w:pPr>
            <w:r>
              <w:t xml:space="preserve">2.2% (3.4%)</w:t>
            </w:r>
          </w:p>
        </w:tc>
        <w:tc>
          <w:tcPr/>
          <w:p>
            <w:pPr>
              <w:pStyle w:val="Compact"/>
            </w:pPr>
            <w:r>
              <w:t xml:space="preserve">9.5% (3.0%)</w:t>
            </w:r>
          </w:p>
        </w:tc>
        <w:tc>
          <w:tcPr/>
          <w:p>
            <w:pPr>
              <w:pStyle w:val="Compact"/>
            </w:pPr>
            <w:r>
              <w:t xml:space="preserve">17.3% (2.7%)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  <w:tc>
          <w:tcPr/>
          <w:p>
            <w:pPr>
              <w:pStyle w:val="Compact"/>
            </w:pPr>
            <w:r>
              <w:t xml:space="preserve">70.6%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inspection</w:t>
            </w:r>
          </w:p>
        </w:tc>
        <w:tc>
          <w:tcPr/>
          <w:p>
            <w:pPr>
              <w:pStyle w:val="Compact"/>
            </w:pPr>
            <w:r>
              <w:t xml:space="preserve">1.0% (1.6%)</w:t>
            </w:r>
          </w:p>
        </w:tc>
        <w:tc>
          <w:tcPr/>
          <w:p>
            <w:pPr>
              <w:pStyle w:val="Compact"/>
            </w:pPr>
            <w:r>
              <w:t xml:space="preserve">5.1% (1.6%)</w:t>
            </w:r>
          </w:p>
        </w:tc>
        <w:tc>
          <w:tcPr/>
          <w:p>
            <w:pPr>
              <w:pStyle w:val="Compact"/>
            </w:pPr>
            <w:r>
              <w:t xml:space="preserve">10.2% (1.6%)</w:t>
            </w:r>
          </w:p>
        </w:tc>
        <w:tc>
          <w:tcPr/>
          <w:p>
            <w:pPr>
              <w:pStyle w:val="Compact"/>
            </w:pPr>
            <w:r>
              <w:t xml:space="preserve">50.1%</w:t>
            </w:r>
          </w:p>
        </w:tc>
        <w:tc>
          <w:tcPr/>
          <w:p>
            <w:pPr>
              <w:pStyle w:val="Compact"/>
            </w:pPr>
            <w:r>
              <w:t xml:space="preserve">79.7%</w:t>
            </w:r>
          </w:p>
        </w:tc>
      </w:tr>
    </w:tbl>
    <w:p>
      <w:pPr>
        <w:pStyle w:val="BodyText"/>
      </w:pPr>
      <w:r>
        <w:t xml:space="preserve">Framed as an inspector’s decision, the result is concrete.</w:t>
      </w:r>
      <w:r>
        <w:t xml:space="preserve"> </w:t>
      </w:r>
      <w:r>
        <w:rPr>
          <w:b/>
          <w:bCs/>
        </w:rPr>
        <w:t xml:space="preserve">With a 5% inspection budget,</w:t>
      </w:r>
      <w:r>
        <w:rPr>
          <w:b/>
          <w:bCs/>
        </w:rPr>
        <w:t xml:space="preserve"> </w:t>
      </w:r>
      <w:r>
        <w:rPr>
          <w:b/>
          <w:bCs/>
        </w:rPr>
        <w:t xml:space="preserve">WildGuard finds 70% of all enforcement cases, 13.7× more than random inspection.</w:t>
      </w:r>
      <w:r>
        <w:t xml:space="preserve"> </w:t>
      </w:r>
      <w:r>
        <w:t xml:space="preserve">Catching 80% of cases requires inspecting 13.0% of shipments instead of</w:t>
      </w:r>
      <w:r>
        <w:t xml:space="preserve"> </w:t>
      </w:r>
      <w:r>
        <w:t xml:space="preserve">79.7%: an 84% reduction in inspection workload for the same coverage. At the very top of</w:t>
      </w:r>
      <w:r>
        <w:t xml:space="preserve"> </w:t>
      </w:r>
      <w:r>
        <w:t xml:space="preserve">the ranking, 100% of the 100 highest-scored held-out line items and 99.9% of</w:t>
      </w:r>
      <w:r>
        <w:t xml:space="preserve"> </w:t>
      </w:r>
      <w:r>
        <w:t xml:space="preserve">the top 1,000 were real enforcement cases. By outcome type, the 5% budget catches 81% of</w:t>
      </w:r>
      <w:r>
        <w:t xml:space="preserve"> </w:t>
      </w:r>
      <w:r>
        <w:t xml:space="preserve">seizures, 86% of abandonments but only 42% of re-exports. Re-exports are often</w:t>
      </w:r>
      <w:r>
        <w:t xml:space="preserve"> </w:t>
      </w:r>
      <w:r>
        <w:t xml:space="preserve">paperwork problems with otherwise ordinary shipments, so they are harder to recognise from the</w:t>
      </w:r>
      <w:r>
        <w:t xml:space="preserve"> </w:t>
      </w:r>
      <w:r>
        <w:t xml:space="preserve">declaration alone.</w:t>
      </w:r>
    </w:p>
    <w:p>
      <w:pPr>
        <w:pStyle w:val="BodyText"/>
      </w:pPr>
      <w:r>
        <w:t xml:space="preserve">Following the confidence-aware design, the hybrid score is also cut into three bands, with</w:t>
      </w:r>
      <w:r>
        <w:t xml:space="preserve"> </w:t>
      </w:r>
      <w:r>
        <w:t xml:space="preserve">thresholds fixed on the validation years (Figure 7). The</w:t>
      </w:r>
      <w:r>
        <w:t xml:space="preserve"> </w:t>
      </w:r>
      <w:r>
        <w:rPr>
          <w:b/>
          <w:bCs/>
        </w:rPr>
        <w:t xml:space="preserve">auto-clear</w:t>
      </w:r>
      <w:r>
        <w:t xml:space="preserve"> </w:t>
      </w:r>
      <w:r>
        <w:t xml:space="preserve">band holds</w:t>
      </w:r>
      <w:r>
        <w:t xml:space="preserve"> </w:t>
      </w:r>
      <w:r>
        <w:t xml:space="preserve">55.5% of shipments but only 6.9% of enforcement cases (an enforcement</w:t>
      </w:r>
      <w:r>
        <w:t xml:space="preserve"> </w:t>
      </w:r>
      <w:r>
        <w:t xml:space="preserve">rate of 0.20%). The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band holds 2.0% of shipments and</w:t>
      </w:r>
      <w:r>
        <w:t xml:space="preserve"> </w:t>
      </w:r>
      <w:r>
        <w:t xml:space="preserve">59.6% of cases, with nearly one in two priority line items (47.8%) being a real</w:t>
      </w:r>
      <w:r>
        <w:t xml:space="preserve"> </w:t>
      </w:r>
      <w:r>
        <w:t xml:space="preserve">case. The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band in between (42.5% of shipments, 33.5% of cases)</w:t>
      </w:r>
      <w:r>
        <w:t xml:space="preserve"> </w:t>
      </w:r>
      <w:r>
        <w:t xml:space="preserve">is where human judgement is spent.</w:t>
      </w:r>
    </w:p>
    <w:p>
      <w:pPr>
        <w:pStyle w:val="CaptionedFigure"/>
      </w:pPr>
      <w:r>
        <w:drawing>
          <wp:inline>
            <wp:extent cx="4267200" cy="1767840"/>
            <wp:effectExtent b="0" l="0" r="0" t="0"/>
            <wp:docPr descr="Figure 7 – Confidence-aware triage bands, with thresholds fixed on 2011–2012 and applied to 2013–2014." title="" id="53" name="Picture"/>
            <a:graphic>
              <a:graphicData uri="http://schemas.openxmlformats.org/drawingml/2006/picture">
                <pic:pic>
                  <pic:nvPicPr>
                    <pic:cNvPr descr="figures/confidence_band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6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– Confidence-aware triage bands, with thresholds fixed on 2011–2012 and applied to 2013–2014.</w:t>
      </w:r>
    </w:p>
    <w:bookmarkEnd w:id="55"/>
    <w:bookmarkStart w:id="62" w:name="Xadef6374f6b8ea9b8938659da9ad7a7c11cb33a"/>
    <w:p>
      <w:pPr>
        <w:pStyle w:val="Heading2"/>
      </w:pPr>
      <w:r>
        <w:t xml:space="preserve">6.4 Does combining supervised and unsupervised evidence help? (RQ3)</w:t>
      </w:r>
    </w:p>
    <w:p>
      <w:pPr>
        <w:pStyle w:val="CaptionedFigure"/>
      </w:pPr>
      <w:r>
        <w:drawing>
          <wp:inline>
            <wp:extent cx="4533900" cy="2849880"/>
            <wp:effectExtent b="0" l="0" r="0" t="0"/>
            <wp:docPr descr="Figure 8 – Precision–recall curves for the transfer feature set: hybrid vs supervised-only vs unsupervised-only." title="" id="57" name="Picture"/>
            <a:graphic>
              <a:graphicData uri="http://schemas.openxmlformats.org/drawingml/2006/picture">
                <pic:pic>
                  <pic:nvPicPr>
                    <pic:cNvPr descr="figures/pr_curve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– Precision–recall curves for the transfer feature set: hybrid vs supervised-only vs unsupervised-only.</w:t>
      </w:r>
    </w:p>
    <w:p>
      <w:pPr>
        <w:pStyle w:val="BodyText"/>
      </w:pPr>
      <w:r>
        <w:rPr>
          <w:b/>
          <w:bCs/>
        </w:rPr>
        <w:t xml:space="preserve">Combining evidence helps, modestly but consistently.</w:t>
      </w:r>
      <w:r>
        <w:t xml:space="preserve"> </w:t>
      </w:r>
      <w:r>
        <w:t xml:space="preserve">On the transfer feature set the hybrid</w:t>
      </w:r>
      <w:r>
        <w:t xml:space="preserve"> </w:t>
      </w:r>
      <w:r>
        <w:t xml:space="preserve">improves PR-AUC from 0.588 (XGBoost alone) to 0.599, and cuts the inspection needed</w:t>
      </w:r>
      <w:r>
        <w:t xml:space="preserve"> </w:t>
      </w:r>
      <w:r>
        <w:t xml:space="preserve">for 80% recall from 14.2% to 13.0%. The full feature set shows the same direction</w:t>
      </w:r>
      <w:r>
        <w:t xml:space="preserve"> </w:t>
      </w:r>
      <w:r>
        <w:t xml:space="preserve">(0.619 → 0.624). The gain appears mainly in the middle of the precision–recall curve</w:t>
      </w:r>
      <w:r>
        <w:t xml:space="preserve"> </w:t>
      </w:r>
      <w:r>
        <w:t xml:space="preserve">(recall 0.4–0.65, Figure 8), where the supervised model starts to lose precision and anomaly</w:t>
      </w:r>
      <w:r>
        <w:t xml:space="preserve"> </w:t>
      </w:r>
      <w:r>
        <w:t xml:space="preserve">evidence separates the remaining cases.</w:t>
      </w:r>
    </w:p>
    <w:p>
      <w:pPr>
        <w:pStyle w:val="BodyText"/>
      </w:pPr>
      <w:r>
        <w:rPr>
          <w:b/>
          <w:bCs/>
        </w:rPr>
        <w:t xml:space="preserve">Unsupervised detection alone is weak, and that is itself a finding.</w:t>
      </w:r>
      <w:r>
        <w:t xml:space="preserve"> </w:t>
      </w:r>
      <w:r>
        <w:t xml:space="preserve">The three detectors</w:t>
      </w:r>
      <w:r>
        <w:t xml:space="preserve"> </w:t>
      </w:r>
      <w:r>
        <w:t xml:space="preserve">together reach a PR-AUC of 0.050 (3.1× random), and their top 10% contains</w:t>
      </w:r>
      <w:r>
        <w:t xml:space="preserve"> </w:t>
      </w:r>
      <w:r>
        <w:t xml:space="preserve">33% of cases (random: 10%). They clearly detect</w:t>
      </w:r>
      <w:r>
        <w:t xml:space="preserve"> </w:t>
      </w:r>
      <w:r>
        <w:rPr>
          <w:i/>
          <w:iCs/>
        </w:rPr>
        <w:t xml:space="preserve">something</w:t>
      </w:r>
      <w:r>
        <w:t xml:space="preserve">. But a great deal of</w:t>
      </w:r>
      <w:r>
        <w:t xml:space="preserve"> </w:t>
      </w:r>
      <w:r>
        <w:t xml:space="preserve">legal trade is statistically unusual (rare species, one-off scientific shipments, unusual</w:t>
      </w:r>
      <w:r>
        <w:t xml:space="preserve"> </w:t>
      </w:r>
      <w:r>
        <w:t xml:space="preserve">quantities), so</w:t>
      </w:r>
      <w:r>
        <w:t xml:space="preserve"> </w:t>
      </w:r>
      <w:r>
        <w:rPr>
          <w:b/>
          <w:bCs/>
        </w:rPr>
        <w:t xml:space="preserve">unusual is not the same as illegal</w:t>
      </w:r>
      <w:r>
        <w:t xml:space="preserve">. This is exactly why the labels transferred</w:t>
      </w:r>
      <w:r>
        <w:t xml:space="preserve"> </w:t>
      </w:r>
      <w:r>
        <w:t xml:space="preserve">from LEMIS matter.</w:t>
      </w:r>
    </w:p>
    <w:p>
      <w:pPr>
        <w:pStyle w:val="BodyText"/>
      </w:pPr>
      <w:r>
        <w:t xml:space="preserve">The meta-learner’s weights on standardised inputs show which evidence it trusts: supervised</w:t>
      </w:r>
      <w:r>
        <w:t xml:space="preserve"> </w:t>
      </w:r>
      <w:r>
        <w:t xml:space="preserve">logit 0.85, Isolation Forest 1.18, peer deviation 0.36 and K-Means</w:t>
      </w:r>
      <w:r>
        <w:t xml:space="preserve"> </w:t>
      </w:r>
      <w:r>
        <w:t xml:space="preserve">0.01. K-Means contributes nothing beyond the other detectors. Its silhouette scores were modest</w:t>
      </w:r>
      <w:r>
        <w:t xml:space="preserve"> </w:t>
      </w:r>
      <w:r>
        <w:t xml:space="preserve">(0.30 at the selected k = 12 for the transfer features; 0.28 at k = 10 for the full set), and</w:t>
      </w:r>
      <w:r>
        <w:t xml:space="preserve"> </w:t>
      </w:r>
      <w:r>
        <w:t xml:space="preserve">its assignments were only moderately stable between independent fits (adjusted Rand index</w:t>
      </w:r>
      <w:r>
        <w:t xml:space="preserve"> </w:t>
      </w:r>
      <w:r>
        <w:t xml:space="preserve">0.65 and 0.81). Trade profiles form overlapping groups rather than well-separated</w:t>
      </w:r>
      <w:r>
        <w:t xml:space="preserve"> </w:t>
      </w:r>
      <w:r>
        <w:t xml:space="preserve">clusters, so distance to a centroid is a blunt anomaly measure. The Isolation Forest, which</w:t>
      </w:r>
      <w:r>
        <w:t xml:space="preserve"> </w:t>
      </w:r>
      <w:r>
        <w:t xml:space="preserve">isolates individual points rather than modelling cluster shape, is the more useful detector.</w:t>
      </w:r>
    </w:p>
    <w:p>
      <w:pPr>
        <w:pStyle w:val="BodyText"/>
      </w:pPr>
      <w:r>
        <w:rPr>
          <w:b/>
          <w:bCs/>
        </w:rPr>
        <w:t xml:space="preserve">What the model relies on</w:t>
      </w:r>
      <w:r>
        <w:t xml:space="preserve"> </w:t>
      </w:r>
      <w:r>
        <w:t xml:space="preserve">(Figure 9). Declared purpose carries 31% of the split gain,</w:t>
      </w:r>
      <w:r>
        <w:t xml:space="preserve"> </w:t>
      </w:r>
      <w:r>
        <w:t xml:space="preserve">followed by origin country (13%), genus (12%), exporter country</w:t>
      </w:r>
      <w:r>
        <w:t xml:space="preserve"> </w:t>
      </w:r>
      <w:r>
        <w:t xml:space="preserve">(10%), product form (9%) and the rarity of the product/purpose/source combination</w:t>
      </w:r>
      <w:r>
        <w:t xml:space="preserve"> </w:t>
      </w:r>
      <w:r>
        <w:t xml:space="preserve">(8%). The model has learned contextual risk: what is declared, for which species,</w:t>
      </w:r>
      <w:r>
        <w:t xml:space="preserve"> </w:t>
      </w:r>
      <w:r>
        <w:t xml:space="preserve">and from where, relative to the norm. Quantity deviations add further signal mainly through the</w:t>
      </w:r>
      <w:r>
        <w:t xml:space="preserve"> </w:t>
      </w:r>
      <w:r>
        <w:t xml:space="preserve">anomaly detectors.</w:t>
      </w:r>
    </w:p>
    <w:p>
      <w:pPr>
        <w:pStyle w:val="CaptionedFigure"/>
      </w:pPr>
      <w:r>
        <w:drawing>
          <wp:inline>
            <wp:extent cx="4000500" cy="2400300"/>
            <wp:effectExtent b="0" l="0" r="0" t="0"/>
            <wp:docPr descr="Figure 9 – Feature importance of the transfer model (share of total split gain)." title="" id="60" name="Picture"/>
            <a:graphic>
              <a:graphicData uri="http://schemas.openxmlformats.org/drawingml/2006/picture">
                <pic:pic>
                  <pic:nvPicPr>
                    <pic:cNvPr descr="figures/feature_importance_transfer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– Feature importance of the transfer model (share of total split gain).</w:t>
      </w:r>
    </w:p>
    <w:bookmarkEnd w:id="62"/>
    <w:bookmarkStart w:id="63" w:name="robustness-checks"/>
    <w:p>
      <w:pPr>
        <w:pStyle w:val="Heading2"/>
      </w:pPr>
      <w:r>
        <w:t xml:space="preserve">6.5 Robustness checks</w:t>
      </w:r>
    </w:p>
    <w:p>
      <w:pPr>
        <w:pStyle w:val="TableCaption"/>
      </w:pPr>
      <w:r>
        <w:t xml:space="preserve">Table 3 – Robustness of the deployed transfer hybrid on held-out 2013–2014 data. Lift over random = PR-AUC ÷ base rate. Shipment level: each shipment scored by its highest line-item score and labelled positive if any line item was an enforcement case.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 – Robustness of the deployed transfer hybrid on held-out 2013–2014 data. Lift over random = PR-AUC ÷ base rate. Shipment level: each shipment scored by its highest line-item score and labelled positive if any line item was an enforcement case."/>
      </w:tblPr>
      <w:tblGrid>
        <w:gridCol w:w="2103"/>
        <w:gridCol w:w="618"/>
        <w:gridCol w:w="990"/>
        <w:gridCol w:w="990"/>
        <w:gridCol w:w="928"/>
        <w:gridCol w:w="1113"/>
        <w:gridCol w:w="11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</w:pPr>
            <w:r>
              <w:t xml:space="preserve">Base rate</w:t>
            </w:r>
          </w:p>
        </w:tc>
        <w:tc>
          <w:tcPr/>
          <w:p>
            <w:pPr>
              <w:pStyle w:val="Compact"/>
            </w:pPr>
            <w:r>
              <w:t xml:space="preserve">WildGuard PR-AUC</w:t>
            </w:r>
          </w:p>
        </w:tc>
        <w:tc>
          <w:tcPr/>
          <w:p>
            <w:pPr>
              <w:pStyle w:val="Compact"/>
            </w:pPr>
            <w:r>
              <w:t xml:space="preserve">Lift over random</w:t>
            </w:r>
          </w:p>
        </w:tc>
        <w:tc>
          <w:tcPr/>
          <w:p>
            <w:pPr>
              <w:pStyle w:val="Compact"/>
            </w:pPr>
            <w:r>
              <w:t xml:space="preserve">Recall @ top 5%</w:t>
            </w:r>
          </w:p>
        </w:tc>
        <w:tc>
          <w:tcPr/>
          <w:p>
            <w:pPr>
              <w:pStyle w:val="Compact"/>
            </w:pPr>
            <w:r>
              <w:t xml:space="preserve">Precision @ top 1%</w:t>
            </w:r>
          </w:p>
        </w:tc>
        <w:tc>
          <w:tcPr/>
          <w:p>
            <w:pPr>
              <w:pStyle w:val="Compact"/>
            </w:pPr>
            <w:r>
              <w:t xml:space="preserve">Listing rule PR-AUC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line items (headline)</w:t>
            </w:r>
          </w:p>
        </w:tc>
        <w:tc>
          <w:tcPr/>
          <w:p>
            <w:pPr>
              <w:pStyle w:val="Compact"/>
            </w:pPr>
            <w:r>
              <w:t xml:space="preserve">1.59%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38×</w:t>
            </w:r>
          </w:p>
        </w:tc>
        <w:tc>
          <w:tcPr/>
          <w:p>
            <w:pPr>
              <w:pStyle w:val="Compact"/>
            </w:pPr>
            <w:r>
              <w:t xml:space="preserve">70.0%</w:t>
            </w:r>
          </w:p>
        </w:tc>
        <w:tc>
          <w:tcPr/>
          <w:p>
            <w:pPr>
              <w:pStyle w:val="Compact"/>
            </w:pPr>
            <w:r>
              <w:t xml:space="preserve">79.4%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purpose only</w:t>
            </w:r>
          </w:p>
        </w:tc>
        <w:tc>
          <w:tcPr/>
          <w:p>
            <w:pPr>
              <w:pStyle w:val="Compact"/>
            </w:pPr>
            <w:r>
              <w:t xml:space="preserve">0.82%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  <w:tc>
          <w:tcPr/>
          <w:p>
            <w:pPr>
              <w:pStyle w:val="Compact"/>
            </w:pPr>
            <w:r>
              <w:t xml:space="preserve">34×</w:t>
            </w:r>
          </w:p>
        </w:tc>
        <w:tc>
          <w:tcPr/>
          <w:p>
            <w:pPr>
              <w:pStyle w:val="Compact"/>
            </w:pPr>
            <w:r>
              <w:t xml:space="preserve">51.6%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purpose only</w:t>
            </w:r>
          </w:p>
        </w:tc>
        <w:tc>
          <w:tcPr/>
          <w:p>
            <w:pPr>
              <w:pStyle w:val="Compact"/>
            </w:pPr>
            <w:r>
              <w:t xml:space="preserve">25.60%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4×</w:t>
            </w:r>
          </w:p>
        </w:tc>
        <w:tc>
          <w:tcPr/>
          <w:p>
            <w:pPr>
              <w:pStyle w:val="Compact"/>
            </w:pPr>
            <w:r>
              <w:t xml:space="preserve">19.5%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 level (293,689 shipments)</w:t>
            </w:r>
          </w:p>
        </w:tc>
        <w:tc>
          <w:tcPr/>
          <w:p>
            <w:pPr>
              <w:pStyle w:val="Compact"/>
            </w:pPr>
            <w:r>
              <w:t xml:space="preserve">2.93%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  <w:tc>
          <w:tcPr/>
          <w:p>
            <w:pPr>
              <w:pStyle w:val="Compact"/>
            </w:pPr>
            <w:r>
              <w:t xml:space="preserve">24×</w:t>
            </w:r>
          </w:p>
        </w:tc>
        <w:tc>
          <w:tcPr/>
          <w:p>
            <w:pPr>
              <w:pStyle w:val="Compact"/>
            </w:pPr>
            <w:r>
              <w:t xml:space="preserve">73.0%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Commercial shipments are harder, but the signal holds.</w:t>
      </w:r>
      <w:r>
        <w:t xml:space="preserve"> </w:t>
      </w:r>
      <w:r>
        <w:t xml:space="preserve">Commercial imports carry only</w:t>
      </w:r>
      <w:r>
        <w:t xml:space="preserve"> </w:t>
      </w:r>
      <w:r>
        <w:t xml:space="preserve">0.82% enforcement cases, and the personal-luggage pattern that dominates LEMIS is absent. Even</w:t>
      </w:r>
      <w:r>
        <w:t xml:space="preserve"> </w:t>
      </w:r>
      <w:r>
        <w:t xml:space="preserve">so, the deployed model reaches a PR-AUC of 0.276, 34 times random. Its top 5% of</w:t>
      </w:r>
      <w:r>
        <w:t xml:space="preserve"> </w:t>
      </w:r>
      <w:r>
        <w:t xml:space="preserve">commercial line items contains 52% of commercial enforcement cases, against</w:t>
      </w:r>
      <w:r>
        <w:t xml:space="preserve"> </w:t>
      </w:r>
      <w:r>
        <w:t xml:space="preserve">8% for the listing rule. Because CITES is 90% commercial, this is the most realistic estimate of</w:t>
      </w:r>
      <w:r>
        <w:t xml:space="preserve"> </w:t>
      </w:r>
      <w:r>
        <w:t xml:space="preserve">how the ranking behaves on CITES-like trade. The full model, with declared value, reaches</w:t>
      </w:r>
      <w:r>
        <w:t xml:space="preserve"> </w:t>
      </w:r>
      <w:r>
        <w:t xml:space="preserve">0.335 here: value matters more for commercial trade.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Personal imports are almost solved</w:t>
      </w:r>
      <w:r>
        <w:t xml:space="preserve"> </w:t>
      </w:r>
      <w:r>
        <w:t xml:space="preserve">(PR-AUC 0.91 at a 26% base</w:t>
      </w:r>
      <w:r>
        <w:t xml:space="preserve"> </w:t>
      </w:r>
      <w:r>
        <w:t xml:space="preserve">rate). Personal imports account for 50% of held-out enforcement cases, which explains</w:t>
      </w:r>
      <w:r>
        <w:t xml:space="preserve"> </w:t>
      </w:r>
      <w:r>
        <w:t xml:space="preserve">much of the headline precision.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Shipment-level results are stronger, not weaker.</w:t>
      </w:r>
      <w:r>
        <w:t xml:space="preserve"> </w:t>
      </w:r>
      <w:r>
        <w:t xml:space="preserve">Aggregating line items to shipments</w:t>
      </w:r>
      <w:r>
        <w:t xml:space="preserve"> </w:t>
      </w:r>
      <w:r>
        <w:t xml:space="preserve">gives a PR-AUC of 0.705, and 97% of the top 1% of shipments were</w:t>
      </w:r>
      <w:r>
        <w:t xml:space="preserve"> </w:t>
      </w:r>
      <w:r>
        <w:t xml:space="preserve">enforcement cases. Multi-item shipments therefore do not inflate the line-item results.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Stable over time, with mild drift.</w:t>
      </w:r>
      <w:r>
        <w:t xml:space="preserve"> </w:t>
      </w:r>
      <w:r>
        <w:t xml:space="preserve">PR-AUC is 0.620 on 2013 and 0.579</w:t>
      </w:r>
      <w:r>
        <w:t xml:space="preserve"> </w:t>
      </w:r>
      <w:r>
        <w:t xml:space="preserve">on 2014. The gentle decline with distance from the training years suggests periodic retraining.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Reasonably calibrated where it matters.</w:t>
      </w:r>
      <w:r>
        <w:t xml:space="preserve"> </w:t>
      </w:r>
      <w:r>
        <w:t xml:space="preserve">In the highest decile of predicted risk the mean</w:t>
      </w:r>
      <w:r>
        <w:t xml:space="preserve"> </w:t>
      </w:r>
      <w:r>
        <w:t xml:space="preserve">predicted probability is 14.7% and the observed enforcement rate 12.3%</w:t>
      </w:r>
      <w:r>
        <w:t xml:space="preserve"> </w:t>
      </w:r>
      <w:r>
        <w:t xml:space="preserve">(Brier score 0.0090). On LEMIS the hybrid output can be read as an</w:t>
      </w:r>
      <w:r>
        <w:t xml:space="preserve"> </w:t>
      </w:r>
      <w:r>
        <w:t xml:space="preserve">approximate probability, which is why the confidence bands work. On CITES it is used only as a</w:t>
      </w:r>
      <w:r>
        <w:t xml:space="preserve"> </w:t>
      </w:r>
      <w:r>
        <w:t xml:space="preserve">ranking.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The Indian star tortoise shipment from §1.2 (a training-year record,</w:t>
      </w:r>
      <w:r>
        <w:t xml:space="preserve"> </w:t>
      </w:r>
      <w:r>
        <w:t xml:space="preserve">so an illustration rather than a test) receives a hybrid score of 0.62 from the transfer model.</w:t>
      </w:r>
      <w:r>
        <w:t xml:space="preserve"> </w:t>
      </w:r>
      <w:r>
        <w:t xml:space="preserve">That is higher than 99.2% of held-out line items. The top reasons</w:t>
      </w:r>
      <w:r>
        <w:t xml:space="preserve"> </w:t>
      </w:r>
      <w:r>
        <w:t xml:space="preserve">given are:</w:t>
      </w:r>
      <w:r>
        <w:t xml:space="preserve"> </w:t>
      </w:r>
      <w:r>
        <w:rPr>
          <w:i/>
          <w:iCs/>
        </w:rPr>
        <w:t xml:space="preserve">declared purpose</w:t>
      </w:r>
      <w:r>
        <w:rPr>
          <w:i/>
          <w:iCs/>
        </w:rPr>
        <w:t xml:space="preserve"> </w:t>
      </w:r>
      <w:r>
        <w:rPr>
          <w:i/>
          <w:iCs/>
        </w:rPr>
        <w:t xml:space="preserve">‘Personal’</w:t>
      </w:r>
      <w:r>
        <w:rPr>
          <w:i/>
          <w:iCs/>
        </w:rPr>
        <w:t xml:space="preserve"> </w:t>
      </w:r>
      <w:r>
        <w:rPr>
          <w:i/>
          <w:iCs/>
        </w:rPr>
        <w:t xml:space="preserve">- only 5.9% of Geochelone records</w:t>
      </w:r>
      <w:r>
        <w:t xml:space="preserve">,</w:t>
      </w:r>
      <w:r>
        <w:t xml:space="preserve"> </w:t>
      </w:r>
      <w:r>
        <w:rPr>
          <w:i/>
          <w:iCs/>
        </w:rPr>
        <w:t xml:space="preserve">rare route: Malaysia accounts for 0.07% of recorded Geochelone trade</w:t>
      </w:r>
      <w:r>
        <w:t xml:space="preserve">, and its taxon. The highest-ranked</w:t>
      </w:r>
      <w:r>
        <w:t xml:space="preserve"> </w:t>
      </w:r>
      <w:r>
        <w:t xml:space="preserve">held-out enforcement cases are equally recognisable, for example musk-deer medicine from China</w:t>
      </w:r>
      <w:r>
        <w:t xml:space="preserve"> </w:t>
      </w:r>
      <w:r>
        <w:t xml:space="preserve">(seized and abandoned), sea-turtle eggs from El Salvador (seized) and iguana meat carried from</w:t>
      </w:r>
      <w:r>
        <w:t xml:space="preserve"> </w:t>
      </w:r>
      <w:r>
        <w:t xml:space="preserve">Mexico as a personal import (seized).</w:t>
      </w:r>
    </w:p>
    <w:bookmarkEnd w:id="63"/>
    <w:bookmarkStart w:id="64" w:name="transfer-robustness-rq4"/>
    <w:p>
      <w:pPr>
        <w:pStyle w:val="Heading2"/>
      </w:pPr>
      <w:r>
        <w:t xml:space="preserve">6.6 Transfer robustness (RQ4)</w:t>
      </w:r>
    </w:p>
    <w:p>
      <w:pPr>
        <w:pStyle w:val="FirstParagraph"/>
      </w:pPr>
      <w:r>
        <w:t xml:space="preserve">CITES has no labels, so transfer</w:t>
      </w:r>
      <w:r>
        <w:t xml:space="preserve"> </w:t>
      </w:r>
      <w:r>
        <w:rPr>
          <w:i/>
          <w:iCs/>
        </w:rPr>
        <w:t xml:space="preserve">to CITES</w:t>
      </w:r>
      <w:r>
        <w:t xml:space="preserve"> </w:t>
      </w:r>
      <w:r>
        <w:t xml:space="preserve">cannot be scored directly. We therefore answer RQ4</w:t>
      </w:r>
      <w:r>
        <w:t xml:space="preserve"> </w:t>
      </w:r>
      <w:r>
        <w:t xml:space="preserve">with three complementary experiments (</w:t>
      </w:r>
      <w:r>
        <w:rPr>
          <w:rStyle w:val="VerbatimChar"/>
        </w:rPr>
        <w:t xml:space="preserve">domain_shift.py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A. A simulated shift that can be scored.</w:t>
      </w:r>
      <w:r>
        <w:t xml:space="preserve"> </w:t>
      </w:r>
      <w:r>
        <w:t xml:space="preserve">We held out an entire region. The model was trained</w:t>
      </w:r>
      <w:r>
        <w:t xml:space="preserve"> </w:t>
      </w:r>
      <w:r>
        <w:t xml:space="preserve">without any shipments exported from Asia and tested on held-out shipments exported from</w:t>
      </w:r>
      <w:r>
        <w:t xml:space="preserve"> </w:t>
      </w:r>
      <w:r>
        <w:t xml:space="preserve">Asia, where labels exist. Several adaptation strategies were compared on the same target</w:t>
      </w:r>
      <w:r>
        <w:t xml:space="preserve"> </w:t>
      </w:r>
      <w:r>
        <w:t xml:space="preserve">test set (Table 4).</w:t>
      </w:r>
    </w:p>
    <w:p>
      <w:pPr>
        <w:pStyle w:val="TableCaption"/>
      </w:pPr>
      <w:r>
        <w:t xml:space="preserve">Table 4 – Simulated domain shift. Trained on shipments exported from outside Asia (2,277,653 line items, 2000–2010); tested on held-out 2013–2014 shipments exported from Asia (333,542 line items, 1.31% enforcement cases). The in-domain row is tested on non-Asian 2013–2014 shipments (1.78% enforcement cases).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 – Simulated domain shift. Trained on shipments exported from outside Asia (2,277,653 line items, 2000–2010); tested on held-out 2013–2014 shipments exported from Asia (333,542 line items, 1.31% enforcement cases). The in-domain row is tested on non-Asian 2013–2014 shipments (1.78% enforcement cases)."/>
      </w:tblPr>
      <w:tblGrid>
        <w:gridCol w:w="2692"/>
        <w:gridCol w:w="1425"/>
        <w:gridCol w:w="792"/>
        <w:gridCol w:w="792"/>
        <w:gridCol w:w="1188"/>
        <w:gridCol w:w="10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Target labels used</w:t>
            </w:r>
          </w:p>
        </w:tc>
        <w:tc>
          <w:tcPr/>
          <w:p>
            <w:pPr>
              <w:pStyle w:val="Compact"/>
            </w:pPr>
            <w:r>
              <w:t xml:space="preserve">PR-AUC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Recall @ top 5%</w:t>
            </w:r>
          </w:p>
        </w:tc>
        <w:tc>
          <w:tcPr/>
          <w:p>
            <w:pPr>
              <w:pStyle w:val="Compact"/>
            </w:pPr>
            <w:r>
              <w:t xml:space="preserve">Lift @ top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In-domain reference (non-Asian test shipments)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0.592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67.6%</w:t>
            </w:r>
          </w:p>
        </w:tc>
        <w:tc>
          <w:tcPr/>
          <w:p>
            <w:pPr>
              <w:pStyle w:val="Compact"/>
            </w:pPr>
            <w:r>
              <w:t xml:space="preserve">46.9×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transfer (source peer norms)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  <w:r>
              <w:t xml:space="preserve">65.7%</w:t>
            </w:r>
          </w:p>
        </w:tc>
        <w:tc>
          <w:tcPr/>
          <w:p>
            <w:pPr>
              <w:pStyle w:val="Compact"/>
            </w:pPr>
            <w:r>
              <w:t xml:space="preserve">50.9×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Re-normalised transfer (target norms, no labels)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0.528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63.7%</w:t>
            </w:r>
          </w:p>
        </w:tc>
        <w:tc>
          <w:tcPr/>
          <w:p>
            <w:pPr>
              <w:pStyle w:val="Compact"/>
            </w:pPr>
            <w:r>
              <w:t xml:space="preserve">49.1×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Importance-weighted + re-normalised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67.2%</w:t>
            </w:r>
          </w:p>
        </w:tc>
        <w:tc>
          <w:tcPr/>
          <w:p>
            <w:pPr>
              <w:pStyle w:val="Compact"/>
            </w:pPr>
            <w:r>
              <w:t xml:space="preserve">51.2×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+ 1% of target labels</w:t>
            </w:r>
          </w:p>
        </w:tc>
        <w:tc>
          <w:tcPr/>
          <w:p>
            <w:pPr>
              <w:pStyle w:val="Compact"/>
            </w:pPr>
            <w:r>
              <w:t xml:space="preserve">15,994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70.6%</w:t>
            </w:r>
          </w:p>
        </w:tc>
        <w:tc>
          <w:tcPr/>
          <w:p>
            <w:pPr>
              <w:pStyle w:val="Compact"/>
            </w:pPr>
            <w:r>
              <w:t xml:space="preserve">45.5×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+ 5% of target labels</w:t>
            </w:r>
          </w:p>
        </w:tc>
        <w:tc>
          <w:tcPr/>
          <w:p>
            <w:pPr>
              <w:pStyle w:val="Compact"/>
            </w:pPr>
            <w:r>
              <w:t xml:space="preserve">79,973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71.0%</w:t>
            </w:r>
          </w:p>
        </w:tc>
        <w:tc>
          <w:tcPr/>
          <w:p>
            <w:pPr>
              <w:pStyle w:val="Compact"/>
            </w:pPr>
            <w:r>
              <w:t xml:space="preserve">50.7×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oracle (all target labels)</w:t>
            </w:r>
          </w:p>
        </w:tc>
        <w:tc>
          <w:tcPr/>
          <w:p>
            <w:pPr>
              <w:pStyle w:val="Compact"/>
            </w:pPr>
            <w:r>
              <w:t xml:space="preserve">1,599,477</w:t>
            </w:r>
          </w:p>
        </w:tc>
        <w:tc>
          <w:tcPr/>
          <w:p>
            <w:pPr>
              <w:pStyle w:val="Compact"/>
            </w:pPr>
            <w:r>
              <w:t xml:space="preserve">0.616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74.1%</w:t>
            </w:r>
          </w:p>
        </w:tc>
        <w:tc>
          <w:tcPr/>
          <w:p>
            <w:pPr>
              <w:pStyle w:val="Compact"/>
            </w:pPr>
            <w:r>
              <w:t xml:space="preserve">54.3×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Learned patterns survive a regional shift with modest loss.</w:t>
      </w:r>
      <w:r>
        <w:t xml:space="preserve"> </w:t>
      </w:r>
      <w:r>
        <w:t xml:space="preserve">ROC-AUC falls only from</w:t>
      </w:r>
      <w:r>
        <w:t xml:space="preserve"> </w:t>
      </w:r>
      <w:r>
        <w:t xml:space="preserve">0.900 to 0.892, and lift at the top 1% does not fall at all</w:t>
      </w:r>
      <w:r>
        <w:t xml:space="preserve"> </w:t>
      </w:r>
      <w:r>
        <w:t xml:space="preserve">(47× in-domain vs 51× transferred). Much of the PR-AUC drop</w:t>
      </w:r>
      <w:r>
        <w:t xml:space="preserve"> </w:t>
      </w:r>
      <w:r>
        <w:t xml:space="preserve">(0.592 → 0.539) reflects the target’s lower base rate rather than worse ranking.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Re-normalising peer norms did not help on its own</w:t>
      </w:r>
      <w:r>
        <w:t xml:space="preserve"> </w:t>
      </w:r>
      <w:r>
        <w:t xml:space="preserve">(0.528 vs 0.539). Within</w:t>
      </w:r>
      <w:r>
        <w:t xml:space="preserve"> </w:t>
      </w:r>
      <w:r>
        <w:t xml:space="preserve">LEMIS every shipment enters the same country under the same reporting system, so the source</w:t>
      </w:r>
      <w:r>
        <w:t xml:space="preserve"> </w:t>
      </w:r>
      <w:r>
        <w:t xml:space="preserve">norms already describe the target well. We report this as a negative result.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Importance weighting gave the best label-free transfer.</w:t>
      </w:r>
      <w:r>
        <w:t xml:space="preserve"> </w:t>
      </w:r>
      <w:r>
        <w:t xml:space="preserve">A domain classifier separates</w:t>
      </w:r>
      <w:r>
        <w:t xml:space="preserve"> </w:t>
      </w:r>
      <w:r>
        <w:t xml:space="preserve">source from target with AUC 0.95 on raw fields; its odds p(target|x)/p(source|x),</w:t>
      </w:r>
      <w:r>
        <w:t xml:space="preserve"> </w:t>
      </w:r>
      <w:r>
        <w:t xml:space="preserve">clipped to [0.05, 20], re-weight the training rows (effective sample size 10%). The</w:t>
      </w:r>
      <w:r>
        <w:t xml:space="preserve"> </w:t>
      </w:r>
      <w:r>
        <w:t xml:space="preserve">weighted model reaches PR-AUC 0.546 and restores ROC-AUC to the in-domain level</w:t>
      </w:r>
      <w:r>
        <w:t xml:space="preserve"> </w:t>
      </w:r>
      <w:r>
        <w:t xml:space="preserve">(0.900). It beats the best unweighted variant on every metric, so it passed our pre-specified</w:t>
      </w:r>
      <w:r>
        <w:t xml:space="preserve"> </w:t>
      </w:r>
      <w:r>
        <w:t xml:space="preserve">deployment rule (an improvement of more than 0.005 PR-AUC over the best label-free option).</w:t>
      </w:r>
      <w:r>
        <w:t xml:space="preserve"> </w:t>
      </w:r>
      <w:r>
        <w:t xml:space="preserve">The margin is small.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few target labels matter more than any label-free trick.</w:t>
      </w:r>
      <w:r>
        <w:t xml:space="preserve"> </w:t>
      </w:r>
      <w:r>
        <w:t xml:space="preserve">Adding 5% of the target’s</w:t>
      </w:r>
      <w:r>
        <w:t xml:space="preserve"> </w:t>
      </w:r>
      <w:r>
        <w:t xml:space="preserve">labels (79,973 line items, one twentieth of the oracle’s) lifts PR-AUC to</w:t>
      </w:r>
      <w:r>
        <w:t xml:space="preserve"> </w:t>
      </w:r>
      <w:r>
        <w:t xml:space="preserve">0.582, closing 55% of the gap between naive transfer and a fully supervised</w:t>
      </w:r>
      <w:r>
        <w:t xml:space="preserve"> </w:t>
      </w:r>
      <w:r>
        <w:t xml:space="preserve">target model (0.616). This is the most practical lever for a real deployment: a</w:t>
      </w:r>
      <w:r>
        <w:t xml:space="preserve"> </w:t>
      </w:r>
      <w:r>
        <w:t xml:space="preserve">small sample of reviewed CITES records would be worth more than further adaptation methods.</w:t>
      </w:r>
    </w:p>
    <w:p>
      <w:pPr>
        <w:pStyle w:val="FirstParagraph"/>
      </w:pPr>
      <w:r>
        <w:rPr>
          <w:b/>
          <w:bCs/>
        </w:rPr>
        <w:t xml:space="preserve">B. How different is CITES from LEMIS?</w:t>
      </w:r>
      <w:r>
        <w:t xml:space="preserve"> </w:t>
      </w:r>
      <w:r>
        <w:t xml:space="preserve">We measured the shift in three ways (Table 5).</w:t>
      </w:r>
    </w:p>
    <w:p>
      <w:pPr>
        <w:pStyle w:val="TableCaption"/>
      </w:pPr>
      <w:r>
        <w:t xml:space="preserve">Table 5 – How separable LEMIS and CITES records are (0.5 = indistinguishable, 1.0 = perfectly separable).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 – How separable LEMIS and CITES records are (0.5 = indistinguishable, 1.0 = perfectly separable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Domain-classifier AUC (raw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LEMIS, CITES-listed taxa vs CITES records reported by the US for the same years (2013–2014)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LEMIS, all taxa vs the same US-reported CITES records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LEMIS vs global CITES 2015–2024 (the deployment shift)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alignment works where it should.</w:t>
      </w:r>
      <w:r>
        <w:t xml:space="preserve"> </w:t>
      </w:r>
      <w:r>
        <w:t xml:space="preserve">The US compiles its CITES annual report from the same</w:t>
      </w:r>
      <w:r>
        <w:t xml:space="preserve"> </w:t>
      </w:r>
      <w:r>
        <w:t xml:space="preserve">kind of declarations LEMIS holds. Restricted to CITES-listed taxa, the two are only moderately</w:t>
      </w:r>
      <w:r>
        <w:t xml:space="preserve"> </w:t>
      </w:r>
      <w:r>
        <w:t xml:space="preserve">distinguishable (AUC 0.77). Their purpose and exporter-region distributions are almost</w:t>
      </w:r>
      <w:r>
        <w:t xml:space="preserve"> </w:t>
      </w:r>
      <w:r>
        <w:t xml:space="preserve">identical (population stability index 0.04 and 0.08; values below 0.1 are</w:t>
      </w:r>
      <w:r>
        <w:t xml:space="preserve"> </w:t>
      </w:r>
      <w:r>
        <w:t xml:space="preserve">conventionally negligible). Remaining differences lie mainly in product form (PSI</w:t>
      </w:r>
      <w:r>
        <w:t xml:space="preserve"> </w:t>
      </w:r>
      <w:r>
        <w:t xml:space="preserve">0.66), class (0.27) and appendix (0.31). These reflect LEMIS’s finer product coding and the</w:t>
      </w:r>
      <w:r>
        <w:t xml:space="preserve"> </w:t>
      </w:r>
      <w:r>
        <w:t xml:space="preserve">fact that CITES aggregates trade per permit and taxon.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deployment shift is large and real.</w:t>
      </w:r>
      <w:r>
        <w:t xml:space="preserve"> </w:t>
      </w:r>
      <w:r>
        <w:t xml:space="preserve">Against global CITES 2015–2024 the AUC is</w:t>
      </w:r>
      <w:r>
        <w:t xml:space="preserve"> </w:t>
      </w:r>
      <w:r>
        <w:t xml:space="preserve">0.97. The biggest differences are in CITES appendix (PSI 5.4; 58% of LEMIS</w:t>
      </w:r>
      <w:r>
        <w:t xml:space="preserve"> </w:t>
      </w:r>
      <w:r>
        <w:t xml:space="preserve">concerns species not listed by CITES at all), taxonomic class (2.1) and product</w:t>
      </w:r>
      <w:r>
        <w:t xml:space="preserve"> </w:t>
      </w:r>
      <w:r>
        <w:t xml:space="preserve">form (2.0); purpose (0.28) and source (0.16) shift much less.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Quantities sit on the same scale.</w:t>
      </w:r>
      <w:r>
        <w:t xml:space="preserve"> </w:t>
      </w:r>
      <w:r>
        <w:t xml:space="preserve">Under LEMIS peer norms, the median quantity z-score is</w:t>
      </w:r>
      <w:r>
        <w:t xml:space="preserve"> </w:t>
      </w:r>
      <w:r>
        <w:t xml:space="preserve">0.00 for LEMIS test records, 0.00 for US-reported CITES records and</w:t>
      </w:r>
      <w:r>
        <w:t xml:space="preserve"> </w:t>
      </w:r>
      <w:r>
        <w:t xml:space="preserve">-0.15 for global CITES. The share above +3 is 1.5%,</w:t>
      </w:r>
      <w:r>
        <w:t xml:space="preserve"> </w:t>
      </w:r>
      <w:r>
        <w:t xml:space="preserve">0.9% and 2.7%. There is no systematic aggregation offset that the</w:t>
      </w:r>
      <w:r>
        <w:t xml:space="preserve"> </w:t>
      </w:r>
      <w:r>
        <w:t xml:space="preserve">quantity features would misread.</w:t>
      </w:r>
    </w:p>
    <w:p>
      <w:pPr>
        <w:pStyle w:val="FirstParagraph"/>
      </w:pPr>
      <w:r>
        <w:rPr>
          <w:i/>
          <w:iCs/>
        </w:rPr>
        <w:t xml:space="preserve">A methodological lesson.</w:t>
      </w:r>
      <w:r>
        <w:t xml:space="preserve"> </w:t>
      </w:r>
      <w:r>
        <w:t xml:space="preserve">Our first domain classifiers used every model feature and separated</w:t>
      </w:r>
      <w:r>
        <w:t xml:space="preserve"> </w:t>
      </w:r>
      <w:r>
        <w:t xml:space="preserve">every pair of populations perfectly (AUC 1.000), even two samples that should look almost alike.</w:t>
      </w:r>
      <w:r>
        <w:t xml:space="preserve"> </w:t>
      </w:r>
      <w:r>
        <w:t xml:space="preserve">The cause was</w:t>
      </w:r>
      <w:r>
        <w:t xml:space="preserve"> </w:t>
      </w:r>
      <w:r>
        <w:rPr>
          <w:b/>
          <w:bCs/>
        </w:rPr>
        <w:t xml:space="preserve">fingerprinting</w:t>
      </w:r>
      <w:r>
        <w:t xml:space="preserve">: group-level statistics such as a route’s share of a genus’s</w:t>
      </w:r>
      <w:r>
        <w:t xml:space="preserve"> </w:t>
      </w:r>
      <w:r>
        <w:t xml:space="preserve">trade take one exact value per group within each population, so a tree model recognises the</w:t>
      </w:r>
      <w:r>
        <w:t xml:space="preserve"> </w:t>
      </w:r>
      <w:r>
        <w:t xml:space="preserve">population from those values rather than from any real difference in trade. That also made the</w:t>
      </w:r>
      <w:r>
        <w:t xml:space="preserve"> </w:t>
      </w:r>
      <w:r>
        <w:t xml:space="preserve">importance weights degenerate. Restricting domain classifiers to raw fields fixed both problems.</w:t>
      </w:r>
      <w:r>
        <w:t xml:space="preserve"> </w:t>
      </w:r>
      <w:r>
        <w:t xml:space="preserve">We report this because it would silently invalidate a shift analysis.</w:t>
      </w:r>
    </w:p>
    <w:p>
      <w:pPr>
        <w:pStyle w:val="BodyText"/>
      </w:pPr>
      <w:r>
        <w:rPr>
          <w:b/>
          <w:bCs/>
        </w:rPr>
        <w:t xml:space="preserve">C. Should the deployed model be importance-weighted?</w:t>
      </w:r>
      <w:r>
        <w:t xml:space="preserve"> </w:t>
      </w:r>
      <w:r>
        <w:t xml:space="preserve">Experiment A favoured importance</w:t>
      </w:r>
      <w:r>
        <w:t xml:space="preserve"> </w:t>
      </w:r>
      <w:r>
        <w:t xml:space="preserve">weighting, so we trained a transfer model importance-weighted toward CITES 2015–2024. The domain</w:t>
      </w:r>
      <w:r>
        <w:t xml:space="preserve"> </w:t>
      </w:r>
      <w:r>
        <w:t xml:space="preserve">classifier separates LEMIS training records from CITES records with AUC 0.984, so the</w:t>
      </w:r>
      <w:r>
        <w:t xml:space="preserve"> </w:t>
      </w:r>
      <w:r>
        <w:t xml:space="preserve">reweighting is strong (effective sample size 5.1%). It concentrates learning on LEMIS trade that</w:t>
      </w:r>
      <w:r>
        <w:t xml:space="preserve"> </w:t>
      </w:r>
      <w:r>
        <w:t xml:space="preserve">resembles CITES trade, at some cost on LEMIS-specific trade such as non-listed species and</w:t>
      </w:r>
      <w:r>
        <w:t xml:space="preserve"> </w:t>
      </w:r>
      <w:r>
        <w:t xml:space="preserve">personal luggage: on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held-out LEMIS records the weighted hybrid scores PR-AUC 0.566,</w:t>
      </w:r>
      <w:r>
        <w:t xml:space="preserve"> </w:t>
      </w:r>
      <w:r>
        <w:t xml:space="preserve">against 0.599 for the unweighted transfer hybrid. Before deploying it we checked the population</w:t>
      </w:r>
      <w:r>
        <w:t xml:space="preserve"> </w:t>
      </w:r>
      <w:r>
        <w:t xml:space="preserve">that matters most: held-out LEMIS records of</w:t>
      </w:r>
      <w:r>
        <w:t xml:space="preserve"> </w:t>
      </w:r>
      <w:r>
        <w:rPr>
          <w:b/>
          <w:bCs/>
        </w:rPr>
        <w:t xml:space="preserve">CITES-listed taxa</w:t>
      </w:r>
      <w:r>
        <w:t xml:space="preserve"> </w:t>
      </w:r>
      <w:r>
        <w:t xml:space="preserve">(335,447 line items), the LEMIS</w:t>
      </w:r>
      <w:r>
        <w:t xml:space="preserve"> </w:t>
      </w:r>
      <w:r>
        <w:t xml:space="preserve">records that most resemble CITES records. There, importance weighting</w:t>
      </w:r>
      <w:r>
        <w:t xml:space="preserve"> </w:t>
      </w:r>
      <w:r>
        <w:rPr>
          <w:i/>
          <w:iCs/>
        </w:rPr>
        <w:t xml:space="preserve">lowered</w:t>
      </w:r>
      <w:r>
        <w:t xml:space="preserve"> </w:t>
      </w:r>
      <w:r>
        <w:t xml:space="preserve">PR-AUC from 0.630</w:t>
      </w:r>
      <w:r>
        <w:t xml:space="preserve"> </w:t>
      </w:r>
      <w:r>
        <w:t xml:space="preserve">to 0.600 (precision at the top 1%: 94.4% → 92.0%).</w:t>
      </w:r>
      <w:r>
        <w:t xml:space="preserve"> </w:t>
      </w:r>
      <w:r>
        <w:t xml:space="preserve">Importance weighting therefore passed the regional test in experiment A but failed this more</w:t>
      </w:r>
      <w:r>
        <w:t xml:space="preserve"> </w:t>
      </w:r>
      <w:r>
        <w:t xml:space="preserve">relevant one. Our deployment rule requires both, so</w:t>
      </w:r>
      <w:r>
        <w:t xml:space="preserve"> </w:t>
      </w:r>
      <w:r>
        <w:rPr>
          <w:b/>
          <w:bCs/>
        </w:rPr>
        <w:t xml:space="preserve">the deployed CITES model is the unweighted</w:t>
      </w:r>
      <w:r>
        <w:rPr>
          <w:b/>
          <w:bCs/>
        </w:rPr>
        <w:t xml:space="preserve"> </w:t>
      </w:r>
      <w:r>
        <w:rPr>
          <w:b/>
          <w:bCs/>
        </w:rPr>
        <w:t xml:space="preserve">transfer stack</w:t>
      </w:r>
      <w:r>
        <w:t xml:space="preserve">. The lesson is that importance weighting is not a free improvement. When the</w:t>
      </w:r>
      <w:r>
        <w:t xml:space="preserve"> </w:t>
      </w:r>
      <w:r>
        <w:t xml:space="preserve">domains overlap as little as LEMIS and CITES do (effective sample size 5.1%), the weights</w:t>
      </w:r>
      <w:r>
        <w:t xml:space="preserve"> </w:t>
      </w:r>
      <w:r>
        <w:t xml:space="preserve">throw away more information than they correct. Domain adaptation has to be evaluated on a</w:t>
      </w:r>
      <w:r>
        <w:t xml:space="preserve"> </w:t>
      </w:r>
      <w:r>
        <w:t xml:space="preserve">population that resembles the deployment target, not only on the simulation that motivated it.</w:t>
      </w:r>
    </w:p>
    <w:bookmarkEnd w:id="64"/>
    <w:bookmarkStart w:id="68" w:name="applying-wildguard-to-cites-rq5"/>
    <w:p>
      <w:pPr>
        <w:pStyle w:val="Heading2"/>
      </w:pPr>
      <w:r>
        <w:t xml:space="preserve">6.7 Applying WildGuard to CITES (RQ5)</w:t>
      </w:r>
    </w:p>
    <w:p>
      <w:pPr>
        <w:pStyle w:val="FirstParagraph"/>
      </w:pPr>
      <w:r>
        <w:rPr>
          <w:b/>
          <w:bCs/>
        </w:rPr>
        <w:t xml:space="preserve">Scale.</w:t>
      </w:r>
      <w:r>
        <w:t xml:space="preserve"> </w:t>
      </w:r>
      <w:r>
        <w:t xml:space="preserve">WildGuard scored all 8,247,093 CITES animal-trade records for 2015–2024.</w:t>
      </w:r>
      <w:r>
        <w:t xml:space="preserve"> </w:t>
      </w:r>
      <w:r>
        <w:t xml:space="preserve">33,266 records already marked as confiscated (source I) or law-enforcement trade (purpose L)</w:t>
      </w:r>
      <w:r>
        <w:t xml:space="preserve"> </w:t>
      </w:r>
      <w:r>
        <w:t xml:space="preserve">were set aside, since flagging what has already been seized adds nothing. The remaining</w:t>
      </w:r>
      <w:r>
        <w:t xml:space="preserve"> </w:t>
      </w:r>
      <w:r>
        <w:t xml:space="preserve">8,213,827 records were ranked within each year: 82,142 priority and 328,554</w:t>
      </w:r>
      <w:r>
        <w:t xml:space="preserve"> </w:t>
      </w:r>
      <w:r>
        <w:t xml:space="preserve">review records, about 8,200 priority records a year worldwide. The K-Means detector, re-fitted on</w:t>
      </w:r>
      <w:r>
        <w:t xml:space="preserve"> </w:t>
      </w:r>
      <w:r>
        <w:t xml:space="preserve">CITES, chose k = 10 (silhouette 0.31, stability ARI 0.70).</w:t>
      </w:r>
    </w:p>
    <w:p>
      <w:pPr>
        <w:pStyle w:val="BodyText"/>
      </w:pPr>
      <w:r>
        <w:rPr>
          <w:b/>
          <w:bCs/>
        </w:rPr>
        <w:t xml:space="preserve">Where the priority tier concentrates.</w:t>
      </w:r>
      <w:r>
        <w:t xml:space="preserve"> </w:t>
      </w:r>
      <w:r>
        <w:t xml:space="preserve">Uniform flagging would put every group at 1%.</w:t>
      </w:r>
    </w:p>
    <w:p>
      <w:pPr>
        <w:pStyle w:val="TableCaption"/>
      </w:pPr>
      <w:r>
        <w:t xml:space="preserve">Table 6 – Priority-tier share by product form (CITES 2015–2024).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 – Priority-tier share by product form (CITES 2015–2024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form</w:t>
            </w:r>
          </w:p>
        </w:tc>
        <w:tc>
          <w:tcPr/>
          <w:p>
            <w:pPr>
              <w:pStyle w:val="Compact"/>
            </w:pPr>
            <w:r>
              <w:t xml:space="preserve">Records in priority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horn</w:t>
            </w:r>
          </w:p>
        </w:tc>
        <w:tc>
          <w:tcPr/>
          <w:p>
            <w:pPr>
              <w:pStyle w:val="Compact"/>
            </w:pPr>
            <w:r>
              <w:t xml:space="preserve">53.8%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shells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ivory</w:t>
            </w:r>
          </w:p>
        </w:tc>
        <w:tc>
          <w:tcPr/>
          <w:p>
            <w:pPr>
              <w:pStyle w:val="Compact"/>
            </w:pPr>
            <w:r>
              <w:t xml:space="preserve">35.1%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teeth claws</w:t>
            </w:r>
          </w:p>
        </w:tc>
        <w:tc>
          <w:tcPr/>
          <w:p>
            <w:pPr>
              <w:pStyle w:val="Compact"/>
            </w:pPr>
            <w:r>
              <w:t xml:space="preserve">30.3%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bone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carvings jewellery</w:t>
            </w:r>
          </w:p>
        </w:tc>
        <w:tc>
          <w:tcPr/>
          <w:p>
            <w:pPr>
              <w:pStyle w:val="Compact"/>
            </w:pPr>
            <w:r>
              <w:t xml:space="preserve">16.1%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coral raw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meat</w:t>
            </w:r>
          </w:p>
        </w:tc>
        <w:tc>
          <w:tcPr/>
          <w:p>
            <w:pPr>
              <w:pStyle w:val="Compact"/>
            </w:pPr>
            <w:r>
              <w:t xml:space="preserve">7.9%</w:t>
            </w:r>
          </w:p>
        </w:tc>
      </w:tr>
    </w:tbl>
    <w:p>
      <w:pPr>
        <w:pStyle w:val="BodyText"/>
      </w:pPr>
      <w:r>
        <w:t xml:space="preserve">Risk concentrates in worked and high-value animal parts. By source,</w:t>
      </w:r>
      <w:r>
        <w:t xml:space="preserve"> </w:t>
      </w:r>
      <w:r>
        <w:rPr>
          <w:b/>
          <w:bCs/>
        </w:rPr>
        <w:t xml:space="preserve">pre-Convention</w:t>
      </w:r>
      <w:r>
        <w:t xml:space="preserve"> </w:t>
      </w:r>
      <w:r>
        <w:t xml:space="preserve">claims</w:t>
      </w:r>
      <w:r>
        <w:t xml:space="preserve"> </w:t>
      </w:r>
      <w:r>
        <w:t xml:space="preserve">(46.4%) and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sources (41.9%) are flagged far more often than wild (0.6%) or</w:t>
      </w:r>
      <w:r>
        <w:t xml:space="preserve"> </w:t>
      </w:r>
      <w:r>
        <w:t xml:space="preserve">captive-bred (0.06%) trade. Both are declarations an inspector cannot easily verify from the</w:t>
      </w:r>
      <w:r>
        <w:t xml:space="preserve"> </w:t>
      </w:r>
      <w:r>
        <w:t xml:space="preserve">paperwork, which is why they warrant scrutiny. Personal-purpose records are flagged at 10.6% against</w:t>
      </w:r>
      <w:r>
        <w:t xml:space="preserve"> </w:t>
      </w:r>
      <w:r>
        <w:t xml:space="preserve">0.7% for commercial records. Appendix I (9.2%) and III (9.3%) taxa are flagged more than</w:t>
      </w:r>
      <w:r>
        <w:t xml:space="preserve"> </w:t>
      </w:r>
      <w:r>
        <w:t xml:space="preserve">Appendix II (0.5%). The most-flagged taxa with at least 500 records are</w:t>
      </w:r>
      <w:r>
        <w:t xml:space="preserve"> </w:t>
      </w:r>
      <w:r>
        <w:rPr>
          <w:i/>
          <w:iCs/>
        </w:rPr>
        <w:t xml:space="preserve">Moschus moschiferus</w:t>
      </w:r>
      <w:r>
        <w:t xml:space="preserve"> </w:t>
      </w:r>
      <w:r>
        <w:t xml:space="preserve">(97%),</w:t>
      </w:r>
      <w:r>
        <w:t xml:space="preserve"> </w:t>
      </w:r>
      <w:r>
        <w:rPr>
          <w:i/>
          <w:iCs/>
        </w:rPr>
        <w:t xml:space="preserve">Physeter macrocephalus</w:t>
      </w:r>
      <w:r>
        <w:t xml:space="preserve"> </w:t>
      </w:r>
      <w:r>
        <w:t xml:space="preserve">(87%),</w:t>
      </w:r>
      <w:r>
        <w:t xml:space="preserve"> </w:t>
      </w:r>
      <w:r>
        <w:rPr>
          <w:i/>
          <w:iCs/>
        </w:rPr>
        <w:t xml:space="preserve">Elephantidae spp.</w:t>
      </w:r>
      <w:r>
        <w:t xml:space="preserve"> </w:t>
      </w:r>
      <w:r>
        <w:t xml:space="preserve">(82%),</w:t>
      </w:r>
      <w:r>
        <w:t xml:space="preserve"> </w:t>
      </w:r>
      <w:r>
        <w:rPr>
          <w:i/>
          <w:iCs/>
        </w:rPr>
        <w:t xml:space="preserve">Balaenoptera acutorostrata</w:t>
      </w:r>
      <w:r>
        <w:t xml:space="preserve"> </w:t>
      </w:r>
      <w:r>
        <w:t xml:space="preserve">(81%),</w:t>
      </w:r>
      <w:r>
        <w:t xml:space="preserve"> </w:t>
      </w:r>
      <w:r>
        <w:rPr>
          <w:i/>
          <w:iCs/>
        </w:rPr>
        <w:t xml:space="preserve">Delphinapterus leucas</w:t>
      </w:r>
      <w:r>
        <w:t xml:space="preserve"> </w:t>
      </w:r>
      <w:r>
        <w:t xml:space="preserve">(80%),</w:t>
      </w:r>
      <w:r>
        <w:t xml:space="preserve"> </w:t>
      </w:r>
      <w:r>
        <w:rPr>
          <w:i/>
          <w:iCs/>
        </w:rPr>
        <w:t xml:space="preserve">Cheloniidae spp.</w:t>
      </w:r>
      <w:r>
        <w:t xml:space="preserve"> </w:t>
      </w:r>
      <w:r>
        <w:t xml:space="preserve">(69%),</w:t>
      </w:r>
      <w:r>
        <w:t xml:space="preserve"> </w:t>
      </w:r>
      <w:r>
        <w:rPr>
          <w:i/>
          <w:iCs/>
        </w:rPr>
        <w:t xml:space="preserve">Saiga tatarica</w:t>
      </w:r>
      <w:r>
        <w:t xml:space="preserve"> </w:t>
      </w:r>
      <w:r>
        <w:t xml:space="preserve">(69%),</w:t>
      </w:r>
      <w:r>
        <w:t xml:space="preserve"> </w:t>
      </w:r>
      <w:r>
        <w:rPr>
          <w:i/>
          <w:iCs/>
        </w:rPr>
        <w:t xml:space="preserve">Eretmochelys imbricata</w:t>
      </w:r>
      <w:r>
        <w:t xml:space="preserve"> </w:t>
      </w:r>
      <w:r>
        <w:t xml:space="preserve">(54%),</w:t>
      </w:r>
      <w:r>
        <w:t xml:space="preserve"> </w:t>
      </w:r>
      <w:r>
        <w:rPr>
          <w:i/>
          <w:iCs/>
        </w:rPr>
        <w:t xml:space="preserve">Odobenus rosmarus</w:t>
      </w:r>
      <w:r>
        <w:t xml:space="preserve"> </w:t>
      </w:r>
      <w:r>
        <w:t xml:space="preserve">(53%),</w:t>
      </w:r>
      <w:r>
        <w:t xml:space="preserve"> </w:t>
      </w:r>
      <w:r>
        <w:rPr>
          <w:i/>
          <w:iCs/>
        </w:rPr>
        <w:t xml:space="preserve">Arctocephalus pusillus</w:t>
      </w:r>
      <w:r>
        <w:t xml:space="preserve"> </w:t>
      </w:r>
      <w:r>
        <w:t xml:space="preserve">(40%).</w:t>
      </w:r>
    </w:p>
    <w:p>
      <w:pPr>
        <w:pStyle w:val="BodyText"/>
      </w:pPr>
      <w:r>
        <w:rPr>
          <w:b/>
          <w:bCs/>
        </w:rPr>
        <w:t xml:space="preserve">Check 1 – consistency with independent seizure statistics (UNODC).</w:t>
      </w:r>
      <w:r>
        <w:t xml:space="preserve"> </w:t>
      </w:r>
      <w:r>
        <w:t xml:space="preserve">If WildGuard’s ranking</w:t>
      </w:r>
      <w:r>
        <w:t xml:space="preserve"> </w:t>
      </w:r>
      <w:r>
        <w:t xml:space="preserve">reflects real risk, species groups that are over-represented in global seizures relative to their</w:t>
      </w:r>
      <w:r>
        <w:t xml:space="preserve"> </w:t>
      </w:r>
      <w:r>
        <w:t xml:space="preserve">legal trade should be flagged more often (Table 7, Figure 10). Across the 14 animal groups of the</w:t>
      </w:r>
      <w:r>
        <w:t xml:space="preserve"> </w:t>
      </w:r>
      <w:r>
        <w:rPr>
          <w:i/>
          <w:iCs/>
        </w:rPr>
        <w:t xml:space="preserve">World Wildlife Crime Report 2024</w:t>
      </w:r>
      <w:r>
        <w:t xml:space="preserve"> </w:t>
      </w:r>
      <w:r>
        <w:t xml:space="preserve">the Spearman rank correlation is</w:t>
      </w:r>
      <w:r>
        <w:t xml:space="preserve"> </w:t>
      </w:r>
      <w:r>
        <w:rPr>
          <w:b/>
          <w:bCs/>
        </w:rPr>
        <w:t xml:space="preserve">ρ = 0.864</w:t>
      </w:r>
      <w:r>
        <w:rPr>
          <w:b/>
          <w:bCs/>
        </w:rPr>
        <w:t xml:space="preserve"> </w:t>
      </w:r>
      <w:r>
        <w:rPr>
          <w:b/>
          <w:bCs/>
        </w:rPr>
        <w:t xml:space="preserve">(p = 0.0001)</w:t>
      </w:r>
      <w:r>
        <w:t xml:space="preserve">. The supervised component alone reaches ρ = 0.868 and the</w:t>
      </w:r>
      <w:r>
        <w:t xml:space="preserve"> </w:t>
      </w:r>
      <w:r>
        <w:t xml:space="preserve">unsupervised detectors alone ρ = 0.846. The</w:t>
      </w:r>
      <w:r>
        <w:t xml:space="preserve"> </w:t>
      </w:r>
      <w:r>
        <w:t xml:space="preserve">“most endangered first”</w:t>
      </w:r>
      <w:r>
        <w:t xml:space="preserve"> </w:t>
      </w:r>
      <w:r>
        <w:t xml:space="preserve">listing rule</w:t>
      </w:r>
      <w:r>
        <w:t xml:space="preserve"> </w:t>
      </w:r>
      <w:r>
        <w:t xml:space="preserve">does not reproduce the pattern (ρ = 0.334, p = 0.2425). Pangolins are the one clear</w:t>
      </w:r>
      <w:r>
        <w:t xml:space="preserve"> </w:t>
      </w:r>
      <w:r>
        <w:t xml:space="preserve">outlier. They have by far the highest seizure-to-trade ratio, because almost no legal pangolin</w:t>
      </w:r>
      <w:r>
        <w:t xml:space="preserve"> </w:t>
      </w:r>
      <w:r>
        <w:t xml:space="preserve">trade remains, yet only 4.1% of their 241 CITES records are flagged; half of those</w:t>
      </w:r>
      <w:r>
        <w:t xml:space="preserve"> </w:t>
      </w:r>
      <w:r>
        <w:t xml:space="preserve">records (121) are scientific specimens.</w:t>
      </w:r>
    </w:p>
    <w:p>
      <w:pPr>
        <w:pStyle w:val="TableCaption"/>
      </w:pPr>
      <w:r>
        <w:t xml:space="preserve">Table 7 – Consistency with UNODC seizure statistics. UNODC seizure shares are the animal groups of WWCR 2024 Fig. 2.1, renormalised to sum to 100%. The seizure-to-trade ratio is the seizure share divided by the group’s share of legal CITES records.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 – Consistency with UNODC seizure statistics. UNODC seizure shares are the animal groups of WWCR 2024 Fig. 2.1, renormalised to sum to 100%. The seizure-to-trade ratio is the seizure share divided by the group’s share of legal CITES records."/>
      </w:tblPr>
      <w:tblGrid>
        <w:gridCol w:w="1481"/>
        <w:gridCol w:w="1310"/>
        <w:gridCol w:w="1082"/>
        <w:gridCol w:w="1253"/>
        <w:gridCol w:w="1367"/>
        <w:gridCol w:w="1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Species group (UNODC)</w:t>
            </w:r>
          </w:p>
        </w:tc>
        <w:tc>
          <w:tcPr/>
          <w:p>
            <w:pPr>
              <w:pStyle w:val="Compact"/>
            </w:pPr>
            <w:r>
              <w:t xml:space="preserve">CITES records 2015–2021</w:t>
            </w:r>
          </w:p>
        </w:tc>
        <w:tc>
          <w:tcPr/>
          <w:p>
            <w:pPr>
              <w:pStyle w:val="Compact"/>
            </w:pPr>
            <w:r>
              <w:t xml:space="preserve">UNODC seizure share</w:t>
            </w:r>
          </w:p>
        </w:tc>
        <w:tc>
          <w:tcPr/>
          <w:p>
            <w:pPr>
              <w:pStyle w:val="Compact"/>
            </w:pPr>
            <w:r>
              <w:t xml:space="preserve">Seizure-to-trade ratio</w:t>
            </w:r>
          </w:p>
        </w:tc>
        <w:tc>
          <w:tcPr/>
          <w:p>
            <w:pPr>
              <w:pStyle w:val="Compact"/>
            </w:pPr>
            <w:r>
              <w:t xml:space="preserve">WildGuard priority share</w:t>
            </w:r>
          </w:p>
        </w:tc>
        <w:tc>
          <w:tcPr/>
          <w:p>
            <w:pPr>
              <w:pStyle w:val="Compact"/>
            </w:pPr>
            <w:r>
              <w:t xml:space="preserve">Listing-rule top-1%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Pangolins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714.14</w:t>
            </w:r>
          </w:p>
        </w:tc>
        <w:tc>
          <w:tcPr/>
          <w:p>
            <w:pPr>
              <w:pStyle w:val="Compact"/>
            </w:pPr>
            <w:r>
              <w:t xml:space="preserve">4.15%</w:t>
            </w:r>
          </w:p>
        </w:tc>
        <w:tc>
          <w:tcPr/>
          <w:p>
            <w:pPr>
              <w:pStyle w:val="Compact"/>
            </w:pPr>
            <w:r>
              <w:t xml:space="preserve">43.15%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Bivalve molluscs</w:t>
            </w:r>
          </w:p>
        </w:tc>
        <w:tc>
          <w:tcPr/>
          <w:p>
            <w:pPr>
              <w:pStyle w:val="Compact"/>
            </w:pPr>
            <w:r>
              <w:t xml:space="preserve">11,891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  <w:tc>
          <w:tcPr/>
          <w:p>
            <w:pPr>
              <w:pStyle w:val="Compact"/>
            </w:pPr>
            <w:r>
              <w:t xml:space="preserve">43.42</w:t>
            </w:r>
          </w:p>
        </w:tc>
        <w:tc>
          <w:tcPr/>
          <w:p>
            <w:pPr>
              <w:pStyle w:val="Compact"/>
            </w:pPr>
            <w:r>
              <w:t xml:space="preserve">10.42%</w:t>
            </w:r>
          </w:p>
        </w:tc>
        <w:tc>
          <w:tcPr/>
          <w:p>
            <w:pPr>
              <w:pStyle w:val="Compact"/>
            </w:pPr>
            <w:r>
              <w:t xml:space="preserve">0.03%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Elephants</w:t>
            </w:r>
          </w:p>
        </w:tc>
        <w:tc>
          <w:tcPr/>
          <w:p>
            <w:pPr>
              <w:pStyle w:val="Compact"/>
            </w:pPr>
            <w:r>
              <w:t xml:space="preserve">36,531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  <w:tc>
          <w:tcPr/>
          <w:p>
            <w:pPr>
              <w:pStyle w:val="Compact"/>
            </w:pPr>
            <w:r>
              <w:t xml:space="preserve">14.13</w:t>
            </w:r>
          </w:p>
        </w:tc>
        <w:tc>
          <w:tcPr/>
          <w:p>
            <w:pPr>
              <w:pStyle w:val="Compact"/>
            </w:pPr>
            <w:r>
              <w:t xml:space="preserve">31.49%</w:t>
            </w:r>
          </w:p>
        </w:tc>
        <w:tc>
          <w:tcPr/>
          <w:p>
            <w:pPr>
              <w:pStyle w:val="Compact"/>
            </w:pPr>
            <w:r>
              <w:t xml:space="preserve">16.20%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 snails</w:t>
            </w:r>
          </w:p>
        </w:tc>
        <w:tc>
          <w:tcPr/>
          <w:p>
            <w:pPr>
              <w:pStyle w:val="Compact"/>
            </w:pPr>
            <w:r>
              <w:t xml:space="preserve">12,295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14.00</w:t>
            </w:r>
          </w:p>
        </w:tc>
        <w:tc>
          <w:tcPr/>
          <w:p>
            <w:pPr>
              <w:pStyle w:val="Compact"/>
            </w:pPr>
            <w:r>
              <w:t xml:space="preserve">6.99%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Turtles and tortoises</w:t>
            </w:r>
          </w:p>
        </w:tc>
        <w:tc>
          <w:tcPr/>
          <w:p>
            <w:pPr>
              <w:pStyle w:val="Compact"/>
            </w:pPr>
            <w:r>
              <w:t xml:space="preserve">45,806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t xml:space="preserve">7.51</w:t>
            </w:r>
          </w:p>
        </w:tc>
        <w:tc>
          <w:tcPr/>
          <w:p>
            <w:pPr>
              <w:pStyle w:val="Compact"/>
            </w:pPr>
            <w:r>
              <w:t xml:space="preserve">4.40%</w:t>
            </w:r>
          </w:p>
        </w:tc>
        <w:tc>
          <w:tcPr/>
          <w:p>
            <w:pPr>
              <w:pStyle w:val="Compact"/>
            </w:pPr>
            <w:r>
              <w:t xml:space="preserve">4.02%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Parrots and cockatoos</w:t>
            </w:r>
          </w:p>
        </w:tc>
        <w:tc>
          <w:tcPr/>
          <w:p>
            <w:pPr>
              <w:pStyle w:val="Compact"/>
            </w:pPr>
            <w:r>
              <w:t xml:space="preserve">129,036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t xml:space="preserve">2.67</w:t>
            </w:r>
          </w:p>
        </w:tc>
        <w:tc>
          <w:tcPr/>
          <w:p>
            <w:pPr>
              <w:pStyle w:val="Compact"/>
            </w:pPr>
            <w:r>
              <w:t xml:space="preserve">0.75%</w:t>
            </w:r>
          </w:p>
        </w:tc>
        <w:tc>
          <w:tcPr/>
          <w:p>
            <w:pPr>
              <w:pStyle w:val="Compact"/>
            </w:pPr>
            <w:r>
              <w:t xml:space="preserve">2.96%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Carnivores</w:t>
            </w:r>
          </w:p>
        </w:tc>
        <w:tc>
          <w:tcPr/>
          <w:p>
            <w:pPr>
              <w:pStyle w:val="Compact"/>
            </w:pPr>
            <w:r>
              <w:t xml:space="preserve">165,998</w:t>
            </w:r>
          </w:p>
        </w:tc>
        <w:tc>
          <w:tcPr/>
          <w:p>
            <w:pPr>
              <w:pStyle w:val="Compact"/>
            </w:pPr>
            <w:r>
              <w:t xml:space="preserve">7.7%</w:t>
            </w:r>
          </w:p>
        </w:tc>
        <w:tc>
          <w:tcPr/>
          <w:p>
            <w:pPr>
              <w:pStyle w:val="Compact"/>
            </w:pPr>
            <w:r>
              <w:t xml:space="preserve">2.59</w:t>
            </w:r>
          </w:p>
        </w:tc>
        <w:tc>
          <w:tcPr/>
          <w:p>
            <w:pPr>
              <w:pStyle w:val="Compact"/>
            </w:pPr>
            <w:r>
              <w:t xml:space="preserve">2.74%</w:t>
            </w:r>
          </w:p>
        </w:tc>
        <w:tc>
          <w:tcPr/>
          <w:p>
            <w:pPr>
              <w:pStyle w:val="Compact"/>
            </w:pPr>
            <w:r>
              <w:t xml:space="preserve">6.05%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Even-toed ungulates</w:t>
            </w:r>
          </w:p>
        </w:tc>
        <w:tc>
          <w:tcPr/>
          <w:p>
            <w:pPr>
              <w:pStyle w:val="Compact"/>
            </w:pPr>
            <w:r>
              <w:t xml:space="preserve">78,407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3.16%</w:t>
            </w:r>
          </w:p>
        </w:tc>
        <w:tc>
          <w:tcPr/>
          <w:p>
            <w:pPr>
              <w:pStyle w:val="Compact"/>
            </w:pPr>
            <w:r>
              <w:t xml:space="preserve">1.17%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Corals</w:t>
            </w:r>
          </w:p>
        </w:tc>
        <w:tc>
          <w:tcPr/>
          <w:p>
            <w:pPr>
              <w:pStyle w:val="Compact"/>
            </w:pPr>
            <w:r>
              <w:t xml:space="preserve">1,095,284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1.12%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Sturgeons and paddlefishes</w:t>
            </w:r>
          </w:p>
        </w:tc>
        <w:tc>
          <w:tcPr/>
          <w:p>
            <w:pPr>
              <w:pStyle w:val="Compact"/>
            </w:pPr>
            <w:r>
              <w:t xml:space="preserve">202,689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0.20%</w:t>
            </w:r>
          </w:p>
        </w:tc>
        <w:tc>
          <w:tcPr/>
          <w:p>
            <w:pPr>
              <w:pStyle w:val="Compact"/>
            </w:pPr>
            <w:r>
              <w:t xml:space="preserve">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Birds of prey</w:t>
            </w:r>
          </w:p>
        </w:tc>
        <w:tc>
          <w:tcPr/>
          <w:p>
            <w:pPr>
              <w:pStyle w:val="Compact"/>
            </w:pPr>
            <w:r>
              <w:t xml:space="preserve">156,461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0.68%</w:t>
            </w:r>
          </w:p>
        </w:tc>
        <w:tc>
          <w:tcPr/>
          <w:p>
            <w:pPr>
              <w:pStyle w:val="Compact"/>
            </w:pPr>
            <w:r>
              <w:t xml:space="preserve">15.03%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Lizards</w:t>
            </w:r>
          </w:p>
        </w:tc>
        <w:tc>
          <w:tcPr/>
          <w:p>
            <w:pPr>
              <w:pStyle w:val="Compact"/>
            </w:pPr>
            <w:r>
              <w:t xml:space="preserve">315,360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0.21%</w:t>
            </w:r>
          </w:p>
        </w:tc>
        <w:tc>
          <w:tcPr/>
          <w:p>
            <w:pPr>
              <w:pStyle w:val="Compact"/>
            </w:pPr>
            <w:r>
              <w:t xml:space="preserve">0.07%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Snakes</w:t>
            </w:r>
          </w:p>
        </w:tc>
        <w:tc>
          <w:tcPr/>
          <w:p>
            <w:pPr>
              <w:pStyle w:val="Compact"/>
            </w:pPr>
            <w:r>
              <w:t xml:space="preserve">664,812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0.46%</w:t>
            </w:r>
          </w:p>
        </w:tc>
        <w:tc>
          <w:tcPr/>
          <w:p>
            <w:pPr>
              <w:pStyle w:val="Compact"/>
            </w:pPr>
            <w:r>
              <w:t xml:space="preserve">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Crocodilians</w:t>
            </w:r>
          </w:p>
        </w:tc>
        <w:tc>
          <w:tcPr/>
          <w:p>
            <w:pPr>
              <w:pStyle w:val="Compact"/>
            </w:pPr>
            <w:r>
              <w:t xml:space="preserve">2,678,715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0.45%</w:t>
            </w:r>
          </w:p>
        </w:tc>
        <w:tc>
          <w:tcPr/>
          <w:p>
            <w:pPr>
              <w:pStyle w:val="Compact"/>
            </w:pPr>
            <w:r>
              <w:t xml:space="preserve">0.35%</w:t>
            </w:r>
          </w:p>
        </w:tc>
      </w:tr>
    </w:tbl>
    <w:p>
      <w:pPr>
        <w:pStyle w:val="CaptionedFigure"/>
      </w:pPr>
      <w:r>
        <w:drawing>
          <wp:inline>
            <wp:extent cx="4533900" cy="2893509"/>
            <wp:effectExtent b="0" l="0" r="0" t="0"/>
            <wp:docPr descr="Figure 10 – WildGuard priority share against the seizure-to-trade ratio of each UNODC species group (log–log)." title="" id="66" name="Picture"/>
            <a:graphic>
              <a:graphicData uri="http://schemas.openxmlformats.org/drawingml/2006/picture">
                <pic:pic>
                  <pic:nvPicPr>
                    <pic:cNvPr descr="figures/unodc_consistency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9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– WildGuard priority share against the seizure-to-trade ratio of each UNODC species group (log–log).</w:t>
      </w:r>
    </w:p>
    <w:p>
      <w:pPr>
        <w:pStyle w:val="BodyText"/>
      </w:pPr>
      <w:r>
        <w:rPr>
          <w:b/>
          <w:bCs/>
        </w:rPr>
        <w:t xml:space="preserve">Check 2 – the confiscated-specimen proxy.</w:t>
      </w:r>
      <w:r>
        <w:t xml:space="preserve"> </w:t>
      </w:r>
      <w:r>
        <w:t xml:space="preserve">CITES marks 32,959 records 2015–2024 as source I</w:t>
      </w:r>
      <w:r>
        <w:t xml:space="preserve"> </w:t>
      </w:r>
      <w:r>
        <w:t xml:space="preserve">(confiscated or seized specimens). We retrained the transfer model</w:t>
      </w:r>
      <w:r>
        <w:t xml:space="preserve"> </w:t>
      </w:r>
      <w:r>
        <w:rPr>
          <w:i/>
          <w:iCs/>
        </w:rPr>
        <w:t xml:space="preserve">without any source-derived</w:t>
      </w:r>
      <w:r>
        <w:rPr>
          <w:i/>
          <w:iCs/>
        </w:rP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and asked it to rank all CITES records. It places confiscated specimens far above the rest</w:t>
      </w:r>
      <w:r>
        <w:t xml:space="preserve"> </w:t>
      </w:r>
      <w:r>
        <w:t xml:space="preserve">(ROC-AUC</w:t>
      </w:r>
      <w:r>
        <w:t xml:space="preserve"> </w:t>
      </w:r>
      <w:r>
        <w:rPr>
          <w:b/>
          <w:bCs/>
        </w:rPr>
        <w:t xml:space="preserve">0.874</w:t>
      </w:r>
      <w:r>
        <w:t xml:space="preserve">, random 0.501), with 69% of them in its top 5%. Patterns learned</w:t>
      </w:r>
      <w:r>
        <w:t xml:space="preserve"> </w:t>
      </w:r>
      <w:r>
        <w:t xml:space="preserve">from US enforcement outcomes point toward material that CITES independently records as</w:t>
      </w:r>
      <w:r>
        <w:t xml:space="preserve"> </w:t>
      </w:r>
      <w:r>
        <w:t xml:space="preserve">enforcement-related, without being told where to look.</w:t>
      </w:r>
    </w:p>
    <w:p>
      <w:pPr>
        <w:pStyle w:val="BodyText"/>
      </w:pPr>
      <w:r>
        <w:rPr>
          <w:b/>
          <w:bCs/>
        </w:rPr>
        <w:t xml:space="preserve">Check 3 – qualitative review of the top of the ranking</w:t>
      </w:r>
      <w:r>
        <w:t xml:space="preserve"> </w:t>
      </w:r>
      <w:r>
        <w:t xml:space="preserve">(Table 8, one record per taxon).</w:t>
      </w:r>
    </w:p>
    <w:p>
      <w:pPr>
        <w:pStyle w:val="TableCaption"/>
      </w:pPr>
      <w:r>
        <w:t xml:space="preserve">Table 8 – Highest-ranked CITES records 2015–2024 (one per taxon, except musk deer shown once). Purpose: T commercial, P personal. Source: W wild, O pre-Convention, U unknown.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8 – Highest-ranked CITES records 2015–2024 (one per taxon, except musk deer shown once). Purpose: T commercial, P personal. Source: W wild, O pre-Convention, U unknown."/>
      </w:tblPr>
      <w:tblGrid>
        <w:gridCol w:w="623"/>
        <w:gridCol w:w="1434"/>
        <w:gridCol w:w="1496"/>
        <w:gridCol w:w="623"/>
        <w:gridCol w:w="997"/>
        <w:gridCol w:w="623"/>
        <w:gridCol w:w="2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Taxon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Purpose / source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Reasons given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Moschus spp.</w:t>
            </w:r>
          </w:p>
        </w:tc>
        <w:tc>
          <w:tcPr/>
          <w:p>
            <w:pPr>
              <w:pStyle w:val="Compact"/>
            </w:pPr>
            <w:r>
              <w:t xml:space="preserve">medicine</w:t>
            </w:r>
          </w:p>
        </w:tc>
        <w:tc>
          <w:tcPr/>
          <w:p>
            <w:pPr>
              <w:pStyle w:val="Compact"/>
            </w:pPr>
            <w:r>
              <w:t xml:space="preserve">2.14 kg</w:t>
            </w:r>
          </w:p>
        </w:tc>
        <w:tc>
          <w:tcPr/>
          <w:p>
            <w:pPr>
              <w:pStyle w:val="Compact"/>
            </w:pPr>
            <w:r>
              <w:t xml:space="preserve">T / O</w:t>
            </w:r>
          </w:p>
        </w:tc>
        <w:tc>
          <w:tcPr/>
          <w:p>
            <w:pPr>
              <w:pStyle w:val="Compact"/>
            </w:pPr>
            <w:r>
              <w:t xml:space="preserve">CN → ID</w:t>
            </w:r>
          </w:p>
        </w:tc>
        <w:tc>
          <w:tcPr/>
          <w:p>
            <w:pPr>
              <w:pStyle w:val="Compact"/>
            </w:pPr>
            <w:r>
              <w:t xml:space="preserve">taxon: Moschus spp.; product type: extracts medicine; source: pre-Convention (O) - only 0.4% of Moschus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Iguana iguana</w:t>
            </w:r>
          </w:p>
        </w:tc>
        <w:tc>
          <w:tcPr/>
          <w:p>
            <w:pPr>
              <w:pStyle w:val="Compact"/>
            </w:pPr>
            <w:r>
              <w:t xml:space="preserve">meat</w:t>
            </w:r>
          </w:p>
        </w:tc>
        <w:tc>
          <w:tcPr/>
          <w:p>
            <w:pPr>
              <w:pStyle w:val="Compact"/>
            </w:pPr>
            <w:r>
              <w:t xml:space="preserve">1.18 kg</w:t>
            </w:r>
          </w:p>
        </w:tc>
        <w:tc>
          <w:tcPr/>
          <w:p>
            <w:pPr>
              <w:pStyle w:val="Compact"/>
            </w:pPr>
            <w:r>
              <w:t xml:space="preserve">P / W</w:t>
            </w:r>
          </w:p>
        </w:tc>
        <w:tc>
          <w:tcPr/>
          <w:p>
            <w:pPr>
              <w:pStyle w:val="Compact"/>
            </w:pPr>
            <w:r>
              <w:t xml:space="preserve">MX → US</w:t>
            </w:r>
          </w:p>
        </w:tc>
        <w:tc>
          <w:tcPr/>
          <w:p>
            <w:pPr>
              <w:pStyle w:val="Compact"/>
            </w:pPr>
            <w:r>
              <w:t xml:space="preserve">taxon: Iguana iguana; declared purpose</w:t>
            </w:r>
            <w:r>
              <w:t xml:space="preserve"> </w:t>
            </w:r>
            <w:r>
              <w:t xml:space="preserve">‘Personal’</w:t>
            </w:r>
            <w:r>
              <w:t xml:space="preserve"> </w:t>
            </w:r>
            <w:r>
              <w:t xml:space="preserve">- only 12.1% of Iguana records; exported from Mexico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Pleurocorallium elatius</w:t>
            </w:r>
          </w:p>
        </w:tc>
        <w:tc>
          <w:tcPr/>
          <w:p>
            <w:pPr>
              <w:pStyle w:val="Compact"/>
            </w:pPr>
            <w:r>
              <w:t xml:space="preserve">derivatives</w:t>
            </w:r>
          </w:p>
        </w:tc>
        <w:tc>
          <w:tcPr/>
          <w:p>
            <w:pPr>
              <w:pStyle w:val="Compact"/>
            </w:pPr>
            <w:r>
              <w:t xml:space="preserve">1 count</w:t>
            </w:r>
          </w:p>
        </w:tc>
        <w:tc>
          <w:tcPr/>
          <w:p>
            <w:pPr>
              <w:pStyle w:val="Compact"/>
            </w:pPr>
            <w:r>
              <w:t xml:space="preserve">T / O</w:t>
            </w:r>
          </w:p>
        </w:tc>
        <w:tc>
          <w:tcPr/>
          <w:p>
            <w:pPr>
              <w:pStyle w:val="Compact"/>
            </w:pPr>
            <w:r>
              <w:t xml:space="preserve">KR → CH</w:t>
            </w:r>
          </w:p>
        </w:tc>
        <w:tc>
          <w:tcPr/>
          <w:p>
            <w:pPr>
              <w:pStyle w:val="Compact"/>
            </w:pPr>
            <w:r>
              <w:t xml:space="preserve">origin Unknown; product type: extracts medicine; source: pre-Convention (O)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Pleurocorallium konojoi</w:t>
            </w:r>
          </w:p>
        </w:tc>
        <w:tc>
          <w:tcPr/>
          <w:p>
            <w:pPr>
              <w:pStyle w:val="Compact"/>
            </w:pPr>
            <w:r>
              <w:t xml:space="preserve">derivatives</w:t>
            </w:r>
          </w:p>
        </w:tc>
        <w:tc>
          <w:tcPr/>
          <w:p>
            <w:pPr>
              <w:pStyle w:val="Compact"/>
            </w:pPr>
            <w:r>
              <w:t xml:space="preserve">1 count</w:t>
            </w:r>
          </w:p>
        </w:tc>
        <w:tc>
          <w:tcPr/>
          <w:p>
            <w:pPr>
              <w:pStyle w:val="Compact"/>
            </w:pPr>
            <w:r>
              <w:t xml:space="preserve">T / O</w:t>
            </w:r>
          </w:p>
        </w:tc>
        <w:tc>
          <w:tcPr/>
          <w:p>
            <w:pPr>
              <w:pStyle w:val="Compact"/>
            </w:pPr>
            <w:r>
              <w:t xml:space="preserve">KR → CH</w:t>
            </w:r>
          </w:p>
        </w:tc>
        <w:tc>
          <w:tcPr/>
          <w:p>
            <w:pPr>
              <w:pStyle w:val="Compact"/>
            </w:pPr>
            <w:r>
              <w:t xml:space="preserve">origin Unknown; product type: extracts medicine; source: pre-Convention (O)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Eretmochelys imbricata</w:t>
            </w:r>
          </w:p>
        </w:tc>
        <w:tc>
          <w:tcPr/>
          <w:p>
            <w:pPr>
              <w:pStyle w:val="Compact"/>
            </w:pPr>
            <w:r>
              <w:t xml:space="preserve">carvings</w:t>
            </w:r>
          </w:p>
        </w:tc>
        <w:tc>
          <w:tcPr/>
          <w:p>
            <w:pPr>
              <w:pStyle w:val="Compact"/>
            </w:pPr>
            <w:r>
              <w:t xml:space="preserve">1 count</w:t>
            </w:r>
          </w:p>
        </w:tc>
        <w:tc>
          <w:tcPr/>
          <w:p>
            <w:pPr>
              <w:pStyle w:val="Compact"/>
            </w:pPr>
            <w:r>
              <w:t xml:space="preserve">P / O</w:t>
            </w:r>
          </w:p>
        </w:tc>
        <w:tc>
          <w:tcPr/>
          <w:p>
            <w:pPr>
              <w:pStyle w:val="Compact"/>
            </w:pPr>
            <w:r>
              <w:t xml:space="preserve">PE → US</w:t>
            </w:r>
          </w:p>
        </w:tc>
        <w:tc>
          <w:tcPr/>
          <w:p>
            <w:pPr>
              <w:pStyle w:val="Compact"/>
            </w:pPr>
            <w:r>
              <w:t xml:space="preserve">declared purpose</w:t>
            </w:r>
            <w:r>
              <w:t xml:space="preserve"> </w:t>
            </w:r>
            <w:r>
              <w:t xml:space="preserve">‘Personal’</w:t>
            </w:r>
            <w:r>
              <w:t xml:space="preserve"> </w:t>
            </w:r>
            <w:r>
              <w:t xml:space="preserve">- only 10.1% of Eretmochelys records; source: pre-Convention (O); exported from Peru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Iguana spp.</w:t>
            </w:r>
          </w:p>
        </w:tc>
        <w:tc>
          <w:tcPr/>
          <w:p>
            <w:pPr>
              <w:pStyle w:val="Compact"/>
            </w:pPr>
            <w:r>
              <w:t xml:space="preserve">meat</w:t>
            </w:r>
          </w:p>
        </w:tc>
        <w:tc>
          <w:tcPr/>
          <w:p>
            <w:pPr>
              <w:pStyle w:val="Compact"/>
            </w:pPr>
            <w:r>
              <w:t xml:space="preserve">1 kg</w:t>
            </w:r>
          </w:p>
        </w:tc>
        <w:tc>
          <w:tcPr/>
          <w:p>
            <w:pPr>
              <w:pStyle w:val="Compact"/>
            </w:pPr>
            <w:r>
              <w:t xml:space="preserve">P / W</w:t>
            </w:r>
          </w:p>
        </w:tc>
        <w:tc>
          <w:tcPr/>
          <w:p>
            <w:pPr>
              <w:pStyle w:val="Compact"/>
            </w:pPr>
            <w:r>
              <w:t xml:space="preserve">SV → US</w:t>
            </w:r>
          </w:p>
        </w:tc>
        <w:tc>
          <w:tcPr/>
          <w:p>
            <w:pPr>
              <w:pStyle w:val="Compact"/>
            </w:pPr>
            <w:r>
              <w:t xml:space="preserve">taxon: Iguana spp.; declared purpose</w:t>
            </w:r>
            <w:r>
              <w:t xml:space="preserve"> </w:t>
            </w:r>
            <w:r>
              <w:t xml:space="preserve">‘Personal’</w:t>
            </w:r>
            <w:r>
              <w:t xml:space="preserve"> </w:t>
            </w:r>
            <w:r>
              <w:t xml:space="preserve">- only 12.1% of Iguana records; product type: meat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Crocodylus novaeguineae</w:t>
            </w:r>
          </w:p>
        </w:tc>
        <w:tc>
          <w:tcPr/>
          <w:p>
            <w:pPr>
              <w:pStyle w:val="Compact"/>
            </w:pPr>
            <w:r>
              <w:t xml:space="preserve">leather products (small)</w:t>
            </w:r>
          </w:p>
        </w:tc>
        <w:tc>
          <w:tcPr/>
          <w:p>
            <w:pPr>
              <w:pStyle w:val="Compact"/>
            </w:pPr>
            <w:r>
              <w:t xml:space="preserve">1 count</w:t>
            </w:r>
          </w:p>
        </w:tc>
        <w:tc>
          <w:tcPr/>
          <w:p>
            <w:pPr>
              <w:pStyle w:val="Compact"/>
            </w:pPr>
            <w:r>
              <w:t xml:space="preserve">T / O</w:t>
            </w:r>
          </w:p>
        </w:tc>
        <w:tc>
          <w:tcPr/>
          <w:p>
            <w:pPr>
              <w:pStyle w:val="Compact"/>
            </w:pPr>
            <w:r>
              <w:t xml:space="preserve">XX → IT</w:t>
            </w:r>
          </w:p>
        </w:tc>
        <w:tc>
          <w:tcPr/>
          <w:p>
            <w:pPr>
              <w:pStyle w:val="Compact"/>
            </w:pPr>
            <w:r>
              <w:t xml:space="preserve">origin Unknown; source: pre-Convention (O) - only 0.1% of Crocodylus records; taxon: Crocodylus novaeguineae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Elephas maximus</w:t>
            </w:r>
          </w:p>
        </w:tc>
        <w:tc>
          <w:tcPr/>
          <w:p>
            <w:pPr>
              <w:pStyle w:val="Compact"/>
            </w:pPr>
            <w:r>
              <w:t xml:space="preserve">ivory carvings</w:t>
            </w:r>
          </w:p>
        </w:tc>
        <w:tc>
          <w:tcPr/>
          <w:p>
            <w:pPr>
              <w:pStyle w:val="Compact"/>
            </w:pPr>
            <w:r>
              <w:t xml:space="preserve">2 count</w:t>
            </w:r>
          </w:p>
        </w:tc>
        <w:tc>
          <w:tcPr/>
          <w:p>
            <w:pPr>
              <w:pStyle w:val="Compact"/>
            </w:pPr>
            <w:r>
              <w:t xml:space="preserve">P / O</w:t>
            </w:r>
          </w:p>
        </w:tc>
        <w:tc>
          <w:tcPr/>
          <w:p>
            <w:pPr>
              <w:pStyle w:val="Compact"/>
            </w:pPr>
            <w:r>
              <w:t xml:space="preserve">PE → CL</w:t>
            </w:r>
          </w:p>
        </w:tc>
        <w:tc>
          <w:tcPr/>
          <w:p>
            <w:pPr>
              <w:pStyle w:val="Compact"/>
            </w:pPr>
            <w:r>
              <w:t xml:space="preserve">declared purpose</w:t>
            </w:r>
            <w:r>
              <w:t xml:space="preserve"> </w:t>
            </w:r>
            <w:r>
              <w:t xml:space="preserve">‘Personal’</w:t>
            </w:r>
            <w:r>
              <w:t xml:space="preserve"> </w:t>
            </w:r>
            <w:r>
              <w:t xml:space="preserve">- only 16.5% of Elephas records; source: pre-Convention (O); exported from Peru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Panthera tigris</w:t>
            </w:r>
          </w:p>
        </w:tc>
        <w:tc>
          <w:tcPr/>
          <w:p>
            <w:pPr>
              <w:pStyle w:val="Compact"/>
            </w:pPr>
            <w:r>
              <w:t xml:space="preserve">medicine</w:t>
            </w:r>
          </w:p>
        </w:tc>
        <w:tc>
          <w:tcPr/>
          <w:p>
            <w:pPr>
              <w:pStyle w:val="Compact"/>
            </w:pPr>
            <w:r>
              <w:t xml:space="preserve">15 count</w:t>
            </w:r>
          </w:p>
        </w:tc>
        <w:tc>
          <w:tcPr/>
          <w:p>
            <w:pPr>
              <w:pStyle w:val="Compact"/>
            </w:pPr>
            <w:r>
              <w:t xml:space="preserve">P / W</w:t>
            </w:r>
          </w:p>
        </w:tc>
        <w:tc>
          <w:tcPr/>
          <w:p>
            <w:pPr>
              <w:pStyle w:val="Compact"/>
            </w:pPr>
            <w:r>
              <w:t xml:space="preserve">PE → US</w:t>
            </w:r>
          </w:p>
        </w:tc>
        <w:tc>
          <w:tcPr/>
          <w:p>
            <w:pPr>
              <w:pStyle w:val="Compact"/>
            </w:pPr>
            <w:r>
              <w:t xml:space="preserve">product type: extracts medicine; declared purpose</w:t>
            </w:r>
            <w:r>
              <w:t xml:space="preserve"> </w:t>
            </w:r>
            <w:r>
              <w:t xml:space="preserve">‘Personal’</w:t>
            </w:r>
            <w:r>
              <w:t xml:space="preserve"> </w:t>
            </w:r>
            <w:r>
              <w:t xml:space="preserve">- only 5.2% of Panthera records; origin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Varanus niloticus</w:t>
            </w:r>
          </w:p>
        </w:tc>
        <w:tc>
          <w:tcPr/>
          <w:p>
            <w:pPr>
              <w:pStyle w:val="Compact"/>
            </w:pPr>
            <w:r>
              <w:t xml:space="preserve">leather products (small)</w:t>
            </w:r>
          </w:p>
        </w:tc>
        <w:tc>
          <w:tcPr/>
          <w:p>
            <w:pPr>
              <w:pStyle w:val="Compact"/>
            </w:pPr>
            <w:r>
              <w:t xml:space="preserve">1 count</w:t>
            </w:r>
          </w:p>
        </w:tc>
        <w:tc>
          <w:tcPr/>
          <w:p>
            <w:pPr>
              <w:pStyle w:val="Compact"/>
            </w:pPr>
            <w:r>
              <w:t xml:space="preserve">T / O</w:t>
            </w:r>
          </w:p>
        </w:tc>
        <w:tc>
          <w:tcPr/>
          <w:p>
            <w:pPr>
              <w:pStyle w:val="Compact"/>
            </w:pPr>
            <w:r>
              <w:t xml:space="preserve">XX → IT</w:t>
            </w:r>
          </w:p>
        </w:tc>
        <w:tc>
          <w:tcPr/>
          <w:p>
            <w:pPr>
              <w:pStyle w:val="Compact"/>
            </w:pPr>
            <w:r>
              <w:t xml:space="preserve">origin Unknown; source: pre-Convention (O) - only 0.1% of Varanus records; product type: leather small</w:t>
            </w:r>
          </w:p>
        </w:tc>
      </w:tr>
    </w:tbl>
    <w:p>
      <w:pPr>
        <w:pStyle w:val="BodyText"/>
      </w:pPr>
      <w:r>
        <w:t xml:space="preserve">Most of the list is the kind of record a CITES analyst would want to look at:</w:t>
      </w:r>
    </w:p>
    <w:p>
      <w:pPr>
        <w:pStyle w:val="Compact"/>
        <w:numPr>
          <w:ilvl w:val="0"/>
          <w:numId w:val="1013"/>
        </w:numPr>
      </w:pPr>
      <w:r>
        <w:t xml:space="preserve">hawksbill-turtle carvings and Asian-elephant ivory carvings declared as personal,</w:t>
      </w:r>
      <w:r>
        <w:t xml:space="preserve"> </w:t>
      </w:r>
      <w:r>
        <w:t xml:space="preserve">pre-Convention items;</w:t>
      </w:r>
    </w:p>
    <w:p>
      <w:pPr>
        <w:pStyle w:val="Compact"/>
        <w:numPr>
          <w:ilvl w:val="0"/>
          <w:numId w:val="1013"/>
        </w:numPr>
      </w:pPr>
      <w:r>
        <w:t xml:space="preserve">tiger</w:t>
      </w:r>
      <w:r>
        <w:t xml:space="preserve"> </w:t>
      </w:r>
      <w:r>
        <w:t xml:space="preserve">“medicine”</w:t>
      </w:r>
      <w:r>
        <w:t xml:space="preserve"> </w:t>
      </w:r>
      <w:r>
        <w:t xml:space="preserve">carried as a personal import;</w:t>
      </w:r>
    </w:p>
    <w:p>
      <w:pPr>
        <w:pStyle w:val="Compact"/>
        <w:numPr>
          <w:ilvl w:val="0"/>
          <w:numId w:val="1013"/>
        </w:numPr>
      </w:pPr>
      <w:r>
        <w:t xml:space="preserve">pre-Convention precious-coral derivatives;</w:t>
      </w:r>
    </w:p>
    <w:p>
      <w:pPr>
        <w:pStyle w:val="Compact"/>
        <w:numPr>
          <w:ilvl w:val="0"/>
          <w:numId w:val="1013"/>
        </w:numPr>
      </w:pPr>
      <w:r>
        <w:t xml:space="preserve">reptile leather of unknown origin and pre-Convention status.</w:t>
      </w:r>
    </w:p>
    <w:p>
      <w:pPr>
        <w:pStyle w:val="FirstParagraph"/>
      </w:pPr>
      <w:r>
        <w:t xml:space="preserve">Two concentrations also show the limits of transferring US enforcement experience: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Musk-deer medicine.</w:t>
      </w:r>
      <w:r>
        <w:t xml:space="preserve"> </w:t>
      </w:r>
      <w:r>
        <w:t xml:space="preserve">15 of the top 25 records are musk-deer (</w:t>
      </w:r>
      <w:r>
        <w:rPr>
          <w:i/>
          <w:iCs/>
        </w:rPr>
        <w:t xml:space="preserve">Moschus</w:t>
      </w:r>
      <w:r>
        <w:t xml:space="preserve">) medicine exported</w:t>
      </w:r>
      <w:r>
        <w:t xml:space="preserve"> </w:t>
      </w:r>
      <w:r>
        <w:t xml:space="preserve">from China, mostly as commercial trade. Musk is a high-value traditional-medicine ingredient, so</w:t>
      </w:r>
      <w:r>
        <w:t xml:space="preserve"> </w:t>
      </w:r>
      <w:r>
        <w:t xml:space="preserve">the flag is not implausible. But the model learned it from US personal-luggage seizures, and</w:t>
      </w:r>
      <w:r>
        <w:t xml:space="preserve"> </w:t>
      </w:r>
      <w:r>
        <w:t xml:space="preserve">commercial exports under CITES permits are a different situation.</w:t>
      </w:r>
      <w:r>
        <w:t xml:space="preserve"> </w:t>
      </w:r>
      <w:r>
        <w:t xml:space="preserve">In practice an analyst would review this pattern once, as a batch, rather than record by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Marine-mammal products: a US legal regime carried abroad.</w:t>
      </w:r>
      <w:r>
        <w:t xml:space="preserve"> </w:t>
      </w:r>
      <w:r>
        <w:t xml:space="preserve">Whale, walrus and seal products</w:t>
      </w:r>
      <w:r>
        <w:t xml:space="preserve"> </w:t>
      </w:r>
      <w:r>
        <w:t xml:space="preserve">make up 12.7% of priority flags but only 0.4% of ranked records. The Greenland → Denmark route</w:t>
      </w:r>
      <w:r>
        <w:t xml:space="preserve"> </w:t>
      </w:r>
      <w:r>
        <w:t xml:space="preserve">(walrus-ivory carvings, minke-whale and beluga meat) is flagged in 95% of its 4,057 records. In</w:t>
      </w:r>
      <w:r>
        <w:t xml:space="preserve"> </w:t>
      </w:r>
      <w:r>
        <w:t xml:space="preserve">LEMIS, marine-mammal products were refused 17.3% of the time, ten times the average. That is</w:t>
      </w:r>
      <w:r>
        <w:t xml:space="preserve"> </w:t>
      </w:r>
      <w:r>
        <w:t xml:space="preserve">consistent with the US Marine Mammal Protection Act, which generally prohibits importing</w:t>
      </w:r>
      <w:r>
        <w:t xml:space="preserve"> </w:t>
      </w:r>
      <w:r>
        <w:t xml:space="preserve">marine-mammal products into the United States. The model has learned a</w:t>
      </w:r>
      <w:r>
        <w:t xml:space="preserve"> </w:t>
      </w:r>
      <w:r>
        <w:rPr>
          <w:i/>
          <w:iCs/>
        </w:rPr>
        <w:t xml:space="preserve">US legal</w:t>
      </w:r>
      <w:r>
        <w:rPr>
          <w:i/>
          <w:iCs/>
        </w:rPr>
        <w:t xml:space="preserve"> </w:t>
      </w:r>
      <w:r>
        <w:rPr>
          <w:i/>
          <w:iCs/>
        </w:rPr>
        <w:t xml:space="preserve">regime</w:t>
      </w:r>
      <w:r>
        <w:t xml:space="preserve"> </w:t>
      </w:r>
      <w:r>
        <w:t xml:space="preserve">and applied it to trade that may be lawful between other countries. This is the</w:t>
      </w:r>
      <w:r>
        <w:t xml:space="preserve"> </w:t>
      </w:r>
      <w:r>
        <w:t xml:space="preserve">clearest example of jurisdiction-specific labels transferring as if they were universal risk.</w:t>
      </w:r>
    </w:p>
    <w:p>
      <w:pPr>
        <w:pStyle w:val="FirstParagraph"/>
      </w:pPr>
      <w:r>
        <w:t xml:space="preserve">The ranking is not simply</w:t>
      </w:r>
      <w:r>
        <w:t xml:space="preserve"> </w:t>
      </w:r>
      <w:r>
        <w:t xml:space="preserve">“US-like”</w:t>
      </w:r>
      <w:r>
        <w:t xml:space="preserve"> </w:t>
      </w:r>
      <w:r>
        <w:t xml:space="preserve">trade. US imports make up 23.7% of ranked records but only</w:t>
      </w:r>
      <w:r>
        <w:t xml:space="preserve"> </w:t>
      </w:r>
      <w:r>
        <w:t xml:space="preserve">16.4% of priority flags, and personal-purpose records are 31% of flags against 3% of records.</w:t>
      </w:r>
    </w:p>
    <w:bookmarkEnd w:id="68"/>
    <w:bookmarkEnd w:id="69"/>
    <w:bookmarkStart w:id="70" w:name="findings-and-discussion"/>
    <w:p>
      <w:pPr>
        <w:pStyle w:val="Heading1"/>
      </w:pPr>
      <w:r>
        <w:t xml:space="preserve">7. Findings and discussion</w:t>
      </w:r>
    </w:p>
    <w:p>
      <w:pPr>
        <w:pStyle w:val="FirstParagraph"/>
      </w:pPr>
      <w:r>
        <w:rPr>
          <w:b/>
          <w:bCs/>
        </w:rPr>
        <w:t xml:space="preserve">1. Enforcement outcomes contain learnable, transferable structure.</w:t>
      </w:r>
      <w:r>
        <w:t xml:space="preserve"> </w:t>
      </w:r>
      <w:r>
        <w:t xml:space="preserve">A model that sees only fields</w:t>
      </w:r>
      <w:r>
        <w:t xml:space="preserve"> </w:t>
      </w:r>
      <w:r>
        <w:t xml:space="preserve">also present in CITES identifies enforcement cases with a PR-AUC of 0.599, 38 times random. What</w:t>
      </w:r>
      <w:r>
        <w:t xml:space="preserve"> </w:t>
      </w:r>
      <w:r>
        <w:t xml:space="preserve">it relies on is</w:t>
      </w:r>
      <w:r>
        <w:t xml:space="preserve"> </w:t>
      </w:r>
      <w:r>
        <w:rPr>
          <w:i/>
          <w:iCs/>
        </w:rPr>
        <w:t xml:space="preserve">context</w:t>
      </w:r>
      <w:r>
        <w:t xml:space="preserve">: declared purpose, origin, taxon, exporter and product form, and how rare</w:t>
      </w:r>
      <w:r>
        <w:t xml:space="preserve"> </w:t>
      </w:r>
      <w:r>
        <w:t xml:space="preserve">that combination is. Single fields are weak, and the</w:t>
      </w:r>
      <w:r>
        <w:t xml:space="preserve"> </w:t>
      </w:r>
      <w:r>
        <w:t xml:space="preserve">“most endangered first”</w:t>
      </w:r>
      <w:r>
        <w:t xml:space="preserve"> </w:t>
      </w:r>
      <w:r>
        <w:t xml:space="preserve">rule is barely better</w:t>
      </w:r>
      <w:r>
        <w:t xml:space="preserve"> </w:t>
      </w:r>
      <w:r>
        <w:t xml:space="preserve">than random. The case for pattern recognition here is not that individual fields are informative.</w:t>
      </w:r>
      <w:r>
        <w:t xml:space="preserve"> </w:t>
      </w:r>
      <w:r>
        <w:t xml:space="preserve">It is that combinations of them are.</w:t>
      </w:r>
    </w:p>
    <w:p>
      <w:pPr>
        <w:pStyle w:val="BodyText"/>
      </w:pPr>
      <w:r>
        <w:rPr>
          <w:b/>
          <w:bCs/>
        </w:rPr>
        <w:t xml:space="preserve">2. The practical value is triage, and it is large.</w:t>
      </w:r>
      <w:r>
        <w:t xml:space="preserve"> </w:t>
      </w:r>
      <w:r>
        <w:t xml:space="preserve">For an inspector with a fixed budget,</w:t>
      </w:r>
      <w:r>
        <w:t xml:space="preserve"> </w:t>
      </w:r>
      <w:r>
        <w:t xml:space="preserve">WildGuard turns 5% of inspections into 70% of cases caught. In confidence-band form, more than</w:t>
      </w:r>
      <w:r>
        <w:t xml:space="preserve"> </w:t>
      </w:r>
      <w:r>
        <w:t xml:space="preserve">half of all shipments can be auto-cleared while missing about 7% of cases. This meets the objective</w:t>
      </w:r>
      <w:r>
        <w:t xml:space="preserve"> </w:t>
      </w:r>
      <w:r>
        <w:t xml:space="preserve">set at the first presentation: a ranked, evidence-grounded shortlist rather than a binary fraud</w:t>
      </w:r>
      <w:r>
        <w:t xml:space="preserve"> </w:t>
      </w:r>
      <w:r>
        <w:t xml:space="preserve">verdict.</w:t>
      </w:r>
    </w:p>
    <w:p>
      <w:pPr>
        <w:pStyle w:val="BodyText"/>
      </w:pPr>
      <w:r>
        <w:rPr>
          <w:b/>
          <w:bCs/>
        </w:rPr>
        <w:t xml:space="preserve">3. Combining supervised and unsupervised evidence helps, but unusual is not illegal.</w:t>
      </w:r>
      <w:r>
        <w:t xml:space="preserve"> </w:t>
      </w:r>
      <w:r>
        <w:t xml:space="preserve">The hybrid</w:t>
      </w:r>
      <w:r>
        <w:t xml:space="preserve"> </w:t>
      </w:r>
      <w:r>
        <w:t xml:space="preserve">consistently edges out its supervised part, and the Isolation Forest is the most useful anomaly</w:t>
      </w:r>
      <w:r>
        <w:t xml:space="preserve"> </w:t>
      </w:r>
      <w:r>
        <w:t xml:space="preserve">detector. On their own the detectors are weak (PR-AUC 0.050), because a great deal of legal</w:t>
      </w:r>
      <w:r>
        <w:t xml:space="preserve"> </w:t>
      </w:r>
      <w:r>
        <w:t xml:space="preserve">trade is statistically unusual. K-Means added nothing; trade profiles do not form well-separated</w:t>
      </w:r>
      <w:r>
        <w:t xml:space="preserve"> </w:t>
      </w:r>
      <w:r>
        <w:t xml:space="preserve">clusters.</w:t>
      </w:r>
    </w:p>
    <w:p>
      <w:pPr>
        <w:pStyle w:val="BodyText"/>
      </w:pPr>
      <w:r>
        <w:rPr>
          <w:b/>
          <w:bCs/>
        </w:rPr>
        <w:t xml:space="preserve">4. Transfer works, and labels beat adaptation.</w:t>
      </w:r>
      <w:r>
        <w:t xml:space="preserve"> </w:t>
      </w:r>
      <w:r>
        <w:t xml:space="preserve">Within LEMIS, ranking quality survives an unseen</w:t>
      </w:r>
      <w:r>
        <w:t xml:space="preserve"> </w:t>
      </w:r>
      <w:r>
        <w:t xml:space="preserve">region with little loss. Neither re-normalising peer norms nor importance weighting made a</w:t>
      </w:r>
      <w:r>
        <w:t xml:space="preserve"> </w:t>
      </w:r>
      <w:r>
        <w:t xml:space="preserve">convincing difference, and importance weighting</w:t>
      </w:r>
      <w:r>
        <w:t xml:space="preserve"> </w:t>
      </w:r>
      <w:r>
        <w:rPr>
          <w:i/>
          <w:iCs/>
        </w:rPr>
        <w:t xml:space="preserve">hurt</w:t>
      </w:r>
      <w:r>
        <w:t xml:space="preserve"> </w:t>
      </w:r>
      <w:r>
        <w:t xml:space="preserve">on CITES-like records once the shift became</w:t>
      </w:r>
      <w:r>
        <w:t xml:space="preserve"> </w:t>
      </w:r>
      <w:r>
        <w:t xml:space="preserve">severe. A small labelled sample from the target, by contrast, closed more than half the gap to a</w:t>
      </w:r>
      <w:r>
        <w:t xml:space="preserve"> </w:t>
      </w:r>
      <w:r>
        <w:t xml:space="preserve">fully supervised model. For a real deployment the most valuable next step is not a cleverer</w:t>
      </w:r>
      <w:r>
        <w:t xml:space="preserve"> </w:t>
      </w:r>
      <w:r>
        <w:t xml:space="preserve">adaptation method. It is a few thousand reviewed CITES records.</w:t>
      </w:r>
    </w:p>
    <w:p>
      <w:pPr>
        <w:pStyle w:val="BodyText"/>
      </w:pPr>
      <w:r>
        <w:rPr>
          <w:b/>
          <w:bCs/>
        </w:rPr>
        <w:t xml:space="preserve">5. On CITES the ranking is plausible and consistent with independent evidence, with</w:t>
      </w:r>
      <w:r>
        <w:rPr>
          <w:b/>
          <w:bCs/>
        </w:rPr>
        <w:t xml:space="preserve"> </w:t>
      </w:r>
      <w:r>
        <w:rPr>
          <w:b/>
          <w:bCs/>
        </w:rPr>
        <w:t xml:space="preserve">identifiable biases.</w:t>
      </w:r>
      <w:r>
        <w:t xml:space="preserve"> </w:t>
      </w:r>
      <w:r>
        <w:t xml:space="preserve">It agrees with UNODC seizure statistics (ρ = 0.864) and finds</w:t>
      </w:r>
      <w:r>
        <w:t xml:space="preserve"> </w:t>
      </w:r>
      <w:r>
        <w:t xml:space="preserve">confiscated specimens it was never told about (AUC 0.87). Its top records are recognisable</w:t>
      </w:r>
      <w:r>
        <w:t xml:space="preserve"> </w:t>
      </w:r>
      <w:r>
        <w:t xml:space="preserve">red-flag patterns. Its known biases are visible in the review queue: musk-deer medicine, and</w:t>
      </w:r>
      <w:r>
        <w:t xml:space="preserve"> </w:t>
      </w:r>
      <w:r>
        <w:t xml:space="preserve">marine-mammal products whose flags reflect a US import prohibition rather than global risk. That is</w:t>
      </w:r>
      <w:r>
        <w:t xml:space="preserve"> </w:t>
      </w:r>
      <w:r>
        <w:t xml:space="preserve">exactly why every flag carries reasons and a human makes the decision.</w:t>
      </w:r>
    </w:p>
    <w:p>
      <w:pPr>
        <w:pStyle w:val="BodyText"/>
      </w:pPr>
      <w:r>
        <w:rPr>
          <w:b/>
          <w:bCs/>
        </w:rPr>
        <w:t xml:space="preserve">6. Most of the risk was in the data engineering.</w:t>
      </w:r>
      <w:r>
        <w:t xml:space="preserve"> </w:t>
      </w:r>
      <w:r>
        <w:t xml:space="preserve">The model is standard; the work that decided</w:t>
      </w:r>
      <w:r>
        <w:t xml:space="preserve"> </w:t>
      </w:r>
      <w:r>
        <w:t xml:space="preserve">whether the results could be trusted was in alignment and validation. Six checks during the project</w:t>
      </w:r>
      <w:r>
        <w:t xml:space="preserve"> </w:t>
      </w:r>
      <w:r>
        <w:t xml:space="preserve">changed our conclusions: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field showed a possible post-decision artefact, so the deployed model does not use it;</w:t>
      </w:r>
    </w:p>
    <w:p>
      <w:pPr>
        <w:pStyle w:val="Compact"/>
        <w:numPr>
          <w:ilvl w:val="0"/>
          <w:numId w:val="1015"/>
        </w:numPr>
      </w:pPr>
      <w:r>
        <w:t xml:space="preserve">domain classifiers that</w:t>
      </w:r>
      <w:r>
        <w:t xml:space="preserve"> </w:t>
      </w:r>
      <w:r>
        <w:t xml:space="preserve">“fingerprinted”</w:t>
      </w:r>
      <w:r>
        <w:t xml:space="preserve"> </w:t>
      </w:r>
      <w:r>
        <w:t xml:space="preserve">populations had to be rebuilt on raw fields;</w:t>
      </w:r>
    </w:p>
    <w:p>
      <w:pPr>
        <w:pStyle w:val="Compact"/>
        <w:numPr>
          <w:ilvl w:val="0"/>
          <w:numId w:val="1015"/>
        </w:numPr>
      </w:pPr>
      <w:r>
        <w:t xml:space="preserve">an importance-weighting decision that looked right in one experiment was reversed by a more</w:t>
      </w:r>
      <w:r>
        <w:t xml:space="preserve"> </w:t>
      </w:r>
      <w:r>
        <w:t xml:space="preserve">relevant one;</w:t>
      </w:r>
    </w:p>
    <w:p>
      <w:pPr>
        <w:pStyle w:val="Compact"/>
        <w:numPr>
          <w:ilvl w:val="0"/>
          <w:numId w:val="1015"/>
        </w:numPr>
      </w:pPr>
      <w:r>
        <w:t xml:space="preserve">records already marked as confiscated were filling a fifth of the review queue and had to be</w:t>
      </w:r>
      <w:r>
        <w:t xml:space="preserve"> </w:t>
      </w:r>
      <w:r>
        <w:t xml:space="preserve">excluded;</w:t>
      </w:r>
    </w:p>
    <w:p>
      <w:pPr>
        <w:pStyle w:val="Compact"/>
        <w:numPr>
          <w:ilvl w:val="0"/>
          <w:numId w:val="1015"/>
        </w:numPr>
      </w:pPr>
      <w:r>
        <w:t xml:space="preserve">figures quoted from an exploratory sample at the first presentation were corrected on the full</w:t>
      </w:r>
      <w:r>
        <w:t xml:space="preserve"> </w:t>
      </w:r>
      <w:r>
        <w:t xml:space="preserve">data;</w:t>
      </w:r>
    </w:p>
    <w:p>
      <w:pPr>
        <w:pStyle w:val="Compact"/>
        <w:numPr>
          <w:ilvl w:val="0"/>
          <w:numId w:val="1015"/>
        </w:numPr>
      </w:pPr>
      <w:r>
        <w:t xml:space="preserve">each statistic cited from the literature was checked against its source document.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The CITES Secretariat and WCO guidance asks agencies to target inspections</w:t>
      </w:r>
      <w:r>
        <w:t xml:space="preserve"> </w:t>
      </w:r>
      <w:r>
        <w:t xml:space="preserve">by risk. Today that happens officer by officer. WildGuard shows that the enforcement experience</w:t>
      </w:r>
      <w:r>
        <w:t xml:space="preserve"> </w:t>
      </w:r>
      <w:r>
        <w:t xml:space="preserve">already recorded in one national dataset can be turned into a statistically grounded, explainable</w:t>
      </w:r>
      <w:r>
        <w:t xml:space="preserve"> </w:t>
      </w:r>
      <w:r>
        <w:t xml:space="preserve">ranking at the scale of the global trade database. It also shows which parts of that experience</w:t>
      </w:r>
      <w:r>
        <w:t xml:space="preserve"> </w:t>
      </w:r>
      <w:r>
        <w:t xml:space="preserve">transfer and which reflect the jurisdiction they came from.</w:t>
      </w:r>
    </w:p>
    <w:bookmarkEnd w:id="70"/>
    <w:bookmarkStart w:id="71" w:name="limitations-and-responsible-use"/>
    <w:p>
      <w:pPr>
        <w:pStyle w:val="Heading1"/>
      </w:pPr>
      <w:r>
        <w:t xml:space="preserve">8. Limitations and responsible use</w:t>
      </w:r>
    </w:p>
    <w:p>
      <w:pPr>
        <w:pStyle w:val="FirstParagraph"/>
      </w:pPr>
      <w:r>
        <w:t xml:space="preserve">WildGuard is designed to support human review, and its limitations follow from that.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Enforcement outcomes are not legality.</w:t>
      </w:r>
      <w:r>
        <w:t xml:space="preserve"> </w:t>
      </w:r>
      <w:r>
        <w:t xml:space="preserve">The label is what US inspectors did. It includes</w:t>
      </w:r>
      <w:r>
        <w:t xml:space="preserve"> </w:t>
      </w:r>
      <w:r>
        <w:t xml:space="preserve">paperwork refusals, and it misses illegal shipments that cleared undetected. The model</w:t>
      </w:r>
      <w:r>
        <w:t xml:space="preserve"> </w:t>
      </w:r>
      <w:r>
        <w:t xml:space="preserve">therefore learns</w:t>
      </w:r>
      <w:r>
        <w:t xml:space="preserve"> </w:t>
      </w:r>
      <w:r>
        <w:rPr>
          <w:i/>
          <w:iCs/>
        </w:rPr>
        <w:t xml:space="preserve">what inspectors acted on</w:t>
      </w:r>
      <w:r>
        <w:t xml:space="preserve">, including their priorities and blind spots, not</w:t>
      </w:r>
      <w:r>
        <w:t xml:space="preserve"> </w:t>
      </w:r>
      <w:r>
        <w:t xml:space="preserve">ground-truth illegality.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Old, US-centric labels.</w:t>
      </w:r>
      <w:r>
        <w:t xml:space="preserve"> </w:t>
      </w:r>
      <w:r>
        <w:t xml:space="preserve">LEMIS covers 2000–2014 and US enforcement only, while CITES</w:t>
      </w:r>
      <w:r>
        <w:t xml:space="preserve"> </w:t>
      </w:r>
      <w:r>
        <w:t xml:space="preserve">scoring covers 2015–2024 worldwide. Trade routes, species listings (for example the 2016</w:t>
      </w:r>
      <w:r>
        <w:t xml:space="preserve"> </w:t>
      </w:r>
      <w:r>
        <w:t xml:space="preserve">transfer of all pangolins to Appendix I) and enforcement practice have all changed since.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Jurisdiction-specific labels.</w:t>
      </w:r>
      <w:r>
        <w:t xml:space="preserve"> </w:t>
      </w:r>
      <w:r>
        <w:t xml:space="preserve">Some LEMIS outcomes reflect US law rather than CITES rules.</w:t>
      </w:r>
      <w:r>
        <w:t xml:space="preserve"> </w:t>
      </w:r>
      <w:r>
        <w:t xml:space="preserve">Marine-mammal products, for example, are refused at ten times the average rate, consistent with</w:t>
      </w:r>
      <w:r>
        <w:t xml:space="preserve"> </w:t>
      </w:r>
      <w:r>
        <w:t xml:space="preserve">the US Marine Mammal Protection Act’s import prohibition. The transferred model flags such</w:t>
      </w:r>
      <w:r>
        <w:t xml:space="preserve"> </w:t>
      </w:r>
      <w:r>
        <w:t xml:space="preserve">products in trade between other countries where they may be lawful (§6.7). A deployment should</w:t>
      </w:r>
      <w:r>
        <w:t xml:space="preserve"> </w:t>
      </w:r>
      <w:r>
        <w:t xml:space="preserve">add importer-specific rules or exclusions for regime-specific taxa.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Appendix lookup uses current listing status.</w:t>
      </w:r>
      <w:r>
        <w:t xml:space="preserve"> </w:t>
      </w:r>
      <w:r>
        <w:t xml:space="preserve">LEMIS has no appendix field. We attach each</w:t>
      </w:r>
      <w:r>
        <w:t xml:space="preserve"> </w:t>
      </w:r>
      <w:r>
        <w:t xml:space="preserve">taxon’s most recent CITES appendix, which may differ from its status at the time of a</w:t>
      </w:r>
      <w:r>
        <w:t xml:space="preserve"> </w:t>
      </w:r>
      <w:r>
        <w:t xml:space="preserve">2000–2014 shipment.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Personal vs commercial mismatch.</w:t>
      </w:r>
      <w:r>
        <w:t xml:space="preserve"> </w:t>
      </w:r>
      <w:r>
        <w:t xml:space="preserve">Half of LEMIS enforcement cases are personal imports,</w:t>
      </w:r>
      <w:r>
        <w:t xml:space="preserve"> </w:t>
      </w:r>
      <w:r>
        <w:t xml:space="preserve">while 90% of CITES records are commercial. On commercial shipments alone the deployed model’s PR-AUC is 0.276 (34× random) against 0.599 overall, so the headline figures overstate performance on CITES-like commercial trade (§6.5).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accuracy claim on CITES.</w:t>
      </w:r>
      <w:r>
        <w:t xml:space="preserve"> </w:t>
      </w:r>
      <w:r>
        <w:t xml:space="preserve">Without labels, the CITES-side checks (§6.7) establish</w:t>
      </w:r>
      <w:r>
        <w:t xml:space="preserve"> </w:t>
      </w:r>
      <w:r>
        <w:t xml:space="preserve">directional plausibility only. Scores on CITES are rankings within an inspection budget, not</w:t>
      </w:r>
      <w:r>
        <w:t xml:space="preserve"> </w:t>
      </w:r>
      <w:r>
        <w:t xml:space="preserve">probabilities. Many trades appear twice in CITES (reported by both exporter and importer),</w:t>
      </w:r>
      <w:r>
        <w:t xml:space="preserve"> </w:t>
      </w:r>
      <w:r>
        <w:t xml:space="preserve">and we did not de-duplicate these mirror records.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Value-field caveat.</w:t>
      </w:r>
      <w:r>
        <w:t xml:space="preserve"> </w:t>
      </w:r>
      <w:r>
        <w:t xml:space="preserve">Zero declared values are more common among refused LEMIS items (24%</w:t>
      </w:r>
      <w:r>
        <w:t xml:space="preserve"> </w:t>
      </w:r>
      <w:r>
        <w:t xml:space="preserve">vs 10%), possibly because values are recorded after the decision.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model’s results</w:t>
      </w:r>
      <w:r>
        <w:t xml:space="preserve"> </w:t>
      </w:r>
      <w:r>
        <w:t xml:space="preserve">may therefore be slightly optimistic. The deployed</w:t>
      </w:r>
      <w: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t xml:space="preserve">model does not use value.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Bias and feedback loops.</w:t>
      </w:r>
      <w:r>
        <w:t xml:space="preserve"> </w:t>
      </w:r>
      <w:r>
        <w:t xml:space="preserve">Country and route features encode where enforcement has looked</w:t>
      </w:r>
      <w:r>
        <w:t xml:space="preserve"> </w:t>
      </w:r>
      <w:r>
        <w:t xml:space="preserve">before. Flags concentrate on particular exporters, and acting on them without review could</w:t>
      </w:r>
      <w:r>
        <w:t xml:space="preserve"> </w:t>
      </w:r>
      <w:r>
        <w:t xml:space="preserve">reinforce existing enforcement patterns. Flags must remain prompts for human review; flag</w:t>
      </w:r>
      <w:r>
        <w:t xml:space="preserve"> </w:t>
      </w:r>
      <w:r>
        <w:t xml:space="preserve">rates by country should be monitored; and no automatic action should be taken on a score.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Weak cluster structure.</w:t>
      </w:r>
      <w:r>
        <w:t xml:space="preserve"> </w:t>
      </w:r>
      <w:r>
        <w:t xml:space="preserve">K-Means adds nothing to the hybrid, and silhouette scores were</w:t>
      </w:r>
      <w:r>
        <w:t xml:space="preserve"> </w:t>
      </w:r>
      <w:r>
        <w:t xml:space="preserve">modest. Trade profiles do not form well-separated clusters, so distance to a centroid is a</w:t>
      </w:r>
      <w:r>
        <w:t xml:space="preserve"> </w:t>
      </w:r>
      <w:r>
        <w:t xml:space="preserve">poor anomaly measure here.</w:t>
      </w:r>
    </w:p>
    <w:bookmarkEnd w:id="71"/>
    <w:bookmarkStart w:id="72" w:name="future-work"/>
    <w:p>
      <w:pPr>
        <w:pStyle w:val="Heading1"/>
      </w:pPr>
      <w:r>
        <w:t xml:space="preserve">9. Future work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small labelled sample from a CITES authority.</w:t>
      </w:r>
      <w:r>
        <w:t xml:space="preserve"> </w:t>
      </w:r>
      <w:r>
        <w:t xml:space="preserve">In the simulated shift, 5% of target</w:t>
      </w:r>
      <w:r>
        <w:t xml:space="preserve"> </w:t>
      </w:r>
      <w:r>
        <w:t xml:space="preserve">labels recovered more than half of the gap to a fully supervised target model (§6.6). A</w:t>
      </w:r>
      <w:r>
        <w:t xml:space="preserve"> </w:t>
      </w:r>
      <w:r>
        <w:t xml:space="preserve">few thousand reviewed CITES records would be the most valuable next step.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Newer LEMIS data.</w:t>
      </w:r>
      <w:r>
        <w:t xml:space="preserve"> </w:t>
      </w:r>
      <w:r>
        <w:t xml:space="preserve">Freedom of Information Act releases after 2014 would shrink the</w:t>
      </w:r>
      <w:r>
        <w:t xml:space="preserve"> </w:t>
      </w:r>
      <w:r>
        <w:t xml:space="preserve">temporal gap to the CITES scoring window.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Mirror-record discrepancies.</w:t>
      </w:r>
      <w:r>
        <w:t xml:space="preserve"> </w:t>
      </w:r>
      <w:r>
        <w:t xml:space="preserve">Comparing the exporter-reported and importer-reported</w:t>
      </w:r>
      <w:r>
        <w:t xml:space="preserve"> </w:t>
      </w:r>
      <w:r>
        <w:t xml:space="preserve">quantities for the same permit is an independent, label-free risk signal that CITES data</w:t>
      </w:r>
      <w:r>
        <w:t xml:space="preserve"> </w:t>
      </w:r>
      <w:r>
        <w:t xml:space="preserve">already supports.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Analyst feedback loop.</w:t>
      </w:r>
      <w:r>
        <w:t xml:space="preserve"> </w:t>
      </w:r>
      <w:r>
        <w:t xml:space="preserve">Each reviewed flag becomes a new label, which allows active learning</w:t>
      </w:r>
      <w:r>
        <w:t xml:space="preserve"> </w:t>
      </w:r>
      <w:r>
        <w:t xml:space="preserve">and periodic retraining. This turns the triage tool into a learning system.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Fairness monitoring.</w:t>
      </w:r>
      <w:r>
        <w:t xml:space="preserve"> </w:t>
      </w:r>
      <w:r>
        <w:t xml:space="preserve">Track flag and confirmation rates by exporter country and taxon, and</w:t>
      </w:r>
      <w:r>
        <w:t xml:space="preserve"> </w:t>
      </w:r>
      <w:r>
        <w:t xml:space="preserve">calibrate per group where reviewed labels allow.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Taxonomic hierarchy features.</w:t>
      </w:r>
      <w:r>
        <w:t xml:space="preserve"> </w:t>
      </w:r>
      <w:r>
        <w:t xml:space="preserve">Learned embeddings of family and order would let rare genera</w:t>
      </w:r>
      <w:r>
        <w:t xml:space="preserve"> </w:t>
      </w:r>
      <w:r>
        <w:t xml:space="preserve">borrow strength from their relatives.</w:t>
      </w:r>
    </w:p>
    <w:bookmarkEnd w:id="72"/>
    <w:bookmarkStart w:id="73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WildGuard set out to answer whether real enforcement outcomes recorded in LEMIS can be used to</w:t>
      </w:r>
      <w:r>
        <w:t xml:space="preserve"> </w:t>
      </w:r>
      <w:r>
        <w:t xml:space="preserve">prioritise review in the much larger, unlabelled CITES database. On the five research questions: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RQ1 – does it work?</w:t>
      </w:r>
      <w:r>
        <w:t xml:space="preserve"> </w:t>
      </w:r>
      <w:r>
        <w:t xml:space="preserve">Yes. On held-out 2013–2014 shipments the deployed model reaches PR-AUC</w:t>
      </w:r>
      <w:r>
        <w:t xml:space="preserve"> </w:t>
      </w:r>
      <w:r>
        <w:t xml:space="preserve">0.599 (random 0.016) and ROC-AUC 0.913.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RQ2 – is it useful?</w:t>
      </w:r>
      <w:r>
        <w:t xml:space="preserve"> </w:t>
      </w:r>
      <w:r>
        <w:t xml:space="preserve">Inspecting the top 5% catches 70% of enforcement cases. Catching 80%</w:t>
      </w:r>
      <w:r>
        <w:t xml:space="preserve"> </w:t>
      </w:r>
      <w:r>
        <w:t xml:space="preserve">needs 13% of shipments inspected instead of 80%.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RQ3 – does the hybrid help?</w:t>
      </w:r>
      <w:r>
        <w:t xml:space="preserve"> </w:t>
      </w:r>
      <w:r>
        <w:t xml:space="preserve">Modestly but consistently. Unsupervised detection alone is weak,</w:t>
      </w:r>
      <w:r>
        <w:t xml:space="preserve"> </w:t>
      </w:r>
      <w:r>
        <w:t xml:space="preserve">and the hybrid improves on the supervised model.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RQ4 – does it transfer?</w:t>
      </w:r>
      <w:r>
        <w:t xml:space="preserve"> </w:t>
      </w:r>
      <w:r>
        <w:t xml:space="preserve">Ranking quality survives a regional shift. Label-free adaptation adds</w:t>
      </w:r>
      <w:r>
        <w:t xml:space="preserve"> </w:t>
      </w:r>
      <w:r>
        <w:t xml:space="preserve">little, and a small labelled target sample is the strongest lever.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RQ5 – what does it find in CITES?</w:t>
      </w:r>
      <w:r>
        <w:t xml:space="preserve"> </w:t>
      </w:r>
      <w:r>
        <w:t xml:space="preserve">A ranking that agrees with independent seizure statistics</w:t>
      </w:r>
      <w:r>
        <w:t xml:space="preserve"> </w:t>
      </w:r>
      <w:r>
        <w:t xml:space="preserve">(ρ = 0.864) and with CITES’s own record of confiscated specimens (AUC 0.87), with its biases</w:t>
      </w:r>
      <w:r>
        <w:t xml:space="preserve"> </w:t>
      </w:r>
      <w:r>
        <w:t xml:space="preserve">visible and explained.</w:t>
      </w:r>
    </w:p>
    <w:p>
      <w:pPr>
        <w:pStyle w:val="FirstParagraph"/>
      </w:pPr>
      <w:r>
        <w:t xml:space="preserve">The project develops and integrates supervised and unsupervised learning, gradient-boosted and</w:t>
      </w:r>
      <w:r>
        <w:t xml:space="preserve"> </w:t>
      </w:r>
      <w:r>
        <w:t xml:space="preserve">bagged ensembles, and a stacked hybrid, delivered as a runnable review tool with explanations on</w:t>
      </w:r>
      <w:r>
        <w:t xml:space="preserve"> </w:t>
      </w:r>
      <w:r>
        <w:t xml:space="preserve">every flag. Its honest claim is the one stated at the outset: a WildGuard flag is a well-founded</w:t>
      </w:r>
      <w:r>
        <w:t xml:space="preserve"> </w:t>
      </w:r>
      <w:r>
        <w:t xml:space="preserve">prompt for limited human attention, not a verdict.</w:t>
      </w:r>
    </w:p>
    <w:bookmarkEnd w:id="73"/>
    <w:bookmarkStart w:id="7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CITES Secretariat (2025).</w:t>
      </w:r>
      <w:r>
        <w:t xml:space="preserve"> </w:t>
      </w:r>
      <w:r>
        <w:rPr>
          <w:i/>
          <w:iCs/>
        </w:rPr>
        <w:t xml:space="preserve">Notification to the Parties No. 2025/015: CITES–WCO workshop on risk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 and inspections for CITES trade controls; draft Guidance on Risk Assessment and</w:t>
      </w:r>
      <w:r>
        <w:rPr>
          <w:i/>
          <w:iCs/>
        </w:rPr>
        <w:t xml:space="preserve"> </w:t>
      </w:r>
      <w:r>
        <w:rPr>
          <w:i/>
          <w:iCs/>
        </w:rPr>
        <w:t xml:space="preserve">Inspections for CITES Trade Controls</w:t>
      </w:r>
      <w:r>
        <w:t xml:space="preserve">. Geneva: CITES Secretariat.</w:t>
      </w:r>
      <w:r>
        <w:t xml:space="preserve"> </w:t>
      </w:r>
      <w:r>
        <w:t xml:space="preserve">https://cites.org/sites/default/files/notifications/E-Notif-2025-015_0.pdf</w:t>
      </w:r>
    </w:p>
    <w:p>
      <w:pPr>
        <w:pStyle w:val="BodyText"/>
      </w:pPr>
      <w:r>
        <w:t xml:space="preserve">CITES Conference of the Parties (2025).</w:t>
      </w:r>
      <w:r>
        <w:t xml:space="preserve"> </w:t>
      </w:r>
      <w:r>
        <w:rPr>
          <w:i/>
          <w:iCs/>
        </w:rPr>
        <w:t xml:space="preserve">Decisions 20.130–20.131: Guidance for risk assessment and</w:t>
      </w:r>
      <w:r>
        <w:rPr>
          <w:i/>
          <w:iCs/>
        </w:rPr>
        <w:t xml:space="preserve"> </w:t>
      </w:r>
      <w:r>
        <w:rPr>
          <w:i/>
          <w:iCs/>
        </w:rPr>
        <w:t xml:space="preserve">inspections for CITES trade controls</w:t>
      </w:r>
      <w:r>
        <w:t xml:space="preserve">. CoP20, December 2025.</w:t>
      </w:r>
    </w:p>
    <w:p>
      <w:pPr>
        <w:pStyle w:val="BodyText"/>
      </w:pPr>
      <w:r>
        <w:t xml:space="preserve">CITES Trade Database 2026. Compiled by UNEP-WCMC for the CITES Secretariat. Available at:</w:t>
      </w:r>
      <w:r>
        <w:t xml:space="preserve"> </w:t>
      </w:r>
      <w:r>
        <w:t xml:space="preserve">trade.cites.org. Accessed 27 October 2026.</w:t>
      </w:r>
    </w:p>
    <w:p>
      <w:pPr>
        <w:pStyle w:val="BodyText"/>
      </w:pPr>
      <w:r>
        <w:t xml:space="preserve">Full CITES Trade Database Download. Version 2026.1. Compiled by UNEP-WCMC, Cambridge, UK for the</w:t>
      </w:r>
      <w:r>
        <w:t xml:space="preserve"> </w:t>
      </w:r>
      <w:r>
        <w:t xml:space="preserve">CITES Secretariat, Geneva, Switzerland. Available at: trade.cites.org.</w:t>
      </w:r>
    </w:p>
    <w:p>
      <w:pPr>
        <w:pStyle w:val="BodyText"/>
      </w:pPr>
      <w:r>
        <w:t xml:space="preserve">Eskew, E. A., White, A. M., Ross, N., Smith, K. M., Smith, K. F., Rodríguez, J. P.,</w:t>
      </w:r>
      <w:r>
        <w:t xml:space="preserve"> </w:t>
      </w:r>
      <w:r>
        <w:t xml:space="preserve">Zambrana-Torrelio, C., Karesh, W. B., &amp; Daszak, P. (2019).</w:t>
      </w:r>
      <w:r>
        <w:t xml:space="preserve"> </w:t>
      </w:r>
      <w:r>
        <w:rPr>
          <w:i/>
          <w:iCs/>
        </w:rPr>
        <w:t xml:space="preserve">United States LEMIS wildlife trade data</w:t>
      </w:r>
      <w:r>
        <w:rPr>
          <w:i/>
          <w:iCs/>
        </w:rPr>
        <w:t xml:space="preserve"> </w:t>
      </w:r>
      <w:r>
        <w:rPr>
          <w:i/>
          <w:iCs/>
        </w:rPr>
        <w:t xml:space="preserve">curated by EcoHealth Alliance</w:t>
      </w:r>
      <w:r>
        <w:t xml:space="preserve"> </w:t>
      </w:r>
      <w:r>
        <w:t xml:space="preserve">(Version 1.1.0) [Data set]. Zenodo.</w:t>
      </w:r>
      <w:r>
        <w:t xml:space="preserve"> </w:t>
      </w:r>
      <w:r>
        <w:t xml:space="preserve">https://doi.org/10.5281/zenodo.3565869</w:t>
      </w:r>
    </w:p>
    <w:p>
      <w:pPr>
        <w:pStyle w:val="BodyText"/>
      </w:pPr>
      <w:r>
        <w:t xml:space="preserve">Eskew, E. A., White, A. M., Ross, N., Smith, K. M., Smith, K. F., Rodríguez, J. P.,</w:t>
      </w:r>
      <w:r>
        <w:t xml:space="preserve"> </w:t>
      </w:r>
      <w:r>
        <w:t xml:space="preserve">Zambrana-Torrelio, C., Karesh, W. B., &amp; Daszak, P. (2020). United States wildlife and wildlife</w:t>
      </w:r>
      <w:r>
        <w:t xml:space="preserve"> </w:t>
      </w:r>
      <w:r>
        <w:t xml:space="preserve">product imports from 2000–2014.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7, 22. https://doi.org/10.1038/s41597-020-0354-5</w:t>
      </w:r>
    </w:p>
    <w:p>
      <w:pPr>
        <w:pStyle w:val="BodyText"/>
      </w:pPr>
      <w:r>
        <w:t xml:space="preserve">Chen, T., &amp; Guestrin, C. (2016). XGBoost: A scalable tree boosting system.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22nd ACM SIGKDD International Conference on Knowledge Discovery and Data Mining</w:t>
      </w:r>
      <w:r>
        <w:t xml:space="preserve">, 785–794.</w:t>
      </w:r>
    </w:p>
    <w:p>
      <w:pPr>
        <w:pStyle w:val="BodyText"/>
      </w:pPr>
      <w:r>
        <w:t xml:space="preserve">Liu, F. T., Ting, K. M., &amp; Zhou, Z.-H. (2008). Isolation forest.</w:t>
      </w:r>
      <w:r>
        <w:t xml:space="preserve"> </w:t>
      </w:r>
      <w:r>
        <w:rPr>
          <w:i/>
          <w:iCs/>
        </w:rPr>
        <w:t xml:space="preserve">Proceedings of the 8th IEEE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Data Mining</w:t>
      </w:r>
      <w:r>
        <w:t xml:space="preserve">, 413–422.</w:t>
      </w:r>
    </w:p>
    <w:p>
      <w:pPr>
        <w:pStyle w:val="BodyText"/>
      </w:pPr>
      <w:r>
        <w:t xml:space="preserve">Lundberg, S. M., Erion, G., Chen, H., DeGrave, A., Prutkin, J. M., Nair, B., Katz, R., Himmelfarb,</w:t>
      </w:r>
      <w:r>
        <w:t xml:space="preserve"> </w:t>
      </w:r>
      <w:r>
        <w:t xml:space="preserve">J., Bansal, N., &amp; Lee, S.-I. (2020). From local explanations to global understanding with</w:t>
      </w:r>
      <w:r>
        <w:t xml:space="preserve"> </w:t>
      </w:r>
      <w:r>
        <w:t xml:space="preserve">explainable AI for trees.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2, 56–67.</w:t>
      </w:r>
    </w:p>
    <w:p>
      <w:pPr>
        <w:pStyle w:val="BodyText"/>
      </w:pPr>
      <w:r>
        <w:t xml:space="preserve">Peng, X., Wei, Y., Deng, A., Wang, D., &amp; Hu, D. (2022). Balanced multimodal learning via</w:t>
      </w:r>
      <w:r>
        <w:t xml:space="preserve"> </w:t>
      </w:r>
      <w:r>
        <w:t xml:space="preserve">on-the-fly gradient modulation.</w:t>
      </w:r>
      <w:r>
        <w:t xml:space="preserve"> </w:t>
      </w:r>
      <w:r>
        <w:rPr>
          <w:i/>
          <w:iCs/>
        </w:rPr>
        <w:t xml:space="preserve">Proceedings of the IEEE/CVF Conference on Computer Vision and</w:t>
      </w:r>
      <w:r>
        <w:rPr>
          <w:i/>
          <w:iCs/>
        </w:rPr>
        <w:t xml:space="preserve"> </w:t>
      </w:r>
      <w:r>
        <w:rPr>
          <w:i/>
          <w:iCs/>
        </w:rPr>
        <w:t xml:space="preserve">Pattern Recognition (CVPR)</w:t>
      </w:r>
      <w:r>
        <w:t xml:space="preserve">.</w:t>
      </w:r>
    </w:p>
    <w:p>
      <w:pPr>
        <w:pStyle w:val="BodyText"/>
      </w:pPr>
      <w:r>
        <w:t xml:space="preserve">Rousseeuw, P. J. (1987). Silhouettes: A graphical aid to the interpretation and validation of</w:t>
      </w:r>
      <w:r>
        <w:t xml:space="preserve"> </w:t>
      </w:r>
      <w:r>
        <w:t xml:space="preserve">cluster analysis.</w:t>
      </w:r>
      <w:r>
        <w:t xml:space="preserve"> </w:t>
      </w:r>
      <w:r>
        <w:rPr>
          <w:i/>
          <w:iCs/>
        </w:rPr>
        <w:t xml:space="preserve">Journal of Computational and Applied Mathematics</w:t>
      </w:r>
      <w:r>
        <w:t xml:space="preserve">, 20, 53–65.</w:t>
      </w:r>
    </w:p>
    <w:p>
      <w:pPr>
        <w:pStyle w:val="BodyText"/>
      </w:pPr>
      <w:r>
        <w:t xml:space="preserve">Shimodaira, H. (2000). Improving predictive inference under covariate shift by weighting the</w:t>
      </w:r>
      <w:r>
        <w:t xml:space="preserve"> </w:t>
      </w:r>
      <w:r>
        <w:t xml:space="preserve">log-likelihood function.</w:t>
      </w:r>
      <w:r>
        <w:t xml:space="preserve"> </w:t>
      </w:r>
      <w:r>
        <w:rPr>
          <w:i/>
          <w:iCs/>
        </w:rPr>
        <w:t xml:space="preserve">Journal of Statistical Planning and Inference</w:t>
      </w:r>
      <w:r>
        <w:t xml:space="preserve">, 90(2), 227–244.</w:t>
      </w:r>
    </w:p>
    <w:p>
      <w:pPr>
        <w:pStyle w:val="BodyText"/>
      </w:pPr>
      <w:r>
        <w:t xml:space="preserve">Wang, W., Tran, D., &amp; Feiszli, M. (2020). What makes training multi-modal classification networks</w:t>
      </w:r>
      <w:r>
        <w:t xml:space="preserve"> </w:t>
      </w:r>
      <w:r>
        <w:t xml:space="preserve">hard?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 (CVPR)</w:t>
      </w:r>
      <w:r>
        <w:t xml:space="preserve">.</w:t>
      </w:r>
    </w:p>
    <w:p>
      <w:pPr>
        <w:pStyle w:val="BodyText"/>
      </w:pPr>
      <w:r>
        <w:t xml:space="preserve">Wolpert, D. H. (1992). Stacked generalization.</w:t>
      </w:r>
      <w:r>
        <w:t xml:space="preserve"> </w:t>
      </w:r>
      <w:r>
        <w:rPr>
          <w:i/>
          <w:iCs/>
        </w:rPr>
        <w:t xml:space="preserve">Neural Networks</w:t>
      </w:r>
      <w:r>
        <w:t xml:space="preserve">, 5(2), 241–259.</w:t>
      </w:r>
    </w:p>
    <w:p>
      <w:pPr>
        <w:pStyle w:val="BodyText"/>
      </w:pPr>
      <w:r>
        <w:t xml:space="preserve">Wu, N., Jastrzębski, S., Cho, K., &amp; Geras, K. J. (2022). Characterizing and overcoming the greedy</w:t>
      </w:r>
      <w:r>
        <w:t xml:space="preserve"> </w:t>
      </w:r>
      <w:r>
        <w:t xml:space="preserve">nature of learning in multi-modal deep neural networks.</w:t>
      </w:r>
      <w:r>
        <w:t xml:space="preserve"> </w:t>
      </w:r>
      <w:r>
        <w:rPr>
          <w:i/>
          <w:iCs/>
        </w:rPr>
        <w:t xml:space="preserve">Proceedings of the 39th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Machine Learning (ICML)</w:t>
      </w:r>
      <w:r>
        <w:t xml:space="preserve">, PMLR 162, 24043–24055.</w:t>
      </w:r>
    </w:p>
    <w:p>
      <w:pPr>
        <w:pStyle w:val="BodyText"/>
      </w:pPr>
      <w:r>
        <w:t xml:space="preserve">UNODC (2024).</w:t>
      </w:r>
      <w:r>
        <w:t xml:space="preserve"> </w:t>
      </w:r>
      <w:r>
        <w:rPr>
          <w:i/>
          <w:iCs/>
        </w:rPr>
        <w:t xml:space="preserve">World Wildlife Crime Report 2024: Trafficking in Protected Species</w:t>
      </w:r>
      <w:r>
        <w:t xml:space="preserve">. Vienna: United</w:t>
      </w:r>
      <w:r>
        <w:t xml:space="preserve"> </w:t>
      </w:r>
      <w:r>
        <w:t xml:space="preserve">Nations Office on Drugs and Crime.</w:t>
      </w:r>
    </w:p>
    <w:bookmarkEnd w:id="74"/>
    <w:bookmarkStart w:id="75" w:name="appendix-a-repository-and-how-to-run"/>
    <w:p>
      <w:pPr>
        <w:pStyle w:val="Heading1"/>
      </w:pPr>
      <w:r>
        <w:t xml:space="preserve">Appendix A — Repository and how to run</w:t>
      </w:r>
    </w:p>
    <w:p>
      <w:pPr>
        <w:pStyle w:val="SourceCode"/>
      </w:pPr>
      <w:r>
        <w:rPr>
          <w:rStyle w:val="VerbatimChar"/>
        </w:rPr>
        <w:t xml:space="preserve">PRS-PM-Group-37-WildGuard/</w:t>
      </w:r>
      <w:r>
        <w:br/>
      </w:r>
      <w:r>
        <w:rPr>
          <w:rStyle w:val="VerbatimChar"/>
        </w:rPr>
        <w:t xml:space="preserve">├── SYSTEM CODE/          runnable system: wildguard/ package, app/, models/, outputs/</w:t>
      </w:r>
      <w:r>
        <w:br/>
      </w:r>
      <w:r>
        <w:rPr>
          <w:rStyle w:val="VerbatimChar"/>
        </w:rPr>
        <w:t xml:space="preserve">├── DATA/                 data README + citations, download script, codebook, samples</w:t>
      </w:r>
      <w:r>
        <w:br/>
      </w:r>
      <w:r>
        <w:rPr>
          <w:rStyle w:val="VerbatimChar"/>
        </w:rPr>
        <w:t xml:space="preserve">├── Project Report/       this report (.md, .docx, .pdf) and its figures</w:t>
      </w:r>
      <w:r>
        <w:br/>
      </w:r>
      <w:r>
        <w:rPr>
          <w:rStyle w:val="VerbatimChar"/>
        </w:rPr>
        <w:t xml:space="preserve">└── Presentation/         first presentation (PDF), final presentation (.pptx) and video script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CODE/requirements.txt"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</w:t>
      </w:r>
      <w:r>
        <w:rPr>
          <w:rStyle w:val="StringTok"/>
        </w:rPr>
        <w:t xml:space="preserve">"SYSTEM CODE/app/app.py"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MVP, runs from committed artefacts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DATA/download_data.py                    </w:t>
      </w:r>
      <w:r>
        <w:rPr>
          <w:rStyle w:val="CommentTok"/>
        </w:rPr>
        <w:t xml:space="preserve"># raw data (LEMIS automatic, CITES manual)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CODE/run_pipeline.sh"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full rebuild, ~40 minutes</w:t>
      </w:r>
    </w:p>
    <w:bookmarkEnd w:id="75"/>
    <w:sectPr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Our first presentation quoted peer figures (26 peer shipments of 19–250 animals at a</w:t>
      </w:r>
      <w:r>
        <w:t xml:space="preserve"> </w:t>
      </w:r>
      <w:r>
        <w:t xml:space="preserve">median of $6) from an exploratory LEMIS sample. The figures here are recomputed on the full</w:t>
      </w:r>
      <w:r>
        <w:t xml:space="preserve"> </w:t>
      </w:r>
      <w:r>
        <w:t xml:space="preserve">dataset.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Labels exist, but in the wrong place.</w:t>
      </w:r>
      <w:r>
        <w:t xml:space="preserve"> </w:t>
      </w:r>
      <w:r>
        <w:t xml:space="preserve">The outcomes needed to learn what risk looks like</w:t>
      </w:r>
      <w:r>
        <w:t xml:space="preserve"> </w:t>
      </w:r>
      <w:r>
        <w:t xml:space="preserve">exist in one national dataset (LEMIS) but not in the global one (CITES).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262B2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Calibri" w:hAnsi="Calibri"/>
      <w:color w:val="262B26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262B26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262B26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mbria" w:cs="Cambria" w:eastAsia="Cambria" w:hAnsi="Cambria"/>
      <w:b/>
      <w:color w:val="2C5F2D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mbria" w:cs="Cambria" w:eastAsia="Cambria" w:hAnsi="Cambria"/>
      <w:b w:val="0"/>
      <w:color w:val="1A2E1B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mbria" w:cs="Cambria" w:eastAsia="Cambria" w:hAnsi="Cambria"/>
      <w:b/>
      <w:color w:val="2C5F2D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mbria" w:cs="Cambria" w:eastAsia="Cambria" w:hAnsi="Cambria"/>
      <w:b/>
      <w:color w:val="2C5F2D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mbria" w:cs="Cambria" w:eastAsia="Cambria" w:hAnsi="Cambria"/>
      <w:b/>
      <w:color w:val="1A2E1B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A2E1B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color w:val="262B26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color w:val="555E55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555E55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35" Target="media/rId3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16" Target="media/rId16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25" Target="media/rId25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WildGuard</dc:title>
  <dc:creator>Group 37 · NUS-ISS Graduate Certificate in Pattern Recognition Systems · Practice Module</dc:creator>
  <cp:keywords/>
  <dcterms:created xsi:type="dcterms:W3CDTF">2026-10-27T09:03:59Z</dcterms:created>
  <dcterms:modified xsi:type="dcterms:W3CDTF">2026-10-27T09:03:59Z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Cross-Dataset Label Transfer for Wildlife-Trade Risk Prioritisation — Final Project Report</vt:lpwstr>
  </property>
</Properties>
</file>