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00"/>
      </w:pPr>
      <w:r>
        <w:rPr>
          <w:rFonts w:ascii="Arial" w:cs="Arial" w:eastAsia="Arial" w:hAnsi="Arial"/>
          <w:b/>
          <w:bCs/>
          <w:color w:val="1F6FEB"/>
          <w:sz w:val="34"/>
          <w:szCs w:val="34"/>
        </w:rPr>
        <w:t xml:space="preserve">Coastal Cash and Shelter Recovery</w:t>
      </w:r>
    </w:p>
    <w:p>
      <w:pPr>
        <w:spacing w:after="280" w:before="0" w:line="300"/>
      </w:pPr>
      <w:r>
        <w:rPr>
          <w:rFonts w:ascii="Arial" w:cs="Arial" w:eastAsia="Arial" w:hAnsi="Arial"/>
          <w:color w:val="667085"/>
          <w:sz w:val="21"/>
          <w:szCs w:val="21"/>
        </w:rPr>
        <w:t xml:space="preserve">ECHO proposal, evidence pack, and reporting schedule for app demo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20" w:before="0" w:line="300"/>
            </w:pPr>
            <w:r>
              <w:rPr>
                <w:rFonts w:ascii="Arial" w:cs="Arial" w:eastAsia="Arial" w:hAnsi="Arial"/>
                <w:b/>
                <w:bCs/>
                <w:color w:val="1F6FEB"/>
                <w:sz w:val="22"/>
                <w:szCs w:val="22"/>
              </w:rPr>
              <w:t xml:space="preserve">Project code</w:t>
            </w:r>
          </w:p>
        </w:tc>
        <w:tc>
          <w:tcPr>
            <w:tcW w:type="dxa" w:w="686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20" w:before="0" w:line="300"/>
            </w:pPr>
            <w:r>
              <w:rPr>
                <w:rFonts w:ascii="Arial" w:cs="Arial" w:eastAsia="Arial" w:hAnsi="Arial"/>
                <w:color w:val="17202A"/>
                <w:sz w:val="22"/>
                <w:szCs w:val="22"/>
              </w:rPr>
              <w:t xml:space="preserve">ADPC-DEMO-901</w:t>
            </w:r>
          </w:p>
        </w:tc>
      </w:tr>
      <w:tr>
        <w:tc>
          <w:tcPr>
            <w:tcW w:type="dxa" w:w="2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b/>
                <w:bCs/>
                <w:color w:val="1F6FEB"/>
                <w:sz w:val="22"/>
                <w:szCs w:val="22"/>
              </w:rPr>
              <w:t xml:space="preserve">Funder</w:t>
            </w:r>
          </w:p>
        </w:tc>
        <w:tc>
          <w:tcPr>
            <w:tcW w:type="dxa" w:w="68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color w:val="17202A"/>
                <w:sz w:val="22"/>
                <w:szCs w:val="22"/>
              </w:rPr>
              <w:t xml:space="preserve">ECHO</w:t>
            </w:r>
          </w:p>
        </w:tc>
      </w:tr>
      <w:tr>
        <w:tc>
          <w:tcPr>
            <w:tcW w:type="dxa" w:w="2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b/>
                <w:bCs/>
                <w:color w:val="1F6FEB"/>
                <w:sz w:val="22"/>
                <w:szCs w:val="22"/>
              </w:rPr>
              <w:t xml:space="preserve">Sector</w:t>
            </w:r>
          </w:p>
        </w:tc>
        <w:tc>
          <w:tcPr>
            <w:tcW w:type="dxa" w:w="68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color w:val="17202A"/>
                <w:sz w:val="22"/>
                <w:szCs w:val="22"/>
              </w:rPr>
              <w:t xml:space="preserve">Shelter &amp; Cash Assistance</w:t>
            </w:r>
          </w:p>
        </w:tc>
      </w:tr>
      <w:tr>
        <w:tc>
          <w:tcPr>
            <w:tcW w:type="dxa" w:w="2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b/>
                <w:bCs/>
                <w:color w:val="1F6FEB"/>
                <w:sz w:val="22"/>
                <w:szCs w:val="22"/>
              </w:rPr>
              <w:t xml:space="preserve">Country</w:t>
            </w:r>
          </w:p>
        </w:tc>
        <w:tc>
          <w:tcPr>
            <w:tcW w:type="dxa" w:w="68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color w:val="17202A"/>
                <w:sz w:val="22"/>
                <w:szCs w:val="22"/>
              </w:rPr>
              <w:t xml:space="preserve">Mozambique</w:t>
            </w:r>
          </w:p>
        </w:tc>
      </w:tr>
      <w:tr>
        <w:tc>
          <w:tcPr>
            <w:tcW w:type="dxa" w:w="2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b/>
                <w:bCs/>
                <w:color w:val="1F6FEB"/>
                <w:sz w:val="22"/>
                <w:szCs w:val="22"/>
              </w:rPr>
              <w:t xml:space="preserve">Geographic focus</w:t>
            </w:r>
          </w:p>
        </w:tc>
        <w:tc>
          <w:tcPr>
            <w:tcW w:type="dxa" w:w="68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color w:val="17202A"/>
                <w:sz w:val="22"/>
                <w:szCs w:val="22"/>
              </w:rPr>
              <w:t xml:space="preserve">Cabo Delgado and Nampula coastal displacement corridors</w:t>
            </w:r>
          </w:p>
        </w:tc>
      </w:tr>
      <w:tr>
        <w:tc>
          <w:tcPr>
            <w:tcW w:type="dxa" w:w="2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b/>
                <w:bCs/>
                <w:color w:val="1F6FEB"/>
                <w:sz w:val="22"/>
                <w:szCs w:val="22"/>
              </w:rPr>
              <w:t xml:space="preserve">Project manager</w:t>
            </w:r>
          </w:p>
        </w:tc>
        <w:tc>
          <w:tcPr>
            <w:tcW w:type="dxa" w:w="68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color w:val="17202A"/>
                <w:sz w:val="22"/>
                <w:szCs w:val="22"/>
              </w:rPr>
              <w:t xml:space="preserve">Ana Ribeiro</w:t>
            </w:r>
          </w:p>
        </w:tc>
      </w:tr>
      <w:tr>
        <w:tc>
          <w:tcPr>
            <w:tcW w:type="dxa" w:w="2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b/>
                <w:bCs/>
                <w:color w:val="1F6FEB"/>
                <w:sz w:val="22"/>
                <w:szCs w:val="22"/>
              </w:rPr>
              <w:t xml:space="preserve">Project period</w:t>
            </w:r>
          </w:p>
        </w:tc>
        <w:tc>
          <w:tcPr>
            <w:tcW w:type="dxa" w:w="68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color w:val="17202A"/>
                <w:sz w:val="22"/>
                <w:szCs w:val="22"/>
              </w:rPr>
              <w:t xml:space="preserve">2026-09-01 to 2027-08-31</w:t>
            </w:r>
          </w:p>
        </w:tc>
      </w:tr>
      <w:tr>
        <w:tc>
          <w:tcPr>
            <w:tcW w:type="dxa" w:w="2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b/>
                <w:bCs/>
                <w:color w:val="1F6FEB"/>
                <w:sz w:val="22"/>
                <w:szCs w:val="22"/>
              </w:rPr>
              <w:t xml:space="preserve">Total budget</w:t>
            </w:r>
          </w:p>
        </w:tc>
        <w:tc>
          <w:tcPr>
            <w:tcW w:type="dxa" w:w="68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color w:val="17202A"/>
                <w:sz w:val="22"/>
                <w:szCs w:val="22"/>
              </w:rPr>
              <w:t xml:space="preserve">USD 2,350,000</w:t>
            </w:r>
          </w:p>
        </w:tc>
      </w:tr>
      <w:tr>
        <w:tc>
          <w:tcPr>
            <w:tcW w:type="dxa" w:w="2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b/>
                <w:bCs/>
                <w:color w:val="1F6FEB"/>
                <w:sz w:val="22"/>
                <w:szCs w:val="22"/>
              </w:rPr>
              <w:t xml:space="preserve">Target beneficiaries</w:t>
            </w:r>
          </w:p>
        </w:tc>
        <w:tc>
          <w:tcPr>
            <w:tcW w:type="dxa" w:w="68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color w:val="17202A"/>
                <w:sz w:val="22"/>
                <w:szCs w:val="22"/>
              </w:rPr>
              <w:t xml:space="preserve">38,400 people / 6,400 crisis-affected households</w:t>
            </w:r>
          </w:p>
        </w:tc>
      </w:tr>
      <w:tr>
        <w:tc>
          <w:tcPr>
            <w:tcW w:type="dxa" w:w="2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b/>
                <w:bCs/>
                <w:color w:val="1F6FEB"/>
                <w:sz w:val="22"/>
                <w:szCs w:val="22"/>
              </w:rPr>
              <w:t xml:space="preserve">Status</w:t>
            </w:r>
          </w:p>
        </w:tc>
        <w:tc>
          <w:tcPr>
            <w:tcW w:type="dxa" w:w="68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20" w:before="0" w:line="300"/>
            </w:pPr>
            <w:r>
              <w:rPr>
                <w:rFonts w:ascii="Arial" w:cs="Arial" w:eastAsia="Arial" w:hAnsi="Arial"/>
                <w:color w:val="17202A"/>
                <w:sz w:val="22"/>
                <w:szCs w:val="22"/>
              </w:rPr>
              <w:t xml:space="preserve">Implementation-ready</w:t>
            </w:r>
          </w:p>
        </w:tc>
      </w:tr>
    </w:tbl>
    <w:p>
      <w:pPr>
        <w:pStyle w:val="Heading1"/>
        <w:spacing w:after="120" w:before="240" w:line="300"/>
      </w:pPr>
      <w:r>
        <w:rPr>
          <w:rFonts w:ascii="Arial" w:cs="Arial" w:eastAsia="Arial" w:hAnsi="Arial"/>
          <w:b/>
          <w:bCs/>
          <w:color w:val="1F6FEB"/>
          <w:sz w:val="28"/>
          <w:szCs w:val="28"/>
        </w:rPr>
        <w:t xml:space="preserve">Executive Summary</w:t>
      </w:r>
    </w:p>
    <w:p>
      <w:pPr>
        <w:spacing w:after="140" w:before="0" w:line="300"/>
      </w:pPr>
      <w:r>
        <w:rPr>
          <w:rFonts w:ascii="Arial" w:cs="Arial" w:eastAsia="Arial" w:hAnsi="Arial"/>
          <w:color w:val="17202A"/>
          <w:sz w:val="22"/>
          <w:szCs w:val="22"/>
        </w:rPr>
        <w:t xml:space="preserve">Coastal Cash and Shelter Recovery is an ECHO-funded humanitarian action supporting cyclone- and conflict-affected households in northern Mozambique. The action combines emergency shelter kits, multipurpose cash transfers, settlement safety support, market monitoring, post-distribution monitoring, and community complaints channels.</w:t>
      </w:r>
    </w:p>
    <w:p>
      <w:pPr>
        <w:spacing w:after="140" w:before="0" w:line="300"/>
      </w:pPr>
      <w:r>
        <w:rPr>
          <w:rFonts w:ascii="Arial" w:cs="Arial" w:eastAsia="Arial" w:hAnsi="Arial"/>
          <w:color w:val="17202A"/>
          <w:sz w:val="22"/>
          <w:szCs w:val="22"/>
        </w:rPr>
        <w:t xml:space="preserve">The project is designed for families displaced along coastal and peri-urban corridors, with priority for female-headed households, older persons, people with disabilities, and households hosting separated children.</w:t>
      </w:r>
    </w:p>
    <w:p>
      <w:pPr>
        <w:pStyle w:val="Heading1"/>
        <w:spacing w:after="120" w:before="240" w:line="300"/>
      </w:pPr>
      <w:r>
        <w:rPr>
          <w:rFonts w:ascii="Arial" w:cs="Arial" w:eastAsia="Arial" w:hAnsi="Arial"/>
          <w:b/>
          <w:bCs/>
          <w:color w:val="1F6FEB"/>
          <w:sz w:val="28"/>
          <w:szCs w:val="28"/>
        </w:rPr>
        <w:t xml:space="preserve">Objective and Outcomes</w:t>
      </w:r>
    </w:p>
    <w:p>
      <w:pPr>
        <w:pStyle w:val="ListParagraph"/>
        <w:numPr>
          <w:ilvl w:val="0"/>
          <w:numId w:val="1"/>
        </w:numPr>
        <w:spacing w:after="70" w:before="0" w:line="300"/>
      </w:pPr>
      <w:r>
        <w:rPr>
          <w:rFonts w:ascii="Arial" w:cs="Arial" w:eastAsia="Arial" w:hAnsi="Arial"/>
          <w:color w:val="17202A"/>
          <w:sz w:val="22"/>
          <w:szCs w:val="22"/>
        </w:rPr>
        <w:t xml:space="preserve">Objective: Restore dignified, safe living conditions and stabilize household purchasing power for displacement-affected families in Cabo Delgado and Nampula.</w:t>
      </w:r>
    </w:p>
    <w:p>
      <w:pPr>
        <w:pStyle w:val="ListParagraph"/>
        <w:numPr>
          <w:ilvl w:val="0"/>
          <w:numId w:val="1"/>
        </w:numPr>
        <w:spacing w:after="70" w:before="0" w:line="300"/>
      </w:pPr>
      <w:r>
        <w:rPr>
          <w:rFonts w:ascii="Arial" w:cs="Arial" w:eastAsia="Arial" w:hAnsi="Arial"/>
          <w:color w:val="17202A"/>
          <w:sz w:val="22"/>
          <w:szCs w:val="22"/>
        </w:rPr>
        <w:t xml:space="preserve">Outcome 1: 6,400 households receive emergency shelter support aligned with cluster standards.</w:t>
      </w:r>
    </w:p>
    <w:p>
      <w:pPr>
        <w:pStyle w:val="ListParagraph"/>
        <w:numPr>
          <w:ilvl w:val="0"/>
          <w:numId w:val="1"/>
        </w:numPr>
        <w:spacing w:after="70" w:before="0" w:line="300"/>
      </w:pPr>
      <w:r>
        <w:rPr>
          <w:rFonts w:ascii="Arial" w:cs="Arial" w:eastAsia="Arial" w:hAnsi="Arial"/>
          <w:color w:val="17202A"/>
          <w:sz w:val="22"/>
          <w:szCs w:val="22"/>
        </w:rPr>
        <w:t xml:space="preserve">Outcome 2: 4,800 households receive one-off multipurpose cash assistance through verified mobile money accounts.</w:t>
      </w:r>
    </w:p>
    <w:p>
      <w:pPr>
        <w:pStyle w:val="ListParagraph"/>
        <w:numPr>
          <w:ilvl w:val="0"/>
          <w:numId w:val="1"/>
        </w:numPr>
        <w:spacing w:after="70" w:before="0" w:line="300"/>
      </w:pPr>
      <w:r>
        <w:rPr>
          <w:rFonts w:ascii="Arial" w:cs="Arial" w:eastAsia="Arial" w:hAnsi="Arial"/>
          <w:color w:val="17202A"/>
          <w:sz w:val="22"/>
          <w:szCs w:val="22"/>
        </w:rPr>
        <w:t xml:space="preserve">Outcome 3: Communities use functioning feedback channels and project teams adapt delivery based on complaints, protection risks, and market monitoring.</w:t>
      </w:r>
    </w:p>
    <w:p>
      <w:pPr>
        <w:pStyle w:val="Heading1"/>
        <w:spacing w:after="120" w:before="240" w:line="300"/>
      </w:pPr>
      <w:r>
        <w:rPr>
          <w:rFonts w:ascii="Arial" w:cs="Arial" w:eastAsia="Arial" w:hAnsi="Arial"/>
          <w:b/>
          <w:bCs/>
          <w:color w:val="1F6FEB"/>
          <w:sz w:val="28"/>
          <w:szCs w:val="28"/>
        </w:rPr>
        <w:t xml:space="preserve">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10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40" w:before="0" w:line="300"/>
            </w:pPr>
            <w:r>
              <w:rPr>
                <w:rFonts w:ascii="Arial" w:cs="Arial" w:eastAsia="Arial" w:hAnsi="Arial"/>
                <w:b/>
                <w:bCs/>
                <w:color w:val="1F6FEB"/>
                <w:sz w:val="22"/>
                <w:szCs w:val="22"/>
              </w:rPr>
              <w:t xml:space="preserve">Component</w:t>
            </w:r>
          </w:p>
        </w:tc>
        <w:tc>
          <w:tcPr>
            <w:tcW w:type="dxa" w:w="526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40" w:before="0" w:line="300"/>
            </w:pPr>
            <w:r>
              <w:rPr>
                <w:rFonts w:ascii="Arial" w:cs="Arial" w:eastAsia="Arial" w:hAnsi="Arial"/>
                <w:b/>
                <w:bCs/>
                <w:color w:val="1F6FEB"/>
                <w:sz w:val="22"/>
                <w:szCs w:val="22"/>
              </w:rPr>
              <w:t xml:space="preserve">Planned activity</w:t>
            </w:r>
          </w:p>
        </w:tc>
        <w:tc>
          <w:tcPr>
            <w:tcW w:type="dxa" w:w="200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40" w:before="0" w:line="300"/>
            </w:pPr>
            <w:r>
              <w:rPr>
                <w:rFonts w:ascii="Arial" w:cs="Arial" w:eastAsia="Arial" w:hAnsi="Arial"/>
                <w:b/>
                <w:bCs/>
                <w:color w:val="1F6FEB"/>
                <w:sz w:val="22"/>
                <w:szCs w:val="22"/>
              </w:rPr>
              <w:t xml:space="preserve">Target</w:t>
            </w:r>
          </w:p>
        </w:tc>
      </w:tr>
      <w:tr>
        <w:tc>
          <w:tcPr>
            <w:tcW w:type="dxa" w:w="21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Shelter kits</w:t>
            </w:r>
          </w:p>
        </w:tc>
        <w:tc>
          <w:tcPr>
            <w:tcW w:type="dxa" w:w="52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Procure and distribute tarpaulins, rope, fixings, solar lamps, sleeping mats, and household repair guidance.</w:t>
            </w:r>
          </w:p>
        </w:tc>
        <w:tc>
          <w:tcPr>
            <w:tcW w:type="dxa" w:w="20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6,400 households</w:t>
            </w:r>
          </w:p>
        </w:tc>
      </w:tr>
      <w:tr>
        <w:tc>
          <w:tcPr>
            <w:tcW w:type="dxa" w:w="21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Multipurpose cash</w:t>
            </w:r>
          </w:p>
        </w:tc>
        <w:tc>
          <w:tcPr>
            <w:tcW w:type="dxa" w:w="52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Deliver USD 135 equivalent one-off cash transfer to verified households through mobile money.</w:t>
            </w:r>
          </w:p>
        </w:tc>
        <w:tc>
          <w:tcPr>
            <w:tcW w:type="dxa" w:w="20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4,800 households</w:t>
            </w:r>
          </w:p>
        </w:tc>
      </w:tr>
      <w:tr>
        <w:tc>
          <w:tcPr>
            <w:tcW w:type="dxa" w:w="21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Market monitoring</w:t>
            </w:r>
          </w:p>
        </w:tc>
        <w:tc>
          <w:tcPr>
            <w:tcW w:type="dxa" w:w="52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Track staple food, transport, shelter material, and fuel prices in six market locations.</w:t>
            </w:r>
          </w:p>
        </w:tc>
        <w:tc>
          <w:tcPr>
            <w:tcW w:type="dxa" w:w="20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Monthly price bulletin</w:t>
            </w:r>
          </w:p>
        </w:tc>
      </w:tr>
      <w:tr>
        <w:tc>
          <w:tcPr>
            <w:tcW w:type="dxa" w:w="21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Accountability</w:t>
            </w:r>
          </w:p>
        </w:tc>
        <w:tc>
          <w:tcPr>
            <w:tcW w:type="dxa" w:w="52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Operate hotline, community help desks, and referral tracking for protection-sensitive complaints.</w:t>
            </w:r>
          </w:p>
        </w:tc>
        <w:tc>
          <w:tcPr>
            <w:tcW w:type="dxa" w:w="20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90% complaints closed within 14 days</w:t>
            </w:r>
          </w:p>
        </w:tc>
      </w:tr>
      <w:tr>
        <w:tc>
          <w:tcPr>
            <w:tcW w:type="dxa" w:w="21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Learning</w:t>
            </w:r>
          </w:p>
        </w:tc>
        <w:tc>
          <w:tcPr>
            <w:tcW w:type="dxa" w:w="52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Run post-distribution monitoring and quarterly review with district authorities and cluster partners.</w:t>
            </w:r>
          </w:p>
        </w:tc>
        <w:tc>
          <w:tcPr>
            <w:tcW w:type="dxa" w:w="20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Quarterly review note</w:t>
            </w:r>
          </w:p>
        </w:tc>
      </w:tr>
    </w:tbl>
    <w:p>
      <w:pPr>
        <w:pStyle w:val="Heading1"/>
        <w:spacing w:after="120" w:before="240" w:line="300"/>
      </w:pPr>
      <w:r>
        <w:rPr>
          <w:rFonts w:ascii="Arial" w:cs="Arial" w:eastAsia="Arial" w:hAnsi="Arial"/>
          <w:b/>
          <w:bCs/>
          <w:color w:val="1F6FEB"/>
          <w:sz w:val="28"/>
          <w:szCs w:val="28"/>
        </w:rPr>
        <w:t xml:space="preserve">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50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40" w:before="0" w:line="300"/>
            </w:pPr>
            <w:r>
              <w:rPr>
                <w:rFonts w:ascii="Arial" w:cs="Arial" w:eastAsia="Arial" w:hAnsi="Arial"/>
                <w:b/>
                <w:bCs/>
                <w:color w:val="1F6FEB"/>
                <w:sz w:val="22"/>
                <w:szCs w:val="22"/>
              </w:rPr>
              <w:t xml:space="preserve">Budget line</w:t>
            </w:r>
          </w:p>
        </w:tc>
        <w:tc>
          <w:tcPr>
            <w:tcW w:type="dxa" w:w="260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40" w:before="0" w:line="300"/>
            </w:pPr>
            <w:r>
              <w:rPr>
                <w:rFonts w:ascii="Arial" w:cs="Arial" w:eastAsia="Arial" w:hAnsi="Arial"/>
                <w:b/>
                <w:bCs/>
                <w:color w:val="1F6FEB"/>
                <w:sz w:val="22"/>
                <w:szCs w:val="22"/>
              </w:rPr>
              <w:t xml:space="preserve">Amount USD</w:t>
            </w:r>
          </w:p>
        </w:tc>
        <w:tc>
          <w:tcPr>
            <w:tcW w:type="dxa" w:w="226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40" w:before="0" w:line="300"/>
            </w:pPr>
            <w:r>
              <w:rPr>
                <w:rFonts w:ascii="Arial" w:cs="Arial" w:eastAsia="Arial" w:hAnsi="Arial"/>
                <w:b/>
                <w:bCs/>
                <w:color w:val="1F6FEB"/>
                <w:sz w:val="22"/>
                <w:szCs w:val="22"/>
              </w:rPr>
              <w:t xml:space="preserve">Percentage</w:t>
            </w:r>
          </w:p>
        </w:tc>
      </w:tr>
      <w:tr>
        <w:tc>
          <w:tcPr>
            <w:tcW w:type="dxa" w:w="4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Shelter kits and distribution</w:t>
            </w:r>
          </w:p>
        </w:tc>
        <w:tc>
          <w:tcPr>
            <w:tcW w:type="dxa" w:w="26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940,000</w:t>
            </w:r>
          </w:p>
        </w:tc>
        <w:tc>
          <w:tcPr>
            <w:tcW w:type="dxa" w:w="22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40%</w:t>
            </w:r>
          </w:p>
        </w:tc>
      </w:tr>
      <w:tr>
        <w:tc>
          <w:tcPr>
            <w:tcW w:type="dxa" w:w="4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Cash transfers and fees</w:t>
            </w:r>
          </w:p>
        </w:tc>
        <w:tc>
          <w:tcPr>
            <w:tcW w:type="dxa" w:w="26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705,000</w:t>
            </w:r>
          </w:p>
        </w:tc>
        <w:tc>
          <w:tcPr>
            <w:tcW w:type="dxa" w:w="22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30%</w:t>
            </w:r>
          </w:p>
        </w:tc>
      </w:tr>
      <w:tr>
        <w:tc>
          <w:tcPr>
            <w:tcW w:type="dxa" w:w="4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Personnel and field operations</w:t>
            </w:r>
          </w:p>
        </w:tc>
        <w:tc>
          <w:tcPr>
            <w:tcW w:type="dxa" w:w="26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352,500</w:t>
            </w:r>
          </w:p>
        </w:tc>
        <w:tc>
          <w:tcPr>
            <w:tcW w:type="dxa" w:w="22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15%</w:t>
            </w:r>
          </w:p>
        </w:tc>
      </w:tr>
      <w:tr>
        <w:tc>
          <w:tcPr>
            <w:tcW w:type="dxa" w:w="4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Monitoring, accountability, and learning</w:t>
            </w:r>
          </w:p>
        </w:tc>
        <w:tc>
          <w:tcPr>
            <w:tcW w:type="dxa" w:w="26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164,500</w:t>
            </w:r>
          </w:p>
        </w:tc>
        <w:tc>
          <w:tcPr>
            <w:tcW w:type="dxa" w:w="22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7%</w:t>
            </w:r>
          </w:p>
        </w:tc>
      </w:tr>
      <w:tr>
        <w:tc>
          <w:tcPr>
            <w:tcW w:type="dxa" w:w="4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Security, logistics, and support costs</w:t>
            </w:r>
          </w:p>
        </w:tc>
        <w:tc>
          <w:tcPr>
            <w:tcW w:type="dxa" w:w="26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188,000</w:t>
            </w:r>
          </w:p>
        </w:tc>
        <w:tc>
          <w:tcPr>
            <w:tcW w:type="dxa" w:w="22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8%</w:t>
            </w:r>
          </w:p>
        </w:tc>
      </w:tr>
      <w:tr>
        <w:tc>
          <w:tcPr>
            <w:tcW w:type="dxa" w:w="4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Total</w:t>
            </w:r>
          </w:p>
        </w:tc>
        <w:tc>
          <w:tcPr>
            <w:tcW w:type="dxa" w:w="26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2,350,000</w:t>
            </w:r>
          </w:p>
        </w:tc>
        <w:tc>
          <w:tcPr>
            <w:tcW w:type="dxa" w:w="22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100%</w:t>
            </w:r>
          </w:p>
        </w:tc>
      </w:tr>
    </w:tbl>
    <w:p>
      <w:pPr>
        <w:pStyle w:val="Heading1"/>
        <w:spacing w:after="120" w:before="240" w:line="300"/>
      </w:pPr>
      <w:r>
        <w:rPr>
          <w:rFonts w:ascii="Arial" w:cs="Arial" w:eastAsia="Arial" w:hAnsi="Arial"/>
          <w:b/>
          <w:bCs/>
          <w:color w:val="1F6FEB"/>
          <w:sz w:val="28"/>
          <w:szCs w:val="28"/>
        </w:rPr>
        <w:t xml:space="preserve">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40" w:before="0" w:line="300"/>
            </w:pPr>
            <w:r>
              <w:rPr>
                <w:rFonts w:ascii="Arial" w:cs="Arial" w:eastAsia="Arial" w:hAnsi="Arial"/>
                <w:b/>
                <w:bCs/>
                <w:color w:val="1F6FEB"/>
                <w:sz w:val="22"/>
                <w:szCs w:val="22"/>
              </w:rPr>
              <w:t xml:space="preserve">Risk</w:t>
            </w:r>
          </w:p>
        </w:tc>
        <w:tc>
          <w:tcPr>
            <w:tcW w:type="dxa" w:w="140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40" w:before="0" w:line="300"/>
            </w:pPr>
            <w:r>
              <w:rPr>
                <w:rFonts w:ascii="Arial" w:cs="Arial" w:eastAsia="Arial" w:hAnsi="Arial"/>
                <w:b/>
                <w:bCs/>
                <w:color w:val="1F6FEB"/>
                <w:sz w:val="22"/>
                <w:szCs w:val="22"/>
              </w:rPr>
              <w:t xml:space="preserve">Rating</w:t>
            </w:r>
          </w:p>
        </w:tc>
        <w:tc>
          <w:tcPr>
            <w:tcW w:type="dxa" w:w="496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40" w:before="0" w:line="300"/>
            </w:pPr>
            <w:r>
              <w:rPr>
                <w:rFonts w:ascii="Arial" w:cs="Arial" w:eastAsia="Arial" w:hAnsi="Arial"/>
                <w:b/>
                <w:bCs/>
                <w:color w:val="1F6FEB"/>
                <w:sz w:val="22"/>
                <w:szCs w:val="22"/>
              </w:rPr>
              <w:t xml:space="preserve">Mitigation</w:t>
            </w:r>
          </w:p>
        </w:tc>
      </w:tr>
      <w:tr>
        <w:tc>
          <w:tcPr>
            <w:tcW w:type="dxa" w:w="30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Road access disrupted by rains</w:t>
            </w:r>
          </w:p>
        </w:tc>
        <w:tc>
          <w:tcPr>
            <w:tcW w:type="dxa" w:w="14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High</w:t>
            </w:r>
          </w:p>
        </w:tc>
        <w:tc>
          <w:tcPr>
            <w:tcW w:type="dxa" w:w="49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Pre-position shelter kits in Pemba and maintain alternate river crossing plan.</w:t>
            </w:r>
          </w:p>
        </w:tc>
      </w:tr>
      <w:tr>
        <w:tc>
          <w:tcPr>
            <w:tcW w:type="dxa" w:w="30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Market price inflation reduces cash transfer value</w:t>
            </w:r>
          </w:p>
        </w:tc>
        <w:tc>
          <w:tcPr>
            <w:tcW w:type="dxa" w:w="14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Medium</w:t>
            </w:r>
          </w:p>
        </w:tc>
        <w:tc>
          <w:tcPr>
            <w:tcW w:type="dxa" w:w="49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Review market basket monthly and escalate transfer-value adjustment to ECHO if threshold exceeds 15%.</w:t>
            </w:r>
          </w:p>
        </w:tc>
      </w:tr>
      <w:tr>
        <w:tc>
          <w:tcPr>
            <w:tcW w:type="dxa" w:w="30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Mobile money registration delays</w:t>
            </w:r>
          </w:p>
        </w:tc>
        <w:tc>
          <w:tcPr>
            <w:tcW w:type="dxa" w:w="14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Medium</w:t>
            </w:r>
          </w:p>
        </w:tc>
        <w:tc>
          <w:tcPr>
            <w:tcW w:type="dxa" w:w="49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Use two mobile money providers and maintain verified exception list for manual reconciliation.</w:t>
            </w:r>
          </w:p>
        </w:tc>
      </w:tr>
      <w:tr>
        <w:tc>
          <w:tcPr>
            <w:tcW w:type="dxa" w:w="30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Protection-sensitive complaints increase after targeting</w:t>
            </w:r>
          </w:p>
        </w:tc>
        <w:tc>
          <w:tcPr>
            <w:tcW w:type="dxa" w:w="14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High</w:t>
            </w:r>
          </w:p>
        </w:tc>
        <w:tc>
          <w:tcPr>
            <w:tcW w:type="dxa" w:w="49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Publish targeting criteria, run community validation, and refer sensitive cases through protection partners.</w:t>
            </w:r>
          </w:p>
        </w:tc>
      </w:tr>
    </w:tbl>
    <w:p>
      <w:pPr>
        <w:pStyle w:val="Heading1"/>
        <w:spacing w:after="120" w:before="240" w:line="300"/>
      </w:pPr>
      <w:r>
        <w:rPr>
          <w:rFonts w:ascii="Arial" w:cs="Arial" w:eastAsia="Arial" w:hAnsi="Arial"/>
          <w:b/>
          <w:bCs/>
          <w:color w:val="1F6FEB"/>
          <w:sz w:val="28"/>
          <w:szCs w:val="28"/>
        </w:rPr>
        <w:t xml:space="preserve">Explicit Reporting Schedule</w:t>
      </w:r>
    </w:p>
    <w:p>
      <w:pPr>
        <w:spacing w:after="140" w:before="0" w:line="300"/>
      </w:pPr>
      <w:r>
        <w:rPr>
          <w:rFonts w:ascii="Arial" w:cs="Arial" w:eastAsia="Arial" w:hAnsi="Arial"/>
          <w:color w:val="17202A"/>
          <w:sz w:val="22"/>
          <w:szCs w:val="22"/>
        </w:rPr>
        <w:t xml:space="preserve">The following reporting schedule is binding for this action and should replace generic reporting placeholders in the project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40" w:before="0" w:line="300"/>
            </w:pPr>
            <w:r>
              <w:rPr>
                <w:rFonts w:ascii="Arial" w:cs="Arial" w:eastAsia="Arial" w:hAnsi="Arial"/>
                <w:b/>
                <w:bCs/>
                <w:color w:val="1F6FEB"/>
                <w:sz w:val="22"/>
                <w:szCs w:val="22"/>
              </w:rPr>
              <w:t xml:space="preserve">Report type</w:t>
            </w:r>
          </w:p>
        </w:tc>
        <w:tc>
          <w:tcPr>
            <w:tcW w:type="dxa" w:w="250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40" w:before="0" w:line="300"/>
            </w:pPr>
            <w:r>
              <w:rPr>
                <w:rFonts w:ascii="Arial" w:cs="Arial" w:eastAsia="Arial" w:hAnsi="Arial"/>
                <w:b/>
                <w:bCs/>
                <w:color w:val="1F6FEB"/>
                <w:sz w:val="22"/>
                <w:szCs w:val="22"/>
              </w:rPr>
              <w:t xml:space="preserve">Reporting period</w:t>
            </w:r>
          </w:p>
        </w:tc>
        <w:tc>
          <w:tcPr>
            <w:tcW w:type="dxa" w:w="170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40" w:before="0" w:line="300"/>
            </w:pPr>
            <w:r>
              <w:rPr>
                <w:rFonts w:ascii="Arial" w:cs="Arial" w:eastAsia="Arial" w:hAnsi="Arial"/>
                <w:b/>
                <w:bCs/>
                <w:color w:val="1F6FEB"/>
                <w:sz w:val="22"/>
                <w:szCs w:val="22"/>
              </w:rPr>
              <w:t xml:space="preserve">Due date</w:t>
            </w:r>
          </w:p>
        </w:tc>
        <w:tc>
          <w:tcPr>
            <w:tcW w:type="dxa" w:w="256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40" w:before="0" w:line="300"/>
            </w:pPr>
            <w:r>
              <w:rPr>
                <w:rFonts w:ascii="Arial" w:cs="Arial" w:eastAsia="Arial" w:hAnsi="Arial"/>
                <w:b/>
                <w:bCs/>
                <w:color w:val="1F6FEB"/>
                <w:sz w:val="22"/>
                <w:szCs w:val="22"/>
              </w:rPr>
              <w:t xml:space="preserve">Required template</w:t>
            </w:r>
          </w:p>
        </w:tc>
      </w:tr>
      <w:tr>
        <w:tc>
          <w:tcPr>
            <w:tcW w:type="dxa" w:w="26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Inception Report</w:t>
            </w:r>
          </w:p>
        </w:tc>
        <w:tc>
          <w:tcPr>
            <w:tcW w:type="dxa" w:w="2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2026-09-01 to 2026-09-30</w:t>
            </w:r>
          </w:p>
        </w:tc>
        <w:tc>
          <w:tcPr>
            <w:tcW w:type="dxa" w:w="17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2026-09-30</w:t>
            </w:r>
          </w:p>
        </w:tc>
        <w:tc>
          <w:tcPr>
            <w:tcW w:type="dxa" w:w="25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ECHO Flash Response Inception Note</w:t>
            </w:r>
          </w:p>
        </w:tc>
      </w:tr>
      <w:tr>
        <w:tc>
          <w:tcPr>
            <w:tcW w:type="dxa" w:w="26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Monthly Situation Report</w:t>
            </w:r>
          </w:p>
        </w:tc>
        <w:tc>
          <w:tcPr>
            <w:tcW w:type="dxa" w:w="2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2026-09-01 to 2026-09-30</w:t>
            </w:r>
          </w:p>
        </w:tc>
        <w:tc>
          <w:tcPr>
            <w:tcW w:type="dxa" w:w="17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2026-10-15</w:t>
            </w:r>
          </w:p>
        </w:tc>
        <w:tc>
          <w:tcPr>
            <w:tcW w:type="dxa" w:w="25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Monthly Situation Report</w:t>
            </w:r>
          </w:p>
        </w:tc>
      </w:tr>
      <w:tr>
        <w:tc>
          <w:tcPr>
            <w:tcW w:type="dxa" w:w="26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Quarterly Donor Progress Report</w:t>
            </w:r>
          </w:p>
        </w:tc>
        <w:tc>
          <w:tcPr>
            <w:tcW w:type="dxa" w:w="2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2026-09-01 to 2026-11-30</w:t>
            </w:r>
          </w:p>
        </w:tc>
        <w:tc>
          <w:tcPr>
            <w:tcW w:type="dxa" w:w="17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2026-12-15</w:t>
            </w:r>
          </w:p>
        </w:tc>
        <w:tc>
          <w:tcPr>
            <w:tcW w:type="dxa" w:w="25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ECHO Flash Interim Narrative Report</w:t>
            </w:r>
          </w:p>
        </w:tc>
      </w:tr>
      <w:tr>
        <w:tc>
          <w:tcPr>
            <w:tcW w:type="dxa" w:w="26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Quarterly Donor Progress Report</w:t>
            </w:r>
          </w:p>
        </w:tc>
        <w:tc>
          <w:tcPr>
            <w:tcW w:type="dxa" w:w="2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2026-12-01 to 2027-02-28</w:t>
            </w:r>
          </w:p>
        </w:tc>
        <w:tc>
          <w:tcPr>
            <w:tcW w:type="dxa" w:w="17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2027-03-15</w:t>
            </w:r>
          </w:p>
        </w:tc>
        <w:tc>
          <w:tcPr>
            <w:tcW w:type="dxa" w:w="25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ECHO Flash Interim Narrative Report</w:t>
            </w:r>
          </w:p>
        </w:tc>
      </w:tr>
      <w:tr>
        <w:tc>
          <w:tcPr>
            <w:tcW w:type="dxa" w:w="26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Final Project Closeout Report</w:t>
            </w:r>
          </w:p>
        </w:tc>
        <w:tc>
          <w:tcPr>
            <w:tcW w:type="dxa" w:w="25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2026-09-01 to 2027-08-31</w:t>
            </w:r>
          </w:p>
        </w:tc>
        <w:tc>
          <w:tcPr>
            <w:tcW w:type="dxa" w:w="17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2027-09-30</w:t>
            </w:r>
          </w:p>
        </w:tc>
        <w:tc>
          <w:tcPr>
            <w:tcW w:type="dxa" w:w="25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Final Project Closeout Report</w:t>
            </w:r>
          </w:p>
        </w:tc>
      </w:tr>
    </w:tbl>
    <w:p>
      <w:pPr>
        <w:pStyle w:val="Heading1"/>
        <w:spacing w:after="120" w:before="240" w:line="300"/>
      </w:pPr>
      <w:r>
        <w:rPr>
          <w:rFonts w:ascii="Arial" w:cs="Arial" w:eastAsia="Arial" w:hAnsi="Arial"/>
          <w:b/>
          <w:bCs/>
          <w:color w:val="1F6FEB"/>
          <w:sz w:val="28"/>
          <w:szCs w:val="28"/>
        </w:rPr>
        <w:t xml:space="preserve">Embedded Reporting Template Annex</w:t>
      </w:r>
    </w:p>
    <w:p>
      <w:pPr>
        <w:spacing w:after="140" w:before="0" w:line="300"/>
      </w:pPr>
      <w:r>
        <w:rPr>
          <w:rFonts w:ascii="Arial" w:cs="Arial" w:eastAsia="Arial" w:hAnsi="Arial"/>
          <w:color w:val="17202A"/>
          <w:sz w:val="22"/>
          <w:szCs w:val="22"/>
        </w:rPr>
        <w:t xml:space="preserve">Annex C contains the donor-required sections for the ECHO Flash Interim Narrative Report. Generated reports must include every section. If evidence is missing, the draft must keep the section and mark it as requiring human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30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40" w:before="0" w:line="300"/>
            </w:pPr>
            <w:r>
              <w:rPr>
                <w:rFonts w:ascii="Arial" w:cs="Arial" w:eastAsia="Arial" w:hAnsi="Arial"/>
                <w:b/>
                <w:bCs/>
                <w:color w:val="1F6FEB"/>
                <w:sz w:val="22"/>
                <w:szCs w:val="22"/>
              </w:rPr>
              <w:t xml:space="preserve">Required section</w:t>
            </w:r>
          </w:p>
        </w:tc>
        <w:tc>
          <w:tcPr>
            <w:tcW w:type="dxa" w:w="6060"/>
            <w:tcBorders>
              <w:top w:val="single" w:color="D8DEE8" w:sz="1"/>
              <w:left w:val="single" w:color="D8DEE8" w:sz="1"/>
              <w:bottom w:val="single" w:color="D8DEE8" w:sz="1"/>
              <w:right w:val="single" w:color="D8DEE8" w:sz="1"/>
            </w:tcBorders>
            <w:shd w:fill="EAF3FF"/>
            <w:tcMar>
              <w:top w:type="dxa" w:w="100"/>
              <w:left w:type="dxa" w:w="130"/>
              <w:bottom w:type="dxa" w:w="100"/>
              <w:right w:type="dxa" w:w="130"/>
            </w:tcMar>
          </w:tcPr>
          <w:p>
            <w:pPr>
              <w:spacing w:after="40" w:before="0" w:line="300"/>
            </w:pPr>
            <w:r>
              <w:rPr>
                <w:rFonts w:ascii="Arial" w:cs="Arial" w:eastAsia="Arial" w:hAnsi="Arial"/>
                <w:b/>
                <w:bCs/>
                <w:color w:val="1F6FEB"/>
                <w:sz w:val="22"/>
                <w:szCs w:val="22"/>
              </w:rPr>
              <w:t xml:space="preserve">Completion rule</w:t>
            </w:r>
          </w:p>
        </w:tc>
      </w:tr>
      <w:tr>
        <w:tc>
          <w:tcPr>
            <w:tcW w:type="dxa" w:w="33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Action overview</w:t>
            </w:r>
          </w:p>
        </w:tc>
        <w:tc>
          <w:tcPr>
            <w:tcW w:type="dxa" w:w="60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Summarize action number, location, reporting period, partners, and operating context.</w:t>
            </w:r>
          </w:p>
        </w:tc>
      </w:tr>
      <w:tr>
        <w:tc>
          <w:tcPr>
            <w:tcW w:type="dxa" w:w="33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Implementation progress</w:t>
            </w:r>
          </w:p>
        </w:tc>
        <w:tc>
          <w:tcPr>
            <w:tcW w:type="dxa" w:w="60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Describe activity progress against the workplan with dated evidence.</w:t>
            </w:r>
          </w:p>
        </w:tc>
      </w:tr>
      <w:tr>
        <w:tc>
          <w:tcPr>
            <w:tcW w:type="dxa" w:w="33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Beneficiaries reached</w:t>
            </w:r>
          </w:p>
        </w:tc>
        <w:tc>
          <w:tcPr>
            <w:tcW w:type="dxa" w:w="60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Provide households, individuals, gender, disability inclusion, and district breakdowns.</w:t>
            </w:r>
          </w:p>
        </w:tc>
      </w:tr>
      <w:tr>
        <w:tc>
          <w:tcPr>
            <w:tcW w:type="dxa" w:w="33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Sector results</w:t>
            </w:r>
          </w:p>
        </w:tc>
        <w:tc>
          <w:tcPr>
            <w:tcW w:type="dxa" w:w="60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Report shelter, cash, accountability, and market-monitoring results.</w:t>
            </w:r>
          </w:p>
        </w:tc>
      </w:tr>
      <w:tr>
        <w:tc>
          <w:tcPr>
            <w:tcW w:type="dxa" w:w="33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Financial overview</w:t>
            </w:r>
          </w:p>
        </w:tc>
        <w:tc>
          <w:tcPr>
            <w:tcW w:type="dxa" w:w="60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Include budget, expenditure, burn rate, variances, and forecast.</w:t>
            </w:r>
          </w:p>
        </w:tc>
      </w:tr>
      <w:tr>
        <w:tc>
          <w:tcPr>
            <w:tcW w:type="dxa" w:w="33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Accountability and complaints</w:t>
            </w:r>
          </w:p>
        </w:tc>
        <w:tc>
          <w:tcPr>
            <w:tcW w:type="dxa" w:w="60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Summarize complaints received, resolved, pending, and referral actions.</w:t>
            </w:r>
          </w:p>
        </w:tc>
      </w:tr>
      <w:tr>
        <w:tc>
          <w:tcPr>
            <w:tcW w:type="dxa" w:w="33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Safeguarding and environmental compliance</w:t>
            </w:r>
          </w:p>
        </w:tc>
        <w:tc>
          <w:tcPr>
            <w:tcW w:type="dxa" w:w="60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Confirm safeguarding incidents, referral handling, environmental screening, and mitigation actions.</w:t>
            </w:r>
          </w:p>
        </w:tc>
      </w:tr>
      <w:tr>
        <w:tc>
          <w:tcPr>
            <w:tcW w:type="dxa" w:w="33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Risks and constraints</w:t>
            </w:r>
          </w:p>
        </w:tc>
        <w:tc>
          <w:tcPr>
            <w:tcW w:type="dxa" w:w="60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List current risks, rating changes, and mitigation measures.</w:t>
            </w:r>
          </w:p>
        </w:tc>
      </w:tr>
      <w:tr>
        <w:tc>
          <w:tcPr>
            <w:tcW w:type="dxa" w:w="33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Lessons and next steps</w:t>
            </w:r>
          </w:p>
        </w:tc>
        <w:tc>
          <w:tcPr>
            <w:tcW w:type="dxa" w:w="60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Describe learning, adaptations, and next-period priorities.</w:t>
            </w:r>
          </w:p>
        </w:tc>
      </w:tr>
      <w:tr>
        <w:tc>
          <w:tcPr>
            <w:tcW w:type="dxa" w:w="330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Annexes and source list</w:t>
            </w:r>
          </w:p>
        </w:tc>
        <w:tc>
          <w:tcPr>
            <w:tcW w:type="dxa" w:w="6060"/>
            <w:tcBorders>
              <w:top w:val="single" w:color="D8DEE8" w:sz="1"/>
              <w:left w:val="single" w:color="D8DEE8" w:sz="1"/>
              <w:bottom w:val="single" w:color="D8DEE8" w:sz="1"/>
              <w:right w:val="single" w:color="D8DEE8" w:sz="1"/>
            </w:tcBorders>
            <w:tcMar>
              <w:top w:type="dxa" w:w="100"/>
              <w:left w:type="dxa" w:w="130"/>
              <w:bottom w:type="dxa" w:w="100"/>
              <w:right w:type="dxa" w:w="130"/>
            </w:tcMar>
          </w:tcPr>
          <w:p>
            <w:pPr>
              <w:spacing w:after="40" w:before="0" w:line="300"/>
            </w:pPr>
            <w:r>
              <w:rPr>
                <w:rFonts w:ascii="Arial" w:cs="Arial" w:eastAsia="Arial" w:hAnsi="Arial"/>
                <w:b w:val="false"/>
                <w:bCs w:val="false"/>
                <w:color w:val="17202A"/>
                <w:sz w:val="22"/>
                <w:szCs w:val="22"/>
              </w:rPr>
              <w:t xml:space="preserve">List evidence documents, monitoring tools, photos, maps, and financial attachments.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02A"/>
        <w:sz w:val="22"/>
        <w:szCs w:val="22"/>
      </w:rPr>
    </w:rPrDefault>
    <w:pPrDefault>
      <w:pPr>
        <w:spacing w:after="14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Humanitarian Projects Manager Demo</dc:creator>
  <dc:description>Demo upload document for the Humanitarian Projects Manager app</dc:description>
  <cp:lastModifiedBy>Un-named</cp:lastModifiedBy>
  <cp:revision>1</cp:revision>
  <dcterms:created xsi:type="dcterms:W3CDTF">2026-06-12T07:49:57.143Z</dcterms:created>
  <dcterms:modified xsi:type="dcterms:W3CDTF">2026-06-12T07:49:57.145Z</dcterms:modified>
</cp:coreProperties>
</file>

<file path=docProps/custom.xml><?xml version="1.0" encoding="utf-8"?>
<Properties xmlns="http://schemas.openxmlformats.org/officeDocument/2006/custom-properties" xmlns:vt="http://schemas.openxmlformats.org/officeDocument/2006/docPropsVTypes"/>
</file>