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/>
      </w:pPr>
      <w:r>
        <w:rPr>
          <w:rFonts w:ascii="Arial" w:cs="Arial" w:eastAsia="Arial" w:hAnsi="Arial"/>
          <w:b/>
          <w:bCs/>
          <w:color w:val="1F6FEB"/>
          <w:sz w:val="34"/>
          <w:szCs w:val="34"/>
        </w:rPr>
        <w:t xml:space="preserve">ECHO Flash Interim Narrative Report Template</w:t>
      </w:r>
    </w:p>
    <w:p>
      <w:pPr>
        <w:spacing w:after="280" w:before="0" w:line="300"/>
      </w:pPr>
      <w:r>
        <w:rPr>
          <w:rFonts w:ascii="Arial" w:cs="Arial" w:eastAsia="Arial" w:hAnsi="Arial"/>
          <w:color w:val="667085"/>
          <w:sz w:val="21"/>
          <w:szCs w:val="21"/>
        </w:rPr>
        <w:t xml:space="preserve">Strict donor template for quarterly progress report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Funder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ECHO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Cadence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Quarterly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Report type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Quarterly Donor Progress Report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All ECHO-funded emergency response projects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Template strictness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Every section below is required. Missing evidence must be flagged inside the report, not omitted.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Required Metadata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Required content</w:t>
            </w:r>
          </w:p>
        </w:tc>
      </w:tr>
      <w:tr>
        <w:tc>
          <w:tcPr>
            <w:tcW w:type="dxa" w:w="3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Action number / project code</w:t>
            </w:r>
          </w:p>
        </w:tc>
        <w:tc>
          <w:tcPr>
            <w:tcW w:type="dxa" w:w="61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Use the project code or donor action number.</w:t>
            </w:r>
          </w:p>
        </w:tc>
      </w:tr>
      <w:tr>
        <w:tc>
          <w:tcPr>
            <w:tcW w:type="dxa" w:w="3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Partner</w:t>
            </w:r>
          </w:p>
        </w:tc>
        <w:tc>
          <w:tcPr>
            <w:tcW w:type="dxa" w:w="61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Implementing organization and consortium role if applicable.</w:t>
            </w:r>
          </w:p>
        </w:tc>
      </w:tr>
      <w:tr>
        <w:tc>
          <w:tcPr>
            <w:tcW w:type="dxa" w:w="3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Country and locations</w:t>
            </w:r>
          </w:p>
        </w:tc>
        <w:tc>
          <w:tcPr>
            <w:tcW w:type="dxa" w:w="61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Country, districts, and coverage area.</w:t>
            </w:r>
          </w:p>
        </w:tc>
      </w:tr>
      <w:tr>
        <w:tc>
          <w:tcPr>
            <w:tcW w:type="dxa" w:w="3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Reporting period</w:t>
            </w:r>
          </w:p>
        </w:tc>
        <w:tc>
          <w:tcPr>
            <w:tcW w:type="dxa" w:w="61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Start date and end date covered by the report.</w:t>
            </w:r>
          </w:p>
        </w:tc>
      </w:tr>
      <w:tr>
        <w:tc>
          <w:tcPr>
            <w:tcW w:type="dxa" w:w="3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Budget and expenditure</w:t>
            </w:r>
          </w:p>
        </w:tc>
        <w:tc>
          <w:tcPr>
            <w:tcW w:type="dxa" w:w="61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Approved budget, expenditure to date, burn rate, and forecast.</w:t>
            </w:r>
          </w:p>
        </w:tc>
      </w:tr>
      <w:tr>
        <w:tc>
          <w:tcPr>
            <w:tcW w:type="dxa" w:w="3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Beneficiaries reached</w:t>
            </w:r>
          </w:p>
        </w:tc>
        <w:tc>
          <w:tcPr>
            <w:tcW w:type="dxa" w:w="61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Households, individuals, gender, disability inclusion, and district disaggregation.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Required Report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Section heading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Instruction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Action overview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Summarize action, operating context, locations, partners, and reporting period.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Implementation progress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Report progress against planned activities using dated source evidence.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Beneficiaries reached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Include target versus reached figures and disaggregated details where available.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Sector results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Describe shelter, cash, market monitoring, and accountability results.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Financial overview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Summarize budget, expenditure, burn rate, forecast, and variance explanation.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Accountability and complaints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Provide complaints received, resolved, pending, sensitive referrals, and adaptations.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Safeguarding and environmental compliance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Confirm safeguarding status and environmental screening; flag missing signed evidence.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Risks and constraints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List current risks, rating changes, and mitigation measures.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Lessons and next steps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Describe learning, adaptations, and next-period priorities.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Annexes and source list</w:t>
            </w:r>
          </w:p>
        </w:tc>
        <w:tc>
          <w:tcPr>
            <w:tcW w:type="dxa" w:w="5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List documents, monitoring data, financial trackers, maps, photos, and certificates used.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Generation Rules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Do not skip any required section.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Do not invent values, judgments, or causal explanations.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If evidence is missing, write [REQUIRES HUMAN UPDATE] in the relevant section and explain the missing evidence.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Use donor language from source documents where available.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2A"/>
        <w:sz w:val="22"/>
        <w:szCs w:val="22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Humanitarian Projects Manager Demo</dc:creator>
  <dc:description>Demo upload document for the Humanitarian Projects Manager app</dc:description>
  <cp:lastModifiedBy>Un-named</cp:lastModifiedBy>
  <cp:revision>1</cp:revision>
  <dcterms:created xsi:type="dcterms:W3CDTF">2026-06-12T07:49:57.179Z</dcterms:created>
  <dcterms:modified xsi:type="dcterms:W3CDTF">2026-06-12T07:49:57.179Z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