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/>
      </w:pPr>
      <w:r>
        <w:rPr>
          <w:rFonts w:ascii="Arial" w:cs="Arial" w:eastAsia="Arial" w:hAnsi="Arial"/>
          <w:b/>
          <w:bCs/>
          <w:color w:val="1F6FEB"/>
          <w:sz w:val="34"/>
          <w:szCs w:val="34"/>
        </w:rPr>
        <w:t xml:space="preserve">Distribution Reconciliation and Financial Tracker</w:t>
      </w:r>
    </w:p>
    <w:p>
      <w:pPr>
        <w:spacing w:after="280" w:before="0" w:line="300"/>
      </w:pPr>
      <w:r>
        <w:rPr>
          <w:rFonts w:ascii="Arial" w:cs="Arial" w:eastAsia="Arial" w:hAnsi="Arial"/>
          <w:color w:val="667085"/>
          <w:sz w:val="21"/>
          <w:szCs w:val="21"/>
        </w:rPr>
        <w:t xml:space="preserve">Coastal Cash and Shelter Recovery | Evidence attachment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Project code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ADPC-DEMO-901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Document date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2026-11-30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Finance and Operations Team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20" w:before="0" w:line="300"/>
            </w:pPr>
            <w:r>
              <w:rPr>
                <w:rFonts w:ascii="Arial" w:cs="Arial" w:eastAsia="Arial" w:hAnsi="Arial"/>
                <w:color w:val="17202A"/>
                <w:sz w:val="22"/>
                <w:szCs w:val="22"/>
              </w:rPr>
              <w:t xml:space="preserve">Supports financial overview and transfer reconciliation sections</w:t>
            </w:r>
          </w:p>
        </w:tc>
      </w:tr>
    </w:tbl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Cash Transfer Reconciliation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Batch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Districts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Households paid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Amount USD</w:t>
            </w:r>
          </w:p>
        </w:tc>
        <w:tc>
          <w:tcPr>
            <w:tcW w:type="dxa" w:w="20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Exceptions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Batch 1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Pemba, Metuge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1,140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153,900</w:t>
            </w:r>
          </w:p>
        </w:tc>
        <w:tc>
          <w:tcPr>
            <w:tcW w:type="dxa" w:w="20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0 unresolved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Batch 2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Pemba, Erati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1,020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137,700</w:t>
            </w:r>
          </w:p>
        </w:tc>
        <w:tc>
          <w:tcPr>
            <w:tcW w:type="dxa" w:w="20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25 corrected re-sends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Batch 3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Metuge, Memba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780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105,300</w:t>
            </w:r>
          </w:p>
        </w:tc>
        <w:tc>
          <w:tcPr>
            <w:tcW w:type="dxa" w:w="20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25 failed transfers pending confirmation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All active districts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2,940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396,900</w:t>
            </w:r>
          </w:p>
        </w:tc>
        <w:tc>
          <w:tcPr>
            <w:tcW w:type="dxa" w:w="20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25 pending confirmations</w:t>
            </w:r>
          </w:p>
        </w:tc>
      </w:tr>
    </w:tbl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Procurement and Stock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Procured</w:t>
            </w:r>
          </w:p>
        </w:tc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Distributed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Balance</w:t>
            </w:r>
          </w:p>
        </w:tc>
        <w:tc>
          <w:tcPr>
            <w:tcW w:type="dxa" w:w="2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/>
                <w:bCs/>
                <w:color w:val="1F6FEB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Shelter kits</w:t>
            </w:r>
          </w:p>
        </w:tc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4,200</w:t>
            </w:r>
          </w:p>
        </w:tc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3,680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520</w:t>
            </w:r>
          </w:p>
        </w:tc>
        <w:tc>
          <w:tcPr>
            <w:tcW w:type="dxa" w:w="2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Balance reserved for Erati and Memba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Solar lamps</w:t>
            </w:r>
          </w:p>
        </w:tc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4,200</w:t>
            </w:r>
          </w:p>
        </w:tc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3,680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520</w:t>
            </w:r>
          </w:p>
        </w:tc>
        <w:tc>
          <w:tcPr>
            <w:tcW w:type="dxa" w:w="2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Included in shelter kits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Tarpaulins</w:t>
            </w:r>
          </w:p>
        </w:tc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8,400</w:t>
            </w:r>
          </w:p>
        </w:tc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7,360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1,040</w:t>
            </w:r>
          </w:p>
        </w:tc>
        <w:tc>
          <w:tcPr>
            <w:tcW w:type="dxa" w:w="2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Two per household</w:t>
            </w:r>
          </w:p>
        </w:tc>
      </w:tr>
      <w:tr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Sleeping mats</w:t>
            </w:r>
          </w:p>
        </w:tc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12,600</w:t>
            </w:r>
          </w:p>
        </w:tc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11,040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1,560</w:t>
            </w:r>
          </w:p>
        </w:tc>
        <w:tc>
          <w:tcPr>
            <w:tcW w:type="dxa" w:w="266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 w:before="0" w:line="300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2"/>
                <w:szCs w:val="22"/>
              </w:rPr>
              <w:t xml:space="preserve">Three per household</w:t>
            </w:r>
          </w:p>
        </w:tc>
      </w:tr>
    </w:tbl>
    <w:p>
      <w:pPr>
        <w:pStyle w:val="Heading1"/>
        <w:spacing w:after="120" w:before="240" w:line="300"/>
      </w:pPr>
      <w:r>
        <w:rPr>
          <w:rFonts w:ascii="Arial" w:cs="Arial" w:eastAsia="Arial" w:hAnsi="Arial"/>
          <w:b/>
          <w:bCs/>
          <w:color w:val="1F6FEB"/>
          <w:sz w:val="28"/>
          <w:szCs w:val="28"/>
        </w:rPr>
        <w:t xml:space="preserve">Financial Notes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Total expenditure through 2026-11-30 is USD 992,920, representing 42% of approved budget.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Cash-transfer fees are within the agreed ceiling of 2.2% of transfer value.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Twenty-five batch 3 mobile money confirmations remain pending and should be flagged if not resolved before report submission.</w:t>
      </w:r>
    </w:p>
    <w:p>
      <w:pPr>
        <w:pStyle w:val="ListParagraph"/>
        <w:numPr>
          <w:ilvl w:val="0"/>
          <w:numId w:val="1"/>
        </w:numPr>
        <w:spacing w:after="70" w:before="0" w:line="30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The signed environmental screening certificate is not attached to this finance package.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2A"/>
        <w:sz w:val="22"/>
        <w:szCs w:val="22"/>
      </w:rPr>
    </w:rPrDefault>
    <w:pPrDefault>
      <w:pPr>
        <w:spacing w:after="1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Humanitarian Projects Manager Demo</dc:creator>
  <dc:description>Demo upload document for the Humanitarian Projects Manager app</dc:description>
  <cp:lastModifiedBy>Un-named</cp:lastModifiedBy>
  <cp:revision>1</cp:revision>
  <dcterms:created xsi:type="dcterms:W3CDTF">2026-06-12T07:49:57.206Z</dcterms:created>
  <dcterms:modified xsi:type="dcterms:W3CDTF">2026-06-12T07:49:57.206Z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