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Retrofit</w:t>
      </w:r>
      <w:r>
        <w:t xml:space="preserve"> </w:t>
      </w:r>
      <w:r>
        <w:t xml:space="preserve">or</w:t>
      </w:r>
      <w:r>
        <w:t xml:space="preserve"> </w:t>
      </w:r>
      <w:r>
        <w:t xml:space="preserve">bust?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at:</w:t>
      </w:r>
      <w:r>
        <w:t xml:space="preserve"> </w:t>
      </w:r>
      <w:r>
        <w:t xml:space="preserve">2020-10-30</w:t>
      </w:r>
      <w:r>
        <w:t xml:space="preserve"> </w:t>
      </w:r>
      <w:r>
        <w:t xml:space="preserve">15:44:29</w:t>
      </w:r>
    </w:p>
    <w:p>
      <w:pPr>
        <w:pStyle w:val="FirstParagraph"/>
      </w:pPr>
      <w:r>
        <w:t xml:space="preserve">It seems like we can’t snooze for a second without HM Govt announcing another</w:t>
      </w:r>
      <w:r>
        <w:t xml:space="preserve"> </w:t>
      </w:r>
      <w:r>
        <w:t xml:space="preserve">‘</w:t>
      </w:r>
      <w:r>
        <w:t xml:space="preserve">build back better</w:t>
      </w:r>
      <w:r>
        <w:t xml:space="preserve">’</w:t>
      </w:r>
      <w:r>
        <w:t xml:space="preserve"> </w:t>
      </w:r>
      <w:r>
        <w:t xml:space="preserve">initiative. The sentiment behind these is totally to be applauded: invest public £ in job (and skill) creating schemes which help fix our</w:t>
      </w:r>
      <w:r>
        <w:t xml:space="preserve"> </w:t>
      </w:r>
      <w:hyperlink r:id="rId20">
        <w:r>
          <w:rPr>
            <w:rStyle w:val="Hyperlink"/>
          </w:rPr>
          <w:t xml:space="preserve">energy inefficient homes</w:t>
        </w:r>
      </w:hyperlink>
      <w:r>
        <w:t xml:space="preserve"> </w:t>
      </w:r>
      <w:r>
        <w:t xml:space="preserve">thereby reducing energy demand (and carbon emissions), increasing thermal comfort and reducing poor health outcomes. Win4.</w:t>
      </w:r>
    </w:p>
    <w:p>
      <w:pPr>
        <w:pStyle w:val="BodyText"/>
      </w:pPr>
      <w:r>
        <w:t xml:space="preserve">Schemes seen to date include:</w:t>
      </w:r>
    </w:p>
    <w:p>
      <w:pPr>
        <w:pStyle w:val="Compact"/>
        <w:numPr>
          <w:numId w:val="1001"/>
          <w:ilvl w:val="0"/>
        </w:numPr>
      </w:pPr>
      <w:r>
        <w:t xml:space="preserve">£2 billion</w:t>
      </w:r>
      <w:r>
        <w:t xml:space="preserve"> </w:t>
      </w:r>
      <w:hyperlink r:id="rId21">
        <w:r>
          <w:rPr>
            <w:rStyle w:val="Hyperlink"/>
          </w:rPr>
          <w:t xml:space="preserve">Green Homes Grant</w:t>
        </w:r>
      </w:hyperlink>
      <w:r>
        <w:t xml:space="preserve">: make energy improvements to your home insulation &amp; low carbon heat vouchers</w:t>
      </w:r>
    </w:p>
    <w:p>
      <w:pPr>
        <w:pStyle w:val="Compact"/>
        <w:numPr>
          <w:numId w:val="1001"/>
          <w:ilvl w:val="0"/>
        </w:numPr>
      </w:pPr>
      <w:r>
        <w:t xml:space="preserve">£50 million</w:t>
      </w:r>
      <w:r>
        <w:t xml:space="preserve"> </w:t>
      </w:r>
      <w:hyperlink r:id="rId22">
        <w:r>
          <w:rPr>
            <w:rStyle w:val="Hyperlink"/>
          </w:rPr>
          <w:t xml:space="preserve">Social Housing Decarbonisation Fund Demonstrator</w:t>
        </w:r>
      </w:hyperlink>
      <w:r>
        <w:t xml:space="preserve"> </w:t>
      </w:r>
      <w:r>
        <w:t xml:space="preserve">(SHDF Demonstrator) in prep for the future</w:t>
      </w:r>
    </w:p>
    <w:p>
      <w:pPr>
        <w:pStyle w:val="Compact"/>
        <w:numPr>
          <w:numId w:val="1001"/>
          <w:ilvl w:val="0"/>
        </w:numPr>
      </w:pPr>
      <w:r>
        <w:t xml:space="preserve">£3.8 billion</w:t>
      </w:r>
      <w:r>
        <w:t xml:space="preserve"> </w:t>
      </w:r>
      <w:hyperlink r:id="rId23">
        <w:r>
          <w:rPr>
            <w:rStyle w:val="Hyperlink"/>
          </w:rPr>
          <w:t xml:space="preserve">Social Housing Decarbonisation Fund</w:t>
        </w:r>
      </w:hyperlink>
    </w:p>
    <w:p>
      <w:pPr>
        <w:pStyle w:val="FirstParagraph"/>
      </w:pPr>
      <w:r>
        <w:t xml:space="preserve">These sound like big numbers.</w:t>
      </w:r>
    </w:p>
    <w:p>
      <w:pPr>
        <w:pStyle w:val="BodyText"/>
      </w:pPr>
      <w:r>
        <w:t xml:space="preserve">But how much is it really going to cost to bring our homes up to standard, assuming we can even agree what standard is required for our</w:t>
      </w:r>
      <w:r>
        <w:t xml:space="preserve"> </w:t>
      </w:r>
      <w:hyperlink r:id="rId20">
        <w:r>
          <w:rPr>
            <w:rStyle w:val="Hyperlink"/>
          </w:rPr>
          <w:t xml:space="preserve">greenhouse gas emissions reduction objectives</w:t>
        </w:r>
      </w:hyperlink>
      <w:r>
        <w:t xml:space="preserve">?</w:t>
      </w:r>
    </w:p>
    <w:p>
      <w:pPr>
        <w:pStyle w:val="Heading1"/>
      </w:pPr>
      <w:bookmarkStart w:id="24" w:name="ballparks"/>
      <w:r>
        <w:t xml:space="preserve">Ballparks</w:t>
      </w:r>
      <w:bookmarkEnd w:id="24"/>
    </w:p>
    <w:p>
      <w:pPr>
        <w:pStyle w:val="FirstParagraph"/>
      </w:pPr>
      <w:r>
        <w:t xml:space="preserve">If we want a very ‘</w:t>
      </w:r>
      <w:hyperlink r:id="rId25">
        <w:r>
          <w:rPr>
            <w:rStyle w:val="Hyperlink"/>
          </w:rPr>
          <w:t xml:space="preserve">back of a fag packet</w:t>
        </w:r>
      </w:hyperlink>
      <w:r>
        <w:t xml:space="preserve">‘ estimate for England we can start with the excellent research provided by the English</w:t>
      </w:r>
      <w:r>
        <w:t xml:space="preserve"> </w:t>
      </w:r>
      <w:hyperlink r:id="rId26">
        <w:r>
          <w:rPr>
            <w:rStyle w:val="Hyperlink"/>
          </w:rPr>
          <w:t xml:space="preserve">Housing Survey 2018</w:t>
        </w:r>
      </w:hyperlink>
      <w:r>
        <w:t xml:space="preserve"> </w:t>
      </w:r>
      <w:r>
        <w:t xml:space="preserve">reports.</w:t>
      </w:r>
    </w:p>
    <w:p>
      <w:pPr>
        <w:pStyle w:val="Heading1"/>
      </w:pPr>
      <w:bookmarkStart w:id="27" w:name="how-big-is-the-problem"/>
      <w:r>
        <w:t xml:space="preserve">How big is the problem?</w:t>
      </w:r>
      <w:bookmarkEnd w:id="27"/>
    </w:p>
    <w:p>
      <w:pPr>
        <w:pStyle w:val="FirstParagraph"/>
      </w:pPr>
      <w:r>
        <w:t xml:space="preserve">Pretty big.</w:t>
      </w:r>
    </w:p>
    <w:p>
      <w:pPr>
        <w:pStyle w:val="BodyText"/>
      </w:pPr>
      <w:hyperlink r:id="rId28">
        <w:r>
          <w:rPr>
            <w:rStyle w:val="Hyperlink"/>
          </w:rPr>
          <w:t xml:space="preserve">Table AT1.5</w:t>
        </w:r>
      </w:hyperlink>
      <w:r>
        <w:t xml:space="preserve"> </w:t>
      </w:r>
      <w:r>
        <w:t xml:space="preserve">gives us the number of dwellings and the average SAP-modelled annual energy cost by EPC band. Note that modelled energy cost includes space heating, cooling and hot water but not appliances.</w:t>
      </w:r>
    </w:p>
    <w:p>
      <w:pPr>
        <w:pStyle w:val="BodyText"/>
      </w:pPr>
      <w:r>
        <w:t xml:space="preserve">A quick calculation (see Table 1 below) shows that:</w:t>
      </w:r>
    </w:p>
    <w:p>
      <w:pPr>
        <w:pStyle w:val="Compact"/>
        <w:numPr>
          <w:numId w:val="1002"/>
          <w:ilvl w:val="0"/>
        </w:numPr>
      </w:pPr>
      <w:r>
        <w:t xml:space="preserve">we spend an estimated £22.5 bn a year on (this kind of) energy in English dwellings;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we currently have about 15 million dwellings rated D-G that need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fixing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if band C is our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standard to be met</w:t>
      </w:r>
      <w:r>
        <w:rPr>
          <w:b/>
        </w:rPr>
        <w:t xml:space="preserve">’</w:t>
      </w:r>
      <w:r>
        <w:t xml:space="preserve">;</w:t>
      </w:r>
    </w:p>
    <w:p>
      <w:pPr>
        <w:pStyle w:val="Compact"/>
        <w:numPr>
          <w:numId w:val="1002"/>
          <w:ilvl w:val="0"/>
        </w:numPr>
      </w:pPr>
      <w:r>
        <w:t xml:space="preserve">and possibly another 8 million rated C which might also need a fix.</w:t>
      </w:r>
    </w:p>
    <w:p>
      <w:pPr>
        <w:pStyle w:val="FirstParagraph"/>
      </w:pPr>
      <w:r>
        <w:t xml:space="preserve">To get even the 15 million D-G over the line by 2050 means fixing 10,000 or more a week for the next 30 years. Go us.</w:t>
      </w:r>
      <w:r>
        <w:t xml:space="preserve"> </w:t>
      </w:r>
      <w:r>
        <w:t xml:space="preserve">What about the costs?</w:t>
      </w:r>
    </w:p>
    <w:p>
      <w:pPr>
        <w:pStyle w:val="BodyText"/>
      </w:pPr>
      <w:r>
        <w:t xml:space="preserve">Very helpfully</w:t>
      </w:r>
      <w:r>
        <w:t xml:space="preserve"> </w:t>
      </w:r>
      <w:hyperlink r:id="rId29">
        <w:r>
          <w:rPr>
            <w:rStyle w:val="Hyperlink"/>
          </w:rPr>
          <w:t xml:space="preserve">Table AT3.4</w:t>
        </w:r>
      </w:hyperlink>
      <w:r>
        <w:t xml:space="preserve"> </w:t>
      </w:r>
      <w:r>
        <w:t xml:space="preserve">in Chapter 3 of the same report provides some remarkably over-precise average ‘upgrade‘ costs for bands A-E (£13,347) and F&amp;G (£26.891). The table also gives us equally precise ‘post-improvement notional total energy current cost (£/yr)‘ of £415 (band A-E) and £515 (bands F &amp; G).</w:t>
      </w:r>
    </w:p>
    <w:p>
      <w:pPr>
        <w:pStyle w:val="BodyText"/>
      </w:pPr>
      <w:r>
        <w:t xml:space="preserve">If we:</w:t>
      </w:r>
    </w:p>
    <w:p>
      <w:pPr>
        <w:pStyle w:val="Compact"/>
        <w:numPr>
          <w:numId w:val="1003"/>
          <w:ilvl w:val="0"/>
        </w:numPr>
      </w:pPr>
      <w:r>
        <w:t xml:space="preserve">assume that band A/B dwellings don’t need and don’t get a fix (possibly untrue) and…</w:t>
      </w:r>
      <w:r>
        <w:t xml:space="preserve"> </w:t>
      </w:r>
      <w:r>
        <w:t xml:space="preserve">( the retrofit costs and annual post-improvement energy costs are constant within C-E and F &amp; G as above (almost certainly untrue but hey, it’s an average…)</w:t>
      </w:r>
    </w:p>
    <w:p>
      <w:pPr>
        <w:pStyle w:val="FirstParagraph"/>
      </w:pPr>
      <w:r>
        <w:t xml:space="preserve">…then if we invest ~£332bn we get a £22.5 – £10 = £12bn (55%) energy cost reduction (Figure 1 &amp; Table 2 below). As you’d expect we see the biggest improvement costs and absolute savings in the bands with the most dwellings (C &amp; D) but the biggest % savings in F &amp; G.</w:t>
      </w:r>
    </w:p>
    <w:p>
      <w:pPr>
        <w:pStyle w:val="BodyText"/>
      </w:pPr>
      <w:r>
        <w:drawing>
          <wp:inline>
            <wp:extent cx="5181600" cy="3182112"/>
            <wp:effectExtent b="0" l="0" r="0" t="0"/>
            <wp:docPr descr="Estimated current energy costs, post-improvement costs and % reduction for English dwellings" title="" id="1" name="Picture"/>
            <a:graphic>
              <a:graphicData uri="http://schemas.openxmlformats.org/drawingml/2006/picture">
                <pic:pic>
                  <pic:nvPicPr>
                    <pic:cNvPr descr="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 1: Estimated current energy costs, post-improvement costs and % reduction for English dwellings (EHS 2018, own calculations, see Table below for detail)</w:t>
      </w:r>
    </w:p>
    <w:p>
      <w:pPr>
        <w:pStyle w:val="BodyText"/>
      </w:pPr>
      <w:r>
        <w:t xml:space="preserve">Remember the £3.8bn</w:t>
      </w:r>
      <w:r>
        <w:t xml:space="preserve"> </w:t>
      </w:r>
      <w:hyperlink r:id="rId23">
        <w:r>
          <w:rPr>
            <w:rStyle w:val="Hyperlink"/>
          </w:rPr>
          <w:t xml:space="preserve">Social Housing Decarbonisation Fund</w:t>
        </w:r>
      </w:hyperlink>
      <w:r>
        <w:t xml:space="preserve">? Well according to the EHS 2018 social housing is already leading the way with 56% of them in bands A-C compared to under 30% of owner-occupied. As a result if we ignore the A-Cs then we</w:t>
      </w:r>
      <w:r>
        <w:t xml:space="preserve"> </w:t>
      </w:r>
      <w:r>
        <w:t xml:space="preserve">‘</w:t>
      </w:r>
      <w:r>
        <w:t xml:space="preserve">only</w:t>
      </w:r>
      <w:r>
        <w:t xml:space="preserve">’</w:t>
      </w:r>
      <w:r>
        <w:t xml:space="preserve"> </w:t>
      </w:r>
      <w:r>
        <w:t xml:space="preserve">need to invest £24bn in social housing retrofits for the 1.79m D-G dwellings (see Table 3 below). If we include the A-Cs (the published tables don’t give a A/B/C breakdown) it’s a £54bn investment. On these numbers, £3.8bn a year for 10 years might see this sector home…</w:t>
      </w:r>
    </w:p>
    <w:p>
      <w:pPr>
        <w:pStyle w:val="BodyText"/>
      </w:pPr>
      <w:r>
        <w:t xml:space="preserve">Privately rented dwellings are in the same ball park – £46bn or £68bn depending if we include A-C. But the big problem is the 15.2m (63%) owner occupied homes of whom 70% are in band D-G. If we ignore the A-Cs someone needs to find £154bn for this sector and £214bn if we include them. Given emerging evidence on</w:t>
      </w:r>
      <w:r>
        <w:t xml:space="preserve"> </w:t>
      </w:r>
      <w:hyperlink r:id="rId31">
        <w:r>
          <w:rPr>
            <w:rStyle w:val="Hyperlink"/>
          </w:rPr>
          <w:t xml:space="preserve">why owners don’t improve their dwellings</w:t>
        </w:r>
      </w:hyperlink>
      <w:r>
        <w:t xml:space="preserve"> </w:t>
      </w:r>
      <w:r>
        <w:t xml:space="preserve">this is going to be the big one.</w:t>
      </w:r>
    </w:p>
    <w:p>
      <w:pPr>
        <w:pStyle w:val="Heading1"/>
      </w:pPr>
      <w:bookmarkStart w:id="32" w:name="in-sum"/>
      <w:r>
        <w:t xml:space="preserve">In sum</w:t>
      </w:r>
      <w:bookmarkEnd w:id="32"/>
    </w:p>
    <w:p>
      <w:pPr>
        <w:pStyle w:val="FirstParagraph"/>
      </w:pPr>
      <w:r>
        <w:t xml:space="preserve">Is all this enough to hit our carbon targets? Getting all dwellings up to A/B standard is one approach and it should mean we have a lot less heat energy to decarbonise. Scarily for some, £12bn would also be quite a big chunk out of the retail energy sector’s annual turnover.</w:t>
      </w:r>
    </w:p>
    <w:p>
      <w:pPr>
        <w:pStyle w:val="BodyText"/>
      </w:pPr>
      <w:r>
        <w:t xml:space="preserve">To be sure, £332 bn sounds a lot but remember that the annual English NHS budget is</w:t>
      </w:r>
      <w:r>
        <w:t xml:space="preserve"> </w:t>
      </w:r>
      <w:hyperlink r:id="rId33">
        <w:r>
          <w:rPr>
            <w:rStyle w:val="Hyperlink"/>
          </w:rPr>
          <w:t xml:space="preserve">~£130 bn and rising</w:t>
        </w:r>
      </w:hyperlink>
      <w:r>
        <w:t xml:space="preserve"> </w:t>
      </w:r>
      <w:r>
        <w:t xml:space="preserve">in a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year. In contrast, according to our fag packet we</w:t>
      </w:r>
      <w:r>
        <w:t xml:space="preserve"> </w:t>
      </w:r>
      <w:r>
        <w:t xml:space="preserve">‘</w:t>
      </w:r>
      <w:r>
        <w:t xml:space="preserve">just</w:t>
      </w:r>
      <w:r>
        <w:t xml:space="preserve">’</w:t>
      </w:r>
      <w:r>
        <w:t xml:space="preserve"> </w:t>
      </w:r>
      <w:r>
        <w:t xml:space="preserve">need to invest £11bn a year (at current prices) for 30 years in dwelling improvements. This co-incidentally also helps to</w:t>
      </w:r>
      <w:r>
        <w:t xml:space="preserve"> </w:t>
      </w:r>
      <w:hyperlink r:id="rId34">
        <w:r>
          <w:rPr>
            <w:rStyle w:val="Hyperlink"/>
          </w:rPr>
          <w:t xml:space="preserve">reduce the NHS budget</w:t>
        </w:r>
      </w:hyperlink>
      <w:r>
        <w:t xml:space="preserve"> </w:t>
      </w:r>
      <w:r>
        <w:t xml:space="preserve">through improved health co-benefits. Ideally of course we’d want a front-loaded investment to</w:t>
      </w:r>
      <w:r>
        <w:t xml:space="preserve"> </w:t>
      </w:r>
      <w:r>
        <w:t xml:space="preserve">‘</w:t>
      </w:r>
      <w:r>
        <w:t xml:space="preserve">build back better</w:t>
      </w:r>
      <w:r>
        <w:t xml:space="preserve">’</w:t>
      </w:r>
      <w:r>
        <w:t xml:space="preserve">, help us deliver quickly on our</w:t>
      </w:r>
      <w:r>
        <w:t xml:space="preserve"> </w:t>
      </w:r>
      <w:hyperlink r:id="rId35">
        <w:r>
          <w:rPr>
            <w:rStyle w:val="Hyperlink"/>
          </w:rPr>
          <w:t xml:space="preserve">COP commitments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regain at least some moral high ground</w:t>
        </w:r>
      </w:hyperlink>
      <w:r>
        <w:t xml:space="preserve">.</w:t>
      </w:r>
    </w:p>
    <w:p>
      <w:pPr>
        <w:pStyle w:val="Heading1"/>
      </w:pPr>
      <w:bookmarkStart w:id="37" w:name="but-are-we-barking-up-the-wrong-tree"/>
      <w:r>
        <w:t xml:space="preserve">But are we barking up the wrong tree?</w:t>
      </w:r>
      <w:bookmarkEnd w:id="37"/>
    </w:p>
    <w:p>
      <w:pPr>
        <w:pStyle w:val="FirstParagraph"/>
      </w:pPr>
      <w:r>
        <w:t xml:space="preserve">However for reasons that are excellently explained in a recent</w:t>
      </w:r>
      <w:r>
        <w:t xml:space="preserve"> </w:t>
      </w:r>
      <w:hyperlink r:id="rId38">
        <w:r>
          <w:rPr>
            <w:rStyle w:val="Hyperlink"/>
          </w:rPr>
          <w:t xml:space="preserve">PassivHaus Trust report</w:t>
        </w:r>
      </w:hyperlink>
      <w:r>
        <w:t xml:space="preserve">, focusing on EPC bands might be a red herring. This is because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EPC bands can be met by installing on-site low carbon generation (e.g. PV) without having to reduce energy inputs and the EPC rating uses energy-input carbon intensity values that are rapidly out of date, especially for electricity. As a result as ‘the carbon emissions associated with expensive electricity continue to reduce, this makes the EPC rating system increasingly inaccurate and means that a highly rated dwelling could potentially produce a very high rate of emissions‘ (p11).</w:t>
      </w:r>
    </w:p>
    <w:p>
      <w:pPr>
        <w:pStyle w:val="BodyText"/>
      </w:pPr>
      <w:r>
        <w:t xml:space="preserve">The Trust instead recommends a focus on space conditioning energy intensity (kWh/m2) as a primary metric. This would mean deciding what kWh/m2 standards we want to hit and devising policy settings and support mechanisms to enable the industry to deliver them at speed and scale.</w:t>
      </w:r>
    </w:p>
    <w:p>
      <w:pPr>
        <w:pStyle w:val="BodyText"/>
      </w:pPr>
      <w:r>
        <w:t xml:space="preserve">Intriguingly this is exactly what N</w:t>
      </w:r>
      <w:hyperlink r:id="rId39">
        <w:r>
          <w:rPr>
            <w:rStyle w:val="Hyperlink"/>
          </w:rPr>
          <w:t xml:space="preserve">ew Zealand’s Ministry of Business, Innovation and Employment (MBIE)</w:t>
        </w:r>
      </w:hyperlink>
      <w:r>
        <w:t xml:space="preserve"> </w:t>
      </w:r>
      <w:r>
        <w:t xml:space="preserve">is currently consulting on with respect to new build dwellings as part of their Building for Climate Change: Transforming operational efficiency and reducing whole-of-life embodied carbon programme. Watch this space.</w:t>
      </w:r>
    </w:p>
    <w:p>
      <w:pPr>
        <w:pStyle w:val="Heading1"/>
      </w:pPr>
      <w:bookmarkStart w:id="40" w:name="detailed-tables"/>
      <w:r>
        <w:t xml:space="preserve">Detailed tables</w:t>
      </w:r>
      <w:bookmarkEnd w:id="40"/>
    </w:p>
    <w:p>
      <w:pPr>
        <w:pStyle w:val="FirstParagraph"/>
      </w:pPr>
      <w:r>
        <w:t xml:space="preserve">We did the original analysis in the excel workbooks we downloaded from gov.uk. You can find them</w:t>
      </w:r>
      <w:r>
        <w:t xml:space="preserve"> </w:t>
      </w:r>
      <w:hyperlink r:id="rId41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(Tab: AT3.4 Edited). Hey, no-one’s perfect.</w:t>
      </w:r>
    </w:p>
    <w:p>
      <w:pPr>
        <w:pStyle w:val="CaptionedFigure"/>
      </w:pPr>
      <w:r>
        <w:drawing>
          <wp:inline>
            <wp:extent cx="5334000" cy="3658311"/>
            <wp:effectExtent b="0" l="0" r="0" t="0"/>
            <wp:docPr descr="Table 1" title="" id="1" name="Picture"/>
            <a:graphic>
              <a:graphicData uri="http://schemas.openxmlformats.org/drawingml/2006/picture">
                <pic:pic>
                  <pic:nvPicPr>
                    <pic:cNvPr descr="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</w:t>
      </w:r>
    </w:p>
    <w:p>
      <w:pPr>
        <w:pStyle w:val="BlockText"/>
      </w:pPr>
      <w:r>
        <w:t xml:space="preserve">Table 1: Adapted from EHS 2018 Report: Annex Table 1.5: Average modelled energy costs, by dwelling characteristics, 2018 (with additional total column, over-precision retained for hilarity)</w:t>
      </w:r>
    </w:p>
    <w:p>
      <w:pPr>
        <w:pStyle w:val="CaptionedFigure"/>
      </w:pPr>
      <w:r>
        <w:drawing>
          <wp:inline>
            <wp:extent cx="5334000" cy="3887633"/>
            <wp:effectExtent b="0" l="0" r="0" t="0"/>
            <wp:docPr descr="Table 2" title="" id="1" name="Picture"/>
            <a:graphic>
              <a:graphicData uri="http://schemas.openxmlformats.org/drawingml/2006/picture">
                <pic:pic>
                  <pic:nvPicPr>
                    <pic:cNvPr descr="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</w:t>
      </w:r>
    </w:p>
    <w:p>
      <w:pPr>
        <w:pStyle w:val="BlockText"/>
      </w:pPr>
      <w:r>
        <w:t xml:space="preserve">Table 2: Estimated retrofit costs and % energy savings (over-precision retained for hilarity)</w:t>
      </w:r>
    </w:p>
    <w:p>
      <w:pPr>
        <w:pStyle w:val="CaptionedFigure"/>
      </w:pPr>
      <w:r>
        <w:drawing>
          <wp:inline>
            <wp:extent cx="5334000" cy="7027778"/>
            <wp:effectExtent b="0" l="0" r="0" t="0"/>
            <wp:docPr descr="Table 3" title="" id="1" name="Picture"/>
            <a:graphic>
              <a:graphicData uri="http://schemas.openxmlformats.org/drawingml/2006/picture">
                <pic:pic>
                  <pic:nvPicPr>
                    <pic:cNvPr descr="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3</w:t>
      </w:r>
    </w:p>
    <w:p>
      <w:pPr>
        <w:pStyle w:val="BlockText"/>
      </w:pPr>
      <w:r>
        <w:t xml:space="preserve">Table 3: Current estimated energy costs and estimated retrofit costs by tenure (EHS 2018 Report Table AT1.2, own calculations as for Table 2, over-precision retained for hilarity))</w:t>
      </w:r>
    </w:p>
    <w:p>
      <w:pPr>
        <w:pStyle w:val="Heading1"/>
      </w:pPr>
      <w:bookmarkStart w:id="45" w:name="r-packages-used"/>
      <w:r>
        <w:t xml:space="preserve">R packages used</w:t>
      </w:r>
      <w:bookmarkEnd w:id="45"/>
    </w:p>
    <w:p>
      <w:pPr>
        <w:pStyle w:val="Compact"/>
        <w:numPr>
          <w:numId w:val="1004"/>
          <w:ilvl w:val="0"/>
        </w:numPr>
      </w:pPr>
      <w:r>
        <w:t xml:space="preserve">rmarkdown</w:t>
      </w:r>
      <w:r>
        <w:t xml:space="preserve"> </w:t>
      </w:r>
      <w:r>
        <w:t xml:space="preserve">(Allaire et al. 2018)</w:t>
      </w:r>
    </w:p>
    <w:p>
      <w:pPr>
        <w:pStyle w:val="Compact"/>
        <w:numPr>
          <w:numId w:val="1004"/>
          <w:ilvl w:val="0"/>
        </w:numPr>
      </w:pPr>
      <w:r>
        <w:t xml:space="preserve">bookdown</w:t>
      </w:r>
      <w:r>
        <w:t xml:space="preserve"> </w:t>
      </w:r>
      <w:r>
        <w:t xml:space="preserve">(Xie 2016a)</w:t>
      </w:r>
    </w:p>
    <w:p>
      <w:pPr>
        <w:pStyle w:val="Compact"/>
        <w:numPr>
          <w:numId w:val="1004"/>
          <w:ilvl w:val="0"/>
        </w:numPr>
      </w:pPr>
      <w:r>
        <w:t xml:space="preserve">knitr</w:t>
      </w:r>
      <w:r>
        <w:t xml:space="preserve"> </w:t>
      </w:r>
      <w:r>
        <w:t xml:space="preserve">(Xie 2016b)</w:t>
      </w:r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53" w:name="refs"/>
    <w:bookmarkStart w:id="48" w:name="ref-rmarkdown"/>
    <w:p>
      <w:pPr>
        <w:pStyle w:val="Bibliography"/>
      </w:pPr>
      <w:r>
        <w:t xml:space="preserve">Allaire, JJ, Yihui Xie, Jonathan McPherson, Javier Luraschi, Kevin Ushey, Aron Atkins, Hadley Wickham, Joe Cheng, and Winston Chang. 2018.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bookmarkEnd w:id="48"/>
    <w:bookmarkStart w:id="50" w:name="ref-bookdown"/>
    <w:p>
      <w:pPr>
        <w:pStyle w:val="Bibliography"/>
      </w:pPr>
      <w:r>
        <w:t xml:space="preserve">Xie, Yihui. 2016a.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49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50"/>
    <w:bookmarkStart w:id="52" w:name="ref-knitr"/>
    <w:p>
      <w:pPr>
        <w:pStyle w:val="Bibliography"/>
      </w:pPr>
      <w:r>
        <w:t xml:space="preserve">———. 2016b.</w:t>
      </w:r>
      <w:r>
        <w:t xml:space="preserve"> </w:t>
      </w:r>
      <w:r>
        <w:rPr>
          <w:i/>
        </w:rPr>
        <w:t xml:space="preserve">Knitr: A General-Purpose Package for Dynamic Report Generation in R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https://CRAN.R-project.org/package=knitr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51" Target="https://CRAN.R-project.org/package=knitr" TargetMode="External" /><Relationship Type="http://schemas.openxmlformats.org/officeDocument/2006/relationships/hyperlink" Id="rId47" Target="https://CRAN.R-project.org/package=rmarkdown" TargetMode="External" /><Relationship Type="http://schemas.openxmlformats.org/officeDocument/2006/relationships/hyperlink" Id="rId28" Target="https://assets.publishing.service.gov.uk/government/uploads/system/uploads/attachment_data/file/898341/Energy_Chapter_1_Figures_and_Annex_Tables.xlsx" TargetMode="External" /><Relationship Type="http://schemas.openxmlformats.org/officeDocument/2006/relationships/hyperlink" Id="rId29" Target="https://assets.publishing.service.gov.uk/government/uploads/system/uploads/attachment_data/file/898343/Energy_Chapter_3_Figures_and_Annex_Tables.xlsx" TargetMode="External" /><Relationship Type="http://schemas.openxmlformats.org/officeDocument/2006/relationships/hyperlink" Id="rId33" Target="https://fullfact.org/health/spending-english-nhs/" TargetMode="External" /><Relationship Type="http://schemas.openxmlformats.org/officeDocument/2006/relationships/hyperlink" Id="rId41" Target="https://git.soton.ac.uk/SERG/fridayfun/-/blob/master/2020-10-16-retrofOrBust/2018_EHS_Energy_Chapter_3_Figures_and_Annex_Tables.xlsx" TargetMode="External" /><Relationship Type="http://schemas.openxmlformats.org/officeDocument/2006/relationships/hyperlink" Id="rId49" Target="https://github.com/rstudio/bookdown" TargetMode="External" /><Relationship Type="http://schemas.openxmlformats.org/officeDocument/2006/relationships/hyperlink" Id="rId34" Target="https://jech.bmj.com/content/63/4/271.short?casa_token=QjmF0S0mRK4AAAAA:PH24tAPvDC7teVFPiOSwxksd2ZjSD91XTLV4rpZCl5DefSUWO_oPmfVlDa-uZjhKCdsRyaUEXxk" TargetMode="External" /><Relationship Type="http://schemas.openxmlformats.org/officeDocument/2006/relationships/hyperlink" Id="rId31" Target="https://onlinelibrary.wiley.com/doi/full/10.1111/1753-6405.12895" TargetMode="External" /><Relationship Type="http://schemas.openxmlformats.org/officeDocument/2006/relationships/hyperlink" Id="rId25" Target="https://www.collinsdictionary.com/submission/11813/back+of+a+fag+packet" TargetMode="External" /><Relationship Type="http://schemas.openxmlformats.org/officeDocument/2006/relationships/hyperlink" Id="rId22" Target="https://www.gov.uk/government/publications/social-housing-decarbonisation-fund-demonstrator" TargetMode="External" /><Relationship Type="http://schemas.openxmlformats.org/officeDocument/2006/relationships/hyperlink" Id="rId26" Target="https://www.gov.uk/government/statistics/english-housing-survey-2018-energy-report" TargetMode="External" /><Relationship Type="http://schemas.openxmlformats.org/officeDocument/2006/relationships/hyperlink" Id="rId35" Target="https://www.gov.uk/government/topical-events/cop26" TargetMode="External" /><Relationship Type="http://schemas.openxmlformats.org/officeDocument/2006/relationships/hyperlink" Id="rId21" Target="https://www.gov.uk/guidance/apply-for-the-green-homes-grant-scheme" TargetMode="External" /><Relationship Type="http://schemas.openxmlformats.org/officeDocument/2006/relationships/hyperlink" Id="rId23" Target="https://www.housing.org.uk/news-and-blogs/news/chancellors-statement-and-affordable-homes-programme/" TargetMode="External" /><Relationship Type="http://schemas.openxmlformats.org/officeDocument/2006/relationships/hyperlink" Id="rId39" Target="https://www.mbie.govt.nz/dmsdocument/11793-transforming-operational-efficiency" TargetMode="External" /><Relationship Type="http://schemas.openxmlformats.org/officeDocument/2006/relationships/hyperlink" Id="rId38" Target="https://www.passivhaustrust.org.uk/guidance_detail.php?gId=44" TargetMode="External" /><Relationship Type="http://schemas.openxmlformats.org/officeDocument/2006/relationships/hyperlink" Id="rId36" Target="https://www.theccc.org.uk/publication/reducing-uk-emissions-2020-progress-report-to-parliament/" TargetMode="External" /><Relationship Type="http://schemas.openxmlformats.org/officeDocument/2006/relationships/hyperlink" Id="rId20" Target="https://www.theccc.org.uk/publication/uk-housing-fit-for-the-futu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CRAN.R-project.org/package=knitr" TargetMode="External" /><Relationship Type="http://schemas.openxmlformats.org/officeDocument/2006/relationships/hyperlink" Id="rId47" Target="https://CRAN.R-project.org/package=rmarkdown" TargetMode="External" /><Relationship Type="http://schemas.openxmlformats.org/officeDocument/2006/relationships/hyperlink" Id="rId28" Target="https://assets.publishing.service.gov.uk/government/uploads/system/uploads/attachment_data/file/898341/Energy_Chapter_1_Figures_and_Annex_Tables.xlsx" TargetMode="External" /><Relationship Type="http://schemas.openxmlformats.org/officeDocument/2006/relationships/hyperlink" Id="rId29" Target="https://assets.publishing.service.gov.uk/government/uploads/system/uploads/attachment_data/file/898343/Energy_Chapter_3_Figures_and_Annex_Tables.xlsx" TargetMode="External" /><Relationship Type="http://schemas.openxmlformats.org/officeDocument/2006/relationships/hyperlink" Id="rId33" Target="https://fullfact.org/health/spending-english-nhs/" TargetMode="External" /><Relationship Type="http://schemas.openxmlformats.org/officeDocument/2006/relationships/hyperlink" Id="rId41" Target="https://git.soton.ac.uk/SERG/fridayfun/-/blob/master/2020-10-16-retrofOrBust/2018_EHS_Energy_Chapter_3_Figures_and_Annex_Tables.xlsx" TargetMode="External" /><Relationship Type="http://schemas.openxmlformats.org/officeDocument/2006/relationships/hyperlink" Id="rId49" Target="https://github.com/rstudio/bookdown" TargetMode="External" /><Relationship Type="http://schemas.openxmlformats.org/officeDocument/2006/relationships/hyperlink" Id="rId34" Target="https://jech.bmj.com/content/63/4/271.short?casa_token=QjmF0S0mRK4AAAAA:PH24tAPvDC7teVFPiOSwxksd2ZjSD91XTLV4rpZCl5DefSUWO_oPmfVlDa-uZjhKCdsRyaUEXxk" TargetMode="External" /><Relationship Type="http://schemas.openxmlformats.org/officeDocument/2006/relationships/hyperlink" Id="rId31" Target="https://onlinelibrary.wiley.com/doi/full/10.1111/1753-6405.12895" TargetMode="External" /><Relationship Type="http://schemas.openxmlformats.org/officeDocument/2006/relationships/hyperlink" Id="rId25" Target="https://www.collinsdictionary.com/submission/11813/back+of+a+fag+packet" TargetMode="External" /><Relationship Type="http://schemas.openxmlformats.org/officeDocument/2006/relationships/hyperlink" Id="rId22" Target="https://www.gov.uk/government/publications/social-housing-decarbonisation-fund-demonstrator" TargetMode="External" /><Relationship Type="http://schemas.openxmlformats.org/officeDocument/2006/relationships/hyperlink" Id="rId26" Target="https://www.gov.uk/government/statistics/english-housing-survey-2018-energy-report" TargetMode="External" /><Relationship Type="http://schemas.openxmlformats.org/officeDocument/2006/relationships/hyperlink" Id="rId35" Target="https://www.gov.uk/government/topical-events/cop26" TargetMode="External" /><Relationship Type="http://schemas.openxmlformats.org/officeDocument/2006/relationships/hyperlink" Id="rId21" Target="https://www.gov.uk/guidance/apply-for-the-green-homes-grant-scheme" TargetMode="External" /><Relationship Type="http://schemas.openxmlformats.org/officeDocument/2006/relationships/hyperlink" Id="rId23" Target="https://www.housing.org.uk/news-and-blogs/news/chancellors-statement-and-affordable-homes-programme/" TargetMode="External" /><Relationship Type="http://schemas.openxmlformats.org/officeDocument/2006/relationships/hyperlink" Id="rId39" Target="https://www.mbie.govt.nz/dmsdocument/11793-transforming-operational-efficiency" TargetMode="External" /><Relationship Type="http://schemas.openxmlformats.org/officeDocument/2006/relationships/hyperlink" Id="rId38" Target="https://www.passivhaustrust.org.uk/guidance_detail.php?gId=44" TargetMode="External" /><Relationship Type="http://schemas.openxmlformats.org/officeDocument/2006/relationships/hyperlink" Id="rId36" Target="https://www.theccc.org.uk/publication/reducing-uk-emissions-2020-progress-report-to-parliament/" TargetMode="External" /><Relationship Type="http://schemas.openxmlformats.org/officeDocument/2006/relationships/hyperlink" Id="rId20" Target="https://www.theccc.org.uk/publication/uk-housing-fit-for-the-fu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Retrofit or bust?</dc:title>
  <dc:creator>Ben Anderson</dc:creator>
  <cp:keywords/>
  <dcterms:created xsi:type="dcterms:W3CDTF">2020-10-30T15:44:29Z</dcterms:created>
  <dcterms:modified xsi:type="dcterms:W3CDTF">2020-10-30T15:44:29Z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/Users/ben/github/dataknut/refs/refs.bib</vt:lpwstr>
  </property>
  <property fmtid="{D5CDD505-2E9C-101B-9397-08002B2CF9AE}" pid="3" name="date">
    <vt:lpwstr>Last run at: 2020-10-30 15:44:29</vt:lpwstr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/>
  </property>
</Properties>
</file>