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62.png" ContentType="image/png"/>
  <Override PartName="/word/media/rId68.png" ContentType="image/png"/>
  <Override PartName="/word/media/rId98.png" ContentType="image/png"/>
  <Override PartName="/word/media/rId85.png" ContentType="image/png"/>
  <Override PartName="/word/media/rId105.png" ContentType="image/png"/>
  <Override PartName="/word/media/rId71.png" ContentType="image/png"/>
  <Override PartName="/word/media/rId58.png" ContentType="image/png"/>
  <Override PartName="/word/media/rId44.png" ContentType="image/png"/>
  <Override PartName="/word/media/rId48.png" ContentType="image/png"/>
  <Override PartName="/word/media/rId52.png" ContentType="image/png"/>
  <Override PartName="/word/media/rId94.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Hampshire</w:t>
      </w:r>
      <w:r>
        <w:t xml:space="preserve"> </w:t>
      </w:r>
      <w:r>
        <w:t xml:space="preserve">‘</w:t>
      </w:r>
      <w:r>
        <w:t xml:space="preserve">County</w:t>
      </w:r>
      <w:r>
        <w:t xml:space="preserve">’</w:t>
      </w:r>
      <w:r>
        <w:t xml:space="preserve"> </w:t>
      </w:r>
      <w:r>
        <w:t xml:space="preserve">GHG</w:t>
      </w:r>
      <w:r>
        <w:t xml:space="preserve"> </w:t>
      </w:r>
      <w:r>
        <w:t xml:space="preserve">Emissions</w:t>
      </w:r>
      <w:r>
        <w:t xml:space="preserve"> </w:t>
      </w:r>
      <w:r>
        <w:t xml:space="preserve">(v2.0)</w:t>
      </w:r>
    </w:p>
    <w:p>
      <w:pPr>
        <w:pStyle w:val="Subtitle"/>
      </w:pPr>
      <w:r>
        <w:t xml:space="preserve">2018/19</w:t>
      </w:r>
      <w:r>
        <w:t xml:space="preserve"> </w:t>
      </w:r>
      <w:r>
        <w:t xml:space="preserve">snapshots</w:t>
      </w:r>
      <w:r>
        <w:t xml:space="preserve"> </w:t>
      </w:r>
      <w:r>
        <w:t xml:space="preserve">and</w:t>
      </w:r>
      <w:r>
        <w:t xml:space="preserve"> </w:t>
      </w:r>
      <w:r>
        <w:t xml:space="preserve">trends</w:t>
      </w:r>
      <w:r>
        <w:t xml:space="preserve"> </w:t>
      </w:r>
      <w:r>
        <w:t xml:space="preserve">over</w:t>
      </w:r>
      <w:r>
        <w:t xml:space="preserve"> </w:t>
      </w:r>
      <w:r>
        <w:t xml:space="preserve">time</w:t>
      </w:r>
      <w:r>
        <w:t xml:space="preserve"> </w:t>
      </w:r>
      <w:r>
        <w:t xml:space="preserve">using</w:t>
      </w:r>
      <w:r>
        <w:t xml:space="preserve"> </w:t>
      </w:r>
      <w:r>
        <w:t xml:space="preserve">the</w:t>
      </w:r>
      <w:r>
        <w:t xml:space="preserve"> </w:t>
      </w:r>
      <w:r>
        <w:t xml:space="preserve">latest</w:t>
      </w:r>
      <w:r>
        <w:t xml:space="preserve"> </w:t>
      </w:r>
      <w:r>
        <w:t xml:space="preserve">BEIS/DESNZ</w:t>
      </w:r>
      <w:r>
        <w:t xml:space="preserve"> </w:t>
      </w:r>
      <w:r>
        <w:t xml:space="preserve">district</w:t>
      </w:r>
      <w:r>
        <w:t xml:space="preserve"> </w:t>
      </w:r>
      <w:r>
        <w:t xml:space="preserve">level</w:t>
      </w:r>
      <w:r>
        <w:t xml:space="preserve"> </w:t>
      </w:r>
      <w:r>
        <w:t xml:space="preserve">data</w:t>
      </w:r>
    </w:p>
    <w:p>
      <w:pPr>
        <w:pStyle w:val="Author"/>
      </w:pPr>
      <w:r>
        <w:t xml:space="preserve">Ben</w:t>
      </w:r>
      <w:r>
        <w:t xml:space="preserve"> </w:t>
      </w:r>
      <w:r>
        <w:t xml:space="preserve">Anderson</w:t>
      </w:r>
      <w:r>
        <w:t xml:space="preserve"> </w:t>
      </w:r>
      <w:r>
        <w:t xml:space="preserve">(</w:t>
      </w:r>
      <w:hyperlink r:id="rId20">
        <w:r>
          <w:rPr>
            <w:rStyle w:val="Hyperlink"/>
          </w:rPr>
          <w:t xml:space="preserve">b.anderson@soton.ac.uk</w:t>
        </w:r>
      </w:hyperlink>
      <w:r>
        <w:t xml:space="preserve">)</w:t>
      </w:r>
    </w:p>
    <w:p>
      <w:pPr>
        <w:pStyle w:val="Date"/>
      </w:pPr>
      <w:r>
        <w:t xml:space="preserve">Last</w:t>
      </w:r>
      <w:r>
        <w:t xml:space="preserve"> </w:t>
      </w:r>
      <w:r>
        <w:t xml:space="preserve">run</w:t>
      </w:r>
      <w:r>
        <w:t xml:space="preserve"> </w:t>
      </w:r>
      <w:r>
        <w:t xml:space="preserve">at:</w:t>
      </w:r>
      <w:r>
        <w:t xml:space="preserve"> </w:t>
      </w:r>
      <w:r>
        <w:t xml:space="preserve">2023-07-28</w:t>
      </w:r>
      <w:r>
        <w:t xml:space="preserve"> </w:t>
      </w:r>
      <w:r>
        <w:t xml:space="preserve">17:14:54.31977</w:t>
      </w:r>
    </w:p>
    <w:bookmarkStart w:id="30" w:name="about"/>
    <w:p>
      <w:pPr>
        <w:pStyle w:val="Heading1"/>
      </w:pPr>
      <w:r>
        <w:rPr>
          <w:rStyle w:val="SectionNumber"/>
        </w:rPr>
        <w:t xml:space="preserve">1</w:t>
      </w:r>
      <w:r>
        <w:tab/>
      </w:r>
      <w:r>
        <w:t xml:space="preserve">About</w:t>
      </w:r>
    </w:p>
    <w:p>
      <w:pPr>
        <w:pStyle w:val="FirstParagraph"/>
      </w:pPr>
      <w:r>
        <w:t xml:space="preserve">This report is a contribution to the Hampshire County Council Climate Change</w:t>
      </w:r>
      <w:r>
        <w:t xml:space="preserve"> </w:t>
      </w:r>
      <w:hyperlink r:id="rId21">
        <w:r>
          <w:rPr>
            <w:rStyle w:val="Hyperlink"/>
          </w:rPr>
          <w:t xml:space="preserve">Expert Stakeholder Forum</w:t>
        </w:r>
      </w:hyperlink>
      <w:r>
        <w:t xml:space="preserve">’s Data sub-group.</w:t>
      </w:r>
    </w:p>
    <w:p>
      <w:pPr>
        <w:pStyle w:val="BodyText"/>
      </w:pPr>
      <w:r>
        <w:t xml:space="preserve">Code:</w:t>
      </w:r>
      <w:r>
        <w:t xml:space="preserve"> </w:t>
      </w:r>
      <w:hyperlink r:id="rId22">
        <w:r>
          <w:rPr>
            <w:rStyle w:val="Hyperlink"/>
          </w:rPr>
          <w:t xml:space="preserve">https://github.com/HCC-CCECF-DataGroup/hampshire-ghg-emissions/tree/main/rmd</w:t>
        </w:r>
      </w:hyperlink>
      <w:r>
        <w:t xml:space="preserve"> </w:t>
      </w:r>
      <w:r>
        <w:t xml:space="preserve">(mirrored from</w:t>
      </w:r>
      <w:r>
        <w:t xml:space="preserve"> </w:t>
      </w:r>
      <w:hyperlink r:id="rId23">
        <w:r>
          <w:rPr>
            <w:rStyle w:val="Hyperlink"/>
          </w:rPr>
          <w:t xml:space="preserve">https://git.soton.ac.uk/SERG/hcc-engagement/hampshire-ghg-emissions</w:t>
        </w:r>
      </w:hyperlink>
      <w:r>
        <w:t xml:space="preserve">)</w:t>
      </w:r>
    </w:p>
    <w:p>
      <w:pPr>
        <w:pStyle w:val="BodyText"/>
      </w:pPr>
      <w:r>
        <w:t xml:space="preserve">If you are viewing this report as a web page then you can also click on the</w:t>
      </w:r>
      <w:r>
        <w:t xml:space="preserve"> </w:t>
      </w:r>
      <w:r>
        <w:t xml:space="preserve">‘</w:t>
      </w:r>
      <w:r>
        <w:t xml:space="preserve">code</w:t>
      </w:r>
      <w:r>
        <w:t xml:space="preserve">’</w:t>
      </w:r>
      <w:r>
        <w:t xml:space="preserve"> </w:t>
      </w:r>
      <w:r>
        <w:t xml:space="preserve">buttons to reveal the code used in each section.</w:t>
      </w:r>
    </w:p>
    <w:p>
      <w:pPr>
        <w:pStyle w:val="BodyText"/>
      </w:pPr>
      <w:r>
        <w:t xml:space="preserve">Feedback:</w:t>
      </w:r>
      <w:r>
        <w:t xml:space="preserve"> </w:t>
      </w:r>
      <w:hyperlink r:id="rId24">
        <w:r>
          <w:rPr>
            <w:rStyle w:val="Hyperlink"/>
          </w:rPr>
          <w:t xml:space="preserve">https://github.com/HCC-CCECF-DataGroup/hampshire-ghg-emissions/labels/v2</w:t>
        </w:r>
      </w:hyperlink>
    </w:p>
    <w:bookmarkStart w:id="25" w:name="history"/>
    <w:p>
      <w:pPr>
        <w:pStyle w:val="Heading2"/>
      </w:pPr>
      <w:r>
        <w:rPr>
          <w:rStyle w:val="SectionNumber"/>
        </w:rPr>
        <w:t xml:space="preserve">1.1</w:t>
      </w:r>
      <w:r>
        <w:tab/>
      </w:r>
      <w:r>
        <w:t xml:space="preserve">History</w:t>
      </w:r>
    </w:p>
    <w:p>
      <w:pPr>
        <w:numPr>
          <w:ilvl w:val="0"/>
          <w:numId w:val="1001"/>
        </w:numPr>
        <w:pStyle w:val="Compact"/>
      </w:pPr>
      <w:r>
        <w:t xml:space="preserve">Version 2.0 - [updated to use 2023 DESNZ CO2e data]</w:t>
      </w:r>
    </w:p>
    <w:bookmarkEnd w:id="25"/>
    <w:bookmarkStart w:id="27" w:name="license"/>
    <w:p>
      <w:pPr>
        <w:pStyle w:val="Heading2"/>
      </w:pPr>
      <w:r>
        <w:rPr>
          <w:rStyle w:val="SectionNumber"/>
        </w:rPr>
        <w:t xml:space="preserve">1.2</w:t>
      </w:r>
      <w:r>
        <w:tab/>
      </w:r>
      <w:r>
        <w:t xml:space="preserve">License</w:t>
      </w:r>
    </w:p>
    <w:p>
      <w:pPr>
        <w:pStyle w:val="FirstParagraph"/>
      </w:pPr>
      <w:r>
        <w:t xml:space="preserve">This report is (c) University of Southampton and is published under the</w:t>
      </w:r>
      <w:r>
        <w:t xml:space="preserve"> </w:t>
      </w:r>
      <w:hyperlink r:id="rId26">
        <w:r>
          <w:rPr>
            <w:rStyle w:val="Hyperlink"/>
          </w:rPr>
          <w:t xml:space="preserve">CC-BY-4.0 license</w:t>
        </w:r>
      </w:hyperlink>
      <w:r>
        <w:t xml:space="preserve">. You may share, re-use or adapt for commercial or non-commercial purposes with citation.</w:t>
      </w:r>
    </w:p>
    <w:bookmarkEnd w:id="27"/>
    <w:bookmarkStart w:id="29" w:name="citation"/>
    <w:p>
      <w:pPr>
        <w:pStyle w:val="Heading2"/>
      </w:pPr>
      <w:r>
        <w:rPr>
          <w:rStyle w:val="SectionNumber"/>
        </w:rPr>
        <w:t xml:space="preserve">1.3</w:t>
      </w:r>
      <w:r>
        <w:tab/>
      </w:r>
      <w:r>
        <w:t xml:space="preserve">Citation</w:t>
      </w:r>
    </w:p>
    <w:p>
      <w:pPr>
        <w:pStyle w:val="FirstParagraph"/>
      </w:pPr>
      <w:r>
        <w:t xml:space="preserve">If you wish to use any of the material in this report please cite as:</w:t>
      </w:r>
    </w:p>
    <w:p>
      <w:pPr>
        <w:numPr>
          <w:ilvl w:val="0"/>
          <w:numId w:val="1002"/>
        </w:numPr>
        <w:pStyle w:val="Compact"/>
      </w:pPr>
      <w:r>
        <w:t xml:space="preserve">Anderson, Ben (2023)</w:t>
      </w:r>
      <w:r>
        <w:t xml:space="preserve"> </w:t>
      </w:r>
      <w:hyperlink r:id="rId28">
        <w:r>
          <w:rPr>
            <w:rStyle w:val="Hyperlink"/>
            <w:iCs/>
            <w:i/>
          </w:rPr>
          <w:t xml:space="preserve">Hampshire</w:t>
        </w:r>
        <w:r>
          <w:rPr>
            <w:rStyle w:val="Hyperlink"/>
            <w:iCs/>
            <w:i/>
          </w:rPr>
          <w:t xml:space="preserve"> </w:t>
        </w:r>
        <w:r>
          <w:rPr>
            <w:rStyle w:val="Hyperlink"/>
            <w:iCs/>
            <w:i/>
          </w:rPr>
          <w:t xml:space="preserve">‘</w:t>
        </w:r>
        <w:r>
          <w:rPr>
            <w:rStyle w:val="Hyperlink"/>
            <w:iCs/>
            <w:i/>
          </w:rPr>
          <w:t xml:space="preserve">County</w:t>
        </w:r>
        <w:r>
          <w:rPr>
            <w:rStyle w:val="Hyperlink"/>
            <w:iCs/>
            <w:i/>
          </w:rPr>
          <w:t xml:space="preserve">’</w:t>
        </w:r>
        <w:r>
          <w:rPr>
            <w:rStyle w:val="Hyperlink"/>
            <w:iCs/>
            <w:i/>
          </w:rPr>
          <w:t xml:space="preserve"> </w:t>
        </w:r>
        <w:r>
          <w:rPr>
            <w:rStyle w:val="Hyperlink"/>
            <w:iCs/>
            <w:i/>
          </w:rPr>
          <w:t xml:space="preserve">GHG Emissions (v2.0): 2018/19 snapshots and trends over time using the latest BEIS/DESNZ district level data</w:t>
        </w:r>
      </w:hyperlink>
      <w:r>
        <w:rPr>
          <w:iCs/>
          <w:i/>
        </w:rPr>
        <w:t xml:space="preserve">, Report to the Hampshire County Council Climate Change</w:t>
      </w:r>
      <w:r>
        <w:rPr>
          <w:iCs/>
          <w:i/>
        </w:rPr>
        <w:t xml:space="preserve"> </w:t>
      </w:r>
      <w:hyperlink r:id="rId21">
        <w:r>
          <w:rPr>
            <w:rStyle w:val="Hyperlink"/>
            <w:iCs/>
            <w:i/>
          </w:rPr>
          <w:t xml:space="preserve">Expert Stakeholder Forum</w:t>
        </w:r>
      </w:hyperlink>
      <w:r>
        <w:t xml:space="preserve">. University of Southampton: Southampton.</w:t>
      </w:r>
    </w:p>
    <w:bookmarkEnd w:id="29"/>
    <w:bookmarkEnd w:id="30"/>
    <w:bookmarkStart w:id="36" w:name="introduction"/>
    <w:p>
      <w:pPr>
        <w:pStyle w:val="Heading1"/>
      </w:pPr>
      <w:r>
        <w:rPr>
          <w:rStyle w:val="SectionNumber"/>
        </w:rPr>
        <w:t xml:space="preserve">2</w:t>
      </w:r>
      <w:r>
        <w:tab/>
      </w:r>
      <w:r>
        <w:t xml:space="preserve">Introduction</w:t>
      </w:r>
    </w:p>
    <w:p>
      <w:pPr>
        <w:pStyle w:val="FirstParagraph"/>
      </w:pPr>
      <w:r>
        <w:t xml:space="preserve">This report estimates greenhouse gas (GHG) emissions from the Hampshire County using:</w:t>
      </w:r>
    </w:p>
    <w:p>
      <w:pPr>
        <w:numPr>
          <w:ilvl w:val="0"/>
          <w:numId w:val="1003"/>
        </w:numPr>
        <w:pStyle w:val="Compact"/>
      </w:pPr>
      <w:r>
        <w:t xml:space="preserve">estimates of total annual</w:t>
      </w:r>
      <w:r>
        <w:t xml:space="preserve"> </w:t>
      </w:r>
      <w:hyperlink r:id="rId31">
        <w:r>
          <w:rPr>
            <w:rStyle w:val="Hyperlink"/>
            <w:iCs/>
            <w:i/>
          </w:rPr>
          <w:t xml:space="preserve">territorial-based</w:t>
        </w:r>
      </w:hyperlink>
      <w:r>
        <w:t xml:space="preserve"> </w:t>
      </w:r>
      <w:r>
        <w:rPr>
          <w:bCs/>
          <w:b/>
        </w:rPr>
        <w:t xml:space="preserve">CO2e</w:t>
      </w:r>
      <w:r>
        <w:t xml:space="preserve"> </w:t>
      </w:r>
      <w:r>
        <w:t xml:space="preserve">emissions for the period 2005 onwards using the latest local authority district level data from</w:t>
      </w:r>
      <w:r>
        <w:t xml:space="preserve"> </w:t>
      </w:r>
      <w:hyperlink r:id="rId32">
        <w:r>
          <w:rPr>
            <w:rStyle w:val="Hyperlink"/>
          </w:rPr>
          <w:t xml:space="preserve">BEIS 2023 data</w:t>
        </w:r>
      </w:hyperlink>
      <w:r>
        <w:t xml:space="preserve">;</w:t>
      </w:r>
    </w:p>
    <w:p>
      <w:pPr>
        <w:numPr>
          <w:ilvl w:val="0"/>
          <w:numId w:val="1003"/>
        </w:numPr>
        <w:pStyle w:val="Compact"/>
      </w:pPr>
      <w:r>
        <w:t xml:space="preserve">estimates of total annual</w:t>
      </w:r>
      <w:r>
        <w:t xml:space="preserve"> </w:t>
      </w:r>
      <w:hyperlink r:id="rId31">
        <w:r>
          <w:rPr>
            <w:rStyle w:val="Hyperlink"/>
            <w:iCs/>
            <w:i/>
          </w:rPr>
          <w:t xml:space="preserve">territorial-based</w:t>
        </w:r>
      </w:hyperlink>
      <w:r>
        <w:t xml:space="preserve"> </w:t>
      </w:r>
      <w:r>
        <w:rPr>
          <w:bCs/>
          <w:b/>
        </w:rPr>
        <w:t xml:space="preserve">CO2e</w:t>
      </w:r>
      <w:r>
        <w:t xml:space="preserve"> </w:t>
      </w:r>
      <w:r>
        <w:t xml:space="preserve">emissions for 2018/19 using the</w:t>
      </w:r>
      <w:r>
        <w:t xml:space="preserve"> </w:t>
      </w:r>
      <w:hyperlink r:id="rId33">
        <w:r>
          <w:rPr>
            <w:rStyle w:val="Hyperlink"/>
          </w:rPr>
          <w:t xml:space="preserve">CSE Impact tool</w:t>
        </w:r>
      </w:hyperlink>
      <w:r>
        <w:t xml:space="preserve"> </w:t>
      </w:r>
      <w:r>
        <w:t xml:space="preserve">dataset;</w:t>
      </w:r>
    </w:p>
    <w:p>
      <w:pPr>
        <w:numPr>
          <w:ilvl w:val="0"/>
          <w:numId w:val="1003"/>
        </w:numPr>
        <w:pStyle w:val="Compact"/>
      </w:pPr>
      <w:r>
        <w:t xml:space="preserve">estimates of total annual</w:t>
      </w:r>
      <w:r>
        <w:t xml:space="preserve"> </w:t>
      </w:r>
      <w:hyperlink r:id="rId34">
        <w:r>
          <w:rPr>
            <w:rStyle w:val="Hyperlink"/>
            <w:iCs/>
            <w:i/>
          </w:rPr>
          <w:t xml:space="preserve">consumption-based</w:t>
        </w:r>
      </w:hyperlink>
      <w:r>
        <w:t xml:space="preserve"> </w:t>
      </w:r>
      <w:r>
        <w:rPr>
          <w:bCs/>
          <w:b/>
        </w:rPr>
        <w:t xml:space="preserve">CO2e</w:t>
      </w:r>
      <w:r>
        <w:t xml:space="preserve"> </w:t>
      </w:r>
      <w:r>
        <w:t xml:space="preserve">emissions for 2018/19 using the</w:t>
      </w:r>
      <w:r>
        <w:t xml:space="preserve"> </w:t>
      </w:r>
      <w:hyperlink r:id="rId33">
        <w:r>
          <w:rPr>
            <w:rStyle w:val="Hyperlink"/>
          </w:rPr>
          <w:t xml:space="preserve">CSE Impact tool</w:t>
        </w:r>
      </w:hyperlink>
      <w:r>
        <w:t xml:space="preserve"> </w:t>
      </w:r>
      <w:r>
        <w:t xml:space="preserve">dataset.</w:t>
      </w:r>
    </w:p>
    <w:p>
      <w:pPr>
        <w:pStyle w:val="FirstParagraph"/>
      </w:pPr>
      <w:r>
        <w:t xml:space="preserve">The analysis is carried out for the</w:t>
      </w:r>
      <w:r>
        <w:t xml:space="preserve"> </w:t>
      </w:r>
      <w:r>
        <w:t xml:space="preserve">‘</w:t>
      </w:r>
      <w:r>
        <w:t xml:space="preserve">Wider Hampshire</w:t>
      </w:r>
      <w:r>
        <w:t xml:space="preserve">’</w:t>
      </w:r>
      <w:r>
        <w:t xml:space="preserve"> </w:t>
      </w:r>
      <w:r>
        <w:t xml:space="preserve">area, i.e. </w:t>
      </w:r>
      <w:r>
        <w:rPr>
          <w:iCs/>
          <w:i/>
        </w:rPr>
        <w:t xml:space="preserve">all 14</w:t>
      </w:r>
      <w:r>
        <w:t xml:space="preserve"> </w:t>
      </w:r>
      <w:r>
        <w:t xml:space="preserve">local authority districts in the Hampshire County</w:t>
      </w:r>
      <w:r>
        <w:t xml:space="preserve"> </w:t>
      </w:r>
      <w:r>
        <w:rPr>
          <w:bCs/>
          <w:b/>
        </w:rPr>
        <w:t xml:space="preserve">including the unitary authorities of Portsmouth, Southampton and the Isle of Wight</w:t>
      </w:r>
      <w:r>
        <w:t xml:space="preserve">. Note that this differs from the baseline estimated for the Hampshire County Council</w:t>
      </w:r>
      <w:r>
        <w:t xml:space="preserve"> </w:t>
      </w:r>
      <w:hyperlink r:id="rId35">
        <w:r>
          <w:rPr>
            <w:rStyle w:val="Hyperlink"/>
          </w:rPr>
          <w:t xml:space="preserve">Climate Change Strategy</w:t>
        </w:r>
      </w:hyperlink>
      <w:r>
        <w:t xml:space="preserve"> </w:t>
      </w:r>
      <w:r>
        <w:t xml:space="preserve">by The Carbon Trust which</w:t>
      </w:r>
      <w:r>
        <w:t xml:space="preserve"> </w:t>
      </w:r>
      <w:r>
        <w:rPr>
          <w:iCs/>
          <w:i/>
        </w:rPr>
        <w:t xml:space="preserve">excluded</w:t>
      </w:r>
      <w:r>
        <w:t xml:space="preserve"> </w:t>
      </w:r>
      <w:r>
        <w:t xml:space="preserve">Portsmouth, Southampton and the Isle of Wight.</w:t>
      </w:r>
    </w:p>
    <w:bookmarkEnd w:id="36"/>
    <w:bookmarkStart w:id="41" w:name="carbon-trust-estimates"/>
    <w:p>
      <w:pPr>
        <w:pStyle w:val="Heading1"/>
      </w:pPr>
      <w:r>
        <w:rPr>
          <w:rStyle w:val="SectionNumber"/>
        </w:rPr>
        <w:t xml:space="preserve">3</w:t>
      </w:r>
      <w:r>
        <w:tab/>
      </w:r>
      <w:r>
        <w:t xml:space="preserve">Carbon Trust estimates</w:t>
      </w:r>
    </w:p>
    <w:p>
      <w:pPr>
        <w:pStyle w:val="FirstParagraph"/>
      </w:pPr>
      <w:r>
        <w:t xml:space="preserve">As background to the Hampshire County Council</w:t>
      </w:r>
      <w:r>
        <w:t xml:space="preserve"> </w:t>
      </w:r>
      <w:hyperlink r:id="rId35">
        <w:r>
          <w:rPr>
            <w:rStyle w:val="Hyperlink"/>
          </w:rPr>
          <w:t xml:space="preserve">Climate Change Strategy</w:t>
        </w:r>
      </w:hyperlink>
      <w:r>
        <w:t xml:space="preserve">, the Carbon Trust was asked to establish baseline emissions for the County</w:t>
      </w:r>
      <w:r>
        <w:t xml:space="preserve"> </w:t>
      </w:r>
      <w:r>
        <w:rPr>
          <w:bCs/>
          <w:b/>
        </w:rPr>
        <w:t xml:space="preserve">excluding Southampton, Portsmouth and Isle of Wight</w:t>
      </w:r>
      <w:r>
        <w:t xml:space="preserve">. This baseline was converted to the proportion of emissions from different energy sources and reported as a trend plot on p14 of the Strategy as shown below. This highlighted that the main components of emissions were:</w:t>
      </w:r>
    </w:p>
    <w:p>
      <w:pPr>
        <w:numPr>
          <w:ilvl w:val="0"/>
          <w:numId w:val="1004"/>
        </w:numPr>
        <w:pStyle w:val="Compact"/>
      </w:pPr>
      <w:r>
        <w:t xml:space="preserve">Industry &amp; Commercial (~ 39%)</w:t>
      </w:r>
    </w:p>
    <w:p>
      <w:pPr>
        <w:numPr>
          <w:ilvl w:val="0"/>
          <w:numId w:val="1004"/>
        </w:numPr>
        <w:pStyle w:val="Compact"/>
      </w:pPr>
      <w:r>
        <w:t xml:space="preserve">Transport (~ 37%)</w:t>
      </w:r>
    </w:p>
    <w:p>
      <w:pPr>
        <w:numPr>
          <w:ilvl w:val="0"/>
          <w:numId w:val="1004"/>
        </w:numPr>
        <w:pStyle w:val="Compact"/>
      </w:pPr>
      <w:r>
        <w:t xml:space="preserve">Residential energy use (~ 24%).</w:t>
      </w:r>
    </w:p>
    <w:p>
      <w:pPr>
        <w:pStyle w:val="FirstParagraph"/>
      </w:pPr>
      <w:r>
        <w:t xml:space="preserve">Total kT CO2e baseline values were not included in this report.</w:t>
      </w:r>
    </w:p>
    <w:p>
      <w:pPr>
        <w:pStyle w:val="CaptionedFigure"/>
      </w:pPr>
      <w:r>
        <w:drawing>
          <wp:inline>
            <wp:extent cx="5334000" cy="1541992"/>
            <wp:effectExtent b="0" l="0" r="0" t="0"/>
            <wp:docPr descr="Hampshire emissions (CarbonTrust, 2020)" title="" id="38" name="Picture"/>
            <a:graphic>
              <a:graphicData uri="http://schemas.openxmlformats.org/drawingml/2006/picture">
                <pic:pic>
                  <pic:nvPicPr>
                    <pic:cNvPr descr="../includes/hcc_strategy_emissions_trend_plot.png" id="39" name="Picture"/>
                    <pic:cNvPicPr>
                      <a:picLocks noChangeArrowheads="1" noChangeAspect="1"/>
                    </pic:cNvPicPr>
                  </pic:nvPicPr>
                  <pic:blipFill>
                    <a:blip r:embed="rId37"/>
                    <a:stretch>
                      <a:fillRect/>
                    </a:stretch>
                  </pic:blipFill>
                  <pic:spPr bwMode="auto">
                    <a:xfrm>
                      <a:off x="0" y="0"/>
                      <a:ext cx="5334000" cy="1541992"/>
                    </a:xfrm>
                    <a:prstGeom prst="rect">
                      <a:avLst/>
                    </a:prstGeom>
                    <a:noFill/>
                    <a:ln w="9525">
                      <a:noFill/>
                      <a:headEnd/>
                      <a:tailEnd/>
                    </a:ln>
                  </pic:spPr>
                </pic:pic>
              </a:graphicData>
            </a:graphic>
          </wp:inline>
        </w:drawing>
      </w:r>
    </w:p>
    <w:p>
      <w:pPr>
        <w:pStyle w:val="ImageCaption"/>
      </w:pPr>
      <w:r>
        <w:t xml:space="preserve">Hampshire emissions (CarbonTrust, 2020)</w:t>
      </w:r>
    </w:p>
    <w:p>
      <w:pPr>
        <w:pStyle w:val="BodyText"/>
      </w:pPr>
      <w:r>
        <w:t xml:space="preserve">However the HCC Climate</w:t>
      </w:r>
      <w:r>
        <w:t xml:space="preserve"> </w:t>
      </w:r>
      <w:hyperlink r:id="rId40">
        <w:r>
          <w:rPr>
            <w:rStyle w:val="Hyperlink"/>
          </w:rPr>
          <w:t xml:space="preserve">Change Strategic Framework of Programmes</w:t>
        </w:r>
      </w:hyperlink>
      <w:r>
        <w:t xml:space="preserve"> </w:t>
      </w:r>
      <w:r>
        <w:t xml:space="preserve">which lays out the estimated Total kT CO2e and % reduction for a range of proposed actions, enables the following baseline values to be imputed:</w:t>
      </w:r>
    </w:p>
    <w:p>
      <w:pPr>
        <w:numPr>
          <w:ilvl w:val="0"/>
          <w:numId w:val="1005"/>
        </w:numPr>
        <w:pStyle w:val="Compact"/>
      </w:pPr>
      <w:r>
        <w:t xml:space="preserve">Industry &amp; Commercial emissions = 3,278 kT CO2</w:t>
      </w:r>
    </w:p>
    <w:p>
      <w:pPr>
        <w:numPr>
          <w:ilvl w:val="0"/>
          <w:numId w:val="1005"/>
        </w:numPr>
        <w:pStyle w:val="Compact"/>
      </w:pPr>
      <w:r>
        <w:t xml:space="preserve">Transport emissions = 3,157 kT CO2</w:t>
      </w:r>
    </w:p>
    <w:p>
      <w:pPr>
        <w:numPr>
          <w:ilvl w:val="0"/>
          <w:numId w:val="1005"/>
        </w:numPr>
        <w:pStyle w:val="Compact"/>
      </w:pPr>
      <w:r>
        <w:t xml:space="preserve">Residential emissions = 2,011 kT CO2</w:t>
      </w:r>
    </w:p>
    <w:p>
      <w:pPr>
        <w:pStyle w:val="FirstParagraph"/>
      </w:pPr>
      <w:r>
        <w:t xml:space="preserve">Using the proportion values in the figure above, this gives a total of 8,446 kT CO2 for the 11 districts.</w:t>
      </w:r>
    </w:p>
    <w:bookmarkEnd w:id="41"/>
    <w:bookmarkStart w:id="75" w:name="X181bad8dad9ea1885e9e03c9992d6858cd2692b"/>
    <w:p>
      <w:pPr>
        <w:pStyle w:val="Heading1"/>
      </w:pPr>
      <w:r>
        <w:rPr>
          <w:rStyle w:val="SectionNumber"/>
        </w:rPr>
        <w:t xml:space="preserve">4</w:t>
      </w:r>
      <w:r>
        <w:tab/>
      </w:r>
      <w:r>
        <w:t xml:space="preserve">BEIS/DESNZ: Territorial CO2 emissions (2005 to current)</w:t>
      </w:r>
    </w:p>
    <w:p>
      <w:pPr>
        <w:pStyle w:val="FirstParagraph"/>
      </w:pPr>
      <w:r>
        <w:t xml:space="preserve">These official local authority/district level</w:t>
      </w:r>
      <w:r>
        <w:t xml:space="preserve"> </w:t>
      </w:r>
      <w:hyperlink r:id="rId32">
        <w:r>
          <w:rPr>
            <w:rStyle w:val="Hyperlink"/>
          </w:rPr>
          <w:t xml:space="preserve">BEIS/DESNZ National Statistics</w:t>
        </w:r>
      </w:hyperlink>
      <w:r>
        <w:t xml:space="preserve"> </w:t>
      </w:r>
      <w:r>
        <w:t xml:space="preserve">use the end-user territorial emissions method(</w:t>
      </w:r>
      <w:r>
        <w:rPr>
          <w:iCs/>
          <w:i/>
        </w:rPr>
        <w:t xml:space="preserve">“</w:t>
      </w:r>
      <w:r>
        <w:rPr>
          <w:iCs/>
          <w:i/>
        </w:rPr>
        <w:t xml:space="preserve">meaning CO2 emissions that occur within the UK’s borders</w:t>
      </w:r>
      <w:r>
        <w:rPr>
          <w:iCs/>
          <w:i/>
        </w:rPr>
        <w:t xml:space="preserve">”</w:t>
      </w:r>
      <w:r>
        <w:t xml:space="preserve">). As a result international aviation and shipping are</w:t>
      </w:r>
      <w:r>
        <w:t xml:space="preserve"> </w:t>
      </w:r>
      <w:r>
        <w:rPr>
          <w:iCs/>
          <w:i/>
        </w:rPr>
        <w:t xml:space="preserve">excluded</w:t>
      </w:r>
      <w:r>
        <w:t xml:space="preserve"> </w:t>
      </w:r>
      <w:r>
        <w:t xml:space="preserve">from these estimates.</w:t>
      </w:r>
    </w:p>
    <w:p>
      <w:pPr>
        <w:pStyle w:val="BodyText"/>
      </w:pPr>
      <w:r>
        <w:t xml:space="preserve">Note also that:</w:t>
      </w:r>
    </w:p>
    <w:p>
      <w:pPr>
        <w:pStyle w:val="BodyText"/>
      </w:pPr>
      <w:r>
        <w:t xml:space="preserve">“</w:t>
      </w:r>
      <w:r>
        <w:rPr>
          <w:iCs/>
          <w:i/>
        </w:rPr>
        <w:t xml:space="preserve">The end user basis for reporting emissions has been chosen for this dataset because it accounts for the emissions from energy use at the local level and does not penalise local areas for emissions from the production of energy which is then</w:t>
      </w:r>
      <w:r>
        <w:rPr>
          <w:iCs/>
          <w:i/>
        </w:rPr>
        <w:t xml:space="preserve"> </w:t>
      </w:r>
      <w:r>
        <w:rPr>
          <w:iCs/>
          <w:i/>
        </w:rPr>
        <w:t xml:space="preserve">‘</w:t>
      </w:r>
      <w:r>
        <w:rPr>
          <w:iCs/>
          <w:i/>
        </w:rPr>
        <w:t xml:space="preserve">exported</w:t>
      </w:r>
      <w:r>
        <w:rPr>
          <w:iCs/>
          <w:i/>
        </w:rPr>
        <w:t xml:space="preserve">’</w:t>
      </w:r>
      <w:r>
        <w:rPr>
          <w:iCs/>
          <w:i/>
        </w:rPr>
        <w:t xml:space="preserve"> </w:t>
      </w:r>
      <w:r>
        <w:rPr>
          <w:iCs/>
          <w:i/>
        </w:rPr>
        <w:t xml:space="preserve">to and used in other areas.</w:t>
      </w:r>
      <w:r>
        <w:t xml:space="preserve">”</w:t>
      </w:r>
      <w:r>
        <w:t xml:space="preserve"> </w:t>
      </w:r>
      <w:r>
        <w:t xml:space="preserve">(</w:t>
      </w:r>
      <w:hyperlink r:id="rId42">
        <w:r>
          <w:rPr>
            <w:rStyle w:val="Hyperlink"/>
          </w:rPr>
          <w:t xml:space="preserve">technical report</w:t>
        </w:r>
      </w:hyperlink>
      <w:r>
        <w:t xml:space="preserve">, p8)</w:t>
      </w:r>
    </w:p>
    <w:p>
      <w:pPr>
        <w:pStyle w:val="BodyText"/>
      </w:pPr>
      <w:r>
        <w:t xml:space="preserve">The following code loads the data and reports basic checks. A full data description can be found in Section</w:t>
      </w:r>
      <w:r>
        <w:t xml:space="preserve"> </w:t>
      </w:r>
      <w:r>
        <w:t xml:space="preserve">10.1</w:t>
      </w:r>
      <w:r>
        <w:t xml:space="preserve">.</w:t>
      </w:r>
    </w:p>
    <w:p>
      <w:pPr>
        <w:pStyle w:val="SourceCode"/>
      </w:pPr>
      <w:r>
        <w:rPr>
          <w:rStyle w:val="VerbatimChar"/>
        </w:rPr>
        <w:t xml:space="preserve">## Number of emissions categories: 31</w:t>
      </w:r>
    </w:p>
    <w:p>
      <w:pPr>
        <w:pStyle w:val="SourceCode"/>
      </w:pPr>
      <w:r>
        <w:rPr>
          <w:rStyle w:val="VerbatimChar"/>
        </w:rPr>
        <w:t xml:space="preserve">## Number of districts: 14</w:t>
      </w:r>
    </w:p>
    <w:p>
      <w:pPr>
        <w:pStyle w:val="SourceCode"/>
      </w:pPr>
      <w:r>
        <w:rPr>
          <w:rStyle w:val="VerbatimChar"/>
        </w:rPr>
        <w:t xml:space="preserve">## Total emissions for 2019: 9409 kT CO2</w:t>
      </w:r>
    </w:p>
    <w:p>
      <w:pPr>
        <w:pStyle w:val="SourceCode"/>
      </w:pPr>
      <w:r>
        <w:rPr>
          <w:rStyle w:val="VerbatimChar"/>
        </w:rPr>
        <w:t xml:space="preserve">## Total emissions deemed to be 'within the scope of influence of LAs' for 2019: 7623 kT CO2</w:t>
      </w:r>
    </w:p>
    <w:p>
      <w:pPr>
        <w:pStyle w:val="FirstParagraph"/>
      </w:pPr>
      <w:r>
        <w:t xml:space="preserve">BEIS have produced a useful</w:t>
      </w:r>
      <w:r>
        <w:t xml:space="preserve"> </w:t>
      </w:r>
      <w:hyperlink r:id="rId43">
        <w:r>
          <w:rPr>
            <w:rStyle w:val="Hyperlink"/>
          </w:rPr>
          <w:t xml:space="preserve">mapping tool</w:t>
        </w:r>
      </w:hyperlink>
      <w:r>
        <w:t xml:space="preserve"> </w:t>
      </w:r>
      <w:r>
        <w:t xml:space="preserve">which can be used to compare the spatial distribution of different emissions sources at district level.</w:t>
      </w:r>
    </w:p>
    <w:bookmarkStart w:id="56" w:name="trends-over-time"/>
    <w:p>
      <w:pPr>
        <w:pStyle w:val="Heading2"/>
      </w:pPr>
      <w:r>
        <w:rPr>
          <w:rStyle w:val="SectionNumber"/>
        </w:rPr>
        <w:t xml:space="preserve">4.1</w:t>
      </w:r>
      <w:r>
        <w:tab/>
      </w:r>
      <w:r>
        <w:t xml:space="preserve">Trends over time</w:t>
      </w:r>
    </w:p>
    <w:p>
      <w:pPr>
        <w:pStyle w:val="FirstParagraph"/>
      </w:pPr>
      <w:r>
        <w:t xml:space="preserve">Figure</w:t>
      </w:r>
      <w:r>
        <w:t xml:space="preserve"> </w:t>
      </w:r>
      <w:r>
        <w:t xml:space="preserve">4.1</w:t>
      </w:r>
      <w:r>
        <w:t xml:space="preserve"> </w:t>
      </w:r>
      <w:r>
        <w:t xml:space="preserve">shows trends over the period 2005 to 2019 for the CO2 emissions sources in the data. Overall there has been a clear reduction in emissions over the time period. The categories have been colour-coded so that related categories have similar colours in the palette.</w:t>
      </w:r>
    </w:p>
    <w:p>
      <w:pPr>
        <w:pStyle w:val="SourceCode"/>
      </w:pPr>
      <w:r>
        <w:rPr>
          <w:rStyle w:val="VerbatimChar"/>
        </w:rPr>
        <w:t xml:space="preserve">## Saving 5 x 6 in image</w:t>
      </w:r>
    </w:p>
    <w:p>
      <w:pPr>
        <w:pStyle w:val="CaptionedFigure"/>
      </w:pPr>
      <w:r>
        <w:drawing>
          <wp:inline>
            <wp:extent cx="5334000" cy="6400800"/>
            <wp:effectExtent b="0" l="0" r="0" t="0"/>
            <wp:docPr descr="Figure 4.1: BEIS CO2 emissions by category (Hampshire)" title="" id="45" name="Picture"/>
            <a:graphic>
              <a:graphicData uri="http://schemas.openxmlformats.org/drawingml/2006/picture">
                <pic:pic>
                  <pic:nvPicPr>
                    <pic:cNvPr descr="/Users/ben/repos/git.soton/ba1e12/forks/SERG/HCC-engagement/hampshire-ghg-emissions/docs/Hampshire_County_GHG_Emissions_v2.0_files/figure-docx/hampshireBEISCO2TotalTrends-1.png" id="46"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bookmarkStart w:id="47" w:name="fig:hampshireBEISCO2TotalTrends"/>
      <w:bookmarkEnd w:id="47"/>
      <w:r>
        <w:t xml:space="preserve">Figure 4.1: BEIS CO2 emissions by category (Hampshire)</w:t>
      </w:r>
    </w:p>
    <w:p>
      <w:pPr>
        <w:pStyle w:val="BodyText"/>
      </w:pPr>
      <w:r>
        <w:t xml:space="preserve">Figure</w:t>
      </w:r>
      <w:r>
        <w:t xml:space="preserve"> </w:t>
      </w:r>
      <w:r>
        <w:t xml:space="preserve">4.2</w:t>
      </w:r>
      <w:r>
        <w:t xml:space="preserve"> </w:t>
      </w:r>
      <w:r>
        <w:t xml:space="preserve">shows trends over time for these categories using a line plot to make it easier to see which categories have declined. This makes the recent trends in the reduction of emissions from the increasingly decarbonised electricity grid clearly visible. There has also been a slight decline in emissions due to domestic gas use but few other sources show substantial change except for</w:t>
      </w:r>
      <w:r>
        <w:t xml:space="preserve"> </w:t>
      </w:r>
      <w:r>
        <w:t xml:space="preserve">‘</w:t>
      </w:r>
      <w:r>
        <w:rPr>
          <w:iCs/>
          <w:i/>
        </w:rPr>
        <w:t xml:space="preserve">large industrial installations</w:t>
      </w:r>
      <w:r>
        <w:t xml:space="preserve">’</w:t>
      </w:r>
      <w:r>
        <w:t xml:space="preserve">.</w:t>
      </w:r>
    </w:p>
    <w:p>
      <w:pPr>
        <w:pStyle w:val="SourceCode"/>
      </w:pPr>
      <w:r>
        <w:rPr>
          <w:rStyle w:val="VerbatimChar"/>
        </w:rPr>
        <w:t xml:space="preserve">## Saving 5 x 6 in image</w:t>
      </w:r>
    </w:p>
    <w:p>
      <w:pPr>
        <w:pStyle w:val="CaptionedFigure"/>
      </w:pPr>
      <w:r>
        <w:drawing>
          <wp:inline>
            <wp:extent cx="5334000" cy="6400800"/>
            <wp:effectExtent b="0" l="0" r="0" t="0"/>
            <wp:docPr descr="Figure 4.2: BEIS CO2 emissions by category (Hampshire)" title="" id="49" name="Picture"/>
            <a:graphic>
              <a:graphicData uri="http://schemas.openxmlformats.org/drawingml/2006/picture">
                <pic:pic>
                  <pic:nvPicPr>
                    <pic:cNvPr descr="/Users/ben/repos/git.soton/ba1e12/forks/SERG/HCC-engagement/hampshire-ghg-emissions/docs/Hampshire_County_GHG_Emissions_v2.0_files/figure-docx/hampshireBEISCO2TotalTrendsLine-1.png" id="50" name="Picture"/>
                    <pic:cNvPicPr>
                      <a:picLocks noChangeArrowheads="1" noChangeAspect="1"/>
                    </pic:cNvPicPr>
                  </pic:nvPicPr>
                  <pic:blipFill>
                    <a:blip r:embed="rId48"/>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bookmarkStart w:id="51" w:name="fig:hampshireBEISCO2TotalTrendsLine"/>
      <w:bookmarkEnd w:id="51"/>
      <w:r>
        <w:t xml:space="preserve">Figure 4.2: BEIS CO2 emissions by category (Hampshire)</w:t>
      </w:r>
    </w:p>
    <w:p>
      <w:pPr>
        <w:pStyle w:val="BodyText"/>
      </w:pPr>
      <w:r>
        <w:t xml:space="preserve">Figure</w:t>
      </w:r>
      <w:r>
        <w:t xml:space="preserve"> </w:t>
      </w:r>
      <w:r>
        <w:t xml:space="preserve">4.3</w:t>
      </w:r>
      <w:r>
        <w:t xml:space="preserve"> </w:t>
      </w:r>
      <w:r>
        <w:t xml:space="preserve">shows an interactive version of the same plot. Hovering over specific lines is useful for identifying the sources.</w:t>
      </w:r>
    </w:p>
    <w:p>
      <w:pPr>
        <w:pStyle w:val="CaptionedFigure"/>
      </w:pPr>
      <w:r>
        <w:drawing>
          <wp:inline>
            <wp:extent cx="5334000" cy="6400800"/>
            <wp:effectExtent b="0" l="0" r="0" t="0"/>
            <wp:docPr descr="Figure 4.3: BEIS CO2 emissions by category (Hampshire)" title="" id="53" name="Picture"/>
            <a:graphic>
              <a:graphicData uri="http://schemas.openxmlformats.org/drawingml/2006/picture">
                <pic:pic>
                  <pic:nvPicPr>
                    <pic:cNvPr descr="/Users/ben/repos/git.soton/ba1e12/forks/SERG/HCC-engagement/hampshire-ghg-emissions/docs/Hampshire_County_GHG_Emissions_v2.0_files/figure-docx/hampshireBEISCO2TotalTrendsLinePlotly-1.png" id="54" name="Picture"/>
                    <pic:cNvPicPr>
                      <a:picLocks noChangeArrowheads="1" noChangeAspect="1"/>
                    </pic:cNvPicPr>
                  </pic:nvPicPr>
                  <pic:blipFill>
                    <a:blip r:embed="rId52"/>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bookmarkStart w:id="55" w:name="X0f21c0eb7269cb97b20a53baad046afc7d7b5be"/>
      <w:bookmarkEnd w:id="55"/>
      <w:r>
        <w:t xml:space="preserve">Figure 4.3: BEIS CO2 emissions by category (Hampshire)</w:t>
      </w:r>
    </w:p>
    <w:bookmarkEnd w:id="56"/>
    <w:bookmarkStart w:id="67" w:name="baseline"/>
    <w:p>
      <w:pPr>
        <w:pStyle w:val="Heading2"/>
      </w:pPr>
      <w:r>
        <w:rPr>
          <w:rStyle w:val="SectionNumber"/>
        </w:rPr>
        <w:t xml:space="preserve">4.2</w:t>
      </w:r>
      <w:r>
        <w:tab/>
      </w:r>
      <w:r>
        <w:t xml:space="preserve">2019 baseline</w:t>
      </w:r>
    </w:p>
    <w:p>
      <w:pPr>
        <w:pStyle w:val="FirstParagraph"/>
      </w:pPr>
      <w:r>
        <w:t xml:space="preserve">Table</w:t>
      </w:r>
      <w:r>
        <w:t xml:space="preserve"> </w:t>
      </w:r>
      <w:r>
        <w:t xml:space="preserve">4.1</w:t>
      </w:r>
      <w:r>
        <w:t xml:space="preserve"> </w:t>
      </w:r>
      <w:r>
        <w:t xml:space="preserve">shows the total CO2 emissions under this method for 2019 for all 14 districts.</w:t>
      </w:r>
    </w:p>
    <w:p>
      <w:pPr>
        <w:pStyle w:val="TableCaption"/>
      </w:pPr>
      <w:bookmarkStart w:id="57" w:name="tab:hampshireBEISCO2Total"/>
      <w:bookmarkEnd w:id="57"/>
      <w:r>
        <w:t xml:space="preserve">Table 4.1:</w:t>
      </w:r>
      <w:r>
        <w:t xml:space="preserve"> </w:t>
      </w:r>
      <w:r>
        <w:t xml:space="preserve">BEIS CO2e emissions (kT,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trHeight w:val="56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r>
      <w:tr>
        <w:trPr>
          <w:trHeight w:val="56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9,409.2</w:t>
            </w:r>
          </w:p>
        </w:tc>
      </w:tr>
    </w:tbl>
    <w:p>
      <w:pPr>
        <w:pStyle w:val="BodyText"/>
      </w:pPr>
      <w:r>
        <w:t xml:space="preserve">Note that the total emissions deemed to be</w:t>
      </w:r>
      <w:r>
        <w:t xml:space="preserve"> </w:t>
      </w:r>
      <w:r>
        <w:t xml:space="preserve">‘</w:t>
      </w:r>
      <w:r>
        <w:t xml:space="preserve">within the scope of influence of LAs</w:t>
      </w:r>
      <w:r>
        <w:t xml:space="preserve">’</w:t>
      </w:r>
      <w:r>
        <w:t xml:space="preserve"> </w:t>
      </w:r>
      <w:r>
        <w:t xml:space="preserve">for 2019 is 0 kT CO2e. Categories deemed by BEIS to be outside local authorities’ scope of influence in this data are:</w:t>
      </w:r>
    </w:p>
    <w:p>
      <w:pPr>
        <w:numPr>
          <w:ilvl w:val="0"/>
          <w:numId w:val="1006"/>
        </w:numPr>
        <w:pStyle w:val="Compact"/>
      </w:pPr>
      <w:r>
        <w:t xml:space="preserve">all forms of land-use, land-use change and forestry</w:t>
      </w:r>
    </w:p>
    <w:p>
      <w:pPr>
        <w:numPr>
          <w:ilvl w:val="0"/>
          <w:numId w:val="1006"/>
        </w:numPr>
        <w:pStyle w:val="Compact"/>
      </w:pPr>
      <w:r>
        <w:t xml:space="preserve">Transport: (Motorways)</w:t>
      </w:r>
    </w:p>
    <w:p>
      <w:pPr>
        <w:numPr>
          <w:ilvl w:val="0"/>
          <w:numId w:val="1006"/>
        </w:numPr>
        <w:pStyle w:val="Compact"/>
      </w:pPr>
      <w:r>
        <w:t xml:space="preserve">Transport: Diesel Railways</w:t>
      </w:r>
    </w:p>
    <w:p>
      <w:pPr>
        <w:pStyle w:val="FirstParagraph"/>
      </w:pPr>
      <w:r>
        <w:t xml:space="preserve">Table</w:t>
      </w:r>
      <w:r>
        <w:t xml:space="preserve"> </w:t>
      </w:r>
      <w:r>
        <w:t xml:space="preserve">??</w:t>
      </w:r>
      <w:r>
        <w:t xml:space="preserve"> </w:t>
      </w:r>
      <w:r>
        <w:t xml:space="preserve">shows the total emissions for 2019 ordered by category. Figure</w:t>
      </w:r>
      <w:r>
        <w:t xml:space="preserve"> </w:t>
      </w:r>
      <w:r>
        <w:t xml:space="preserve">4.4</w:t>
      </w:r>
      <w:r>
        <w:t xml:space="preserve"> </w:t>
      </w:r>
      <w:r>
        <w:t xml:space="preserve">shows the data as a bar plot ordered by value. The largest emissions sources under this method are clearly visible (domestic gas, transport and domestic electricity).</w:t>
      </w:r>
    </w:p>
    <w:p>
      <w:pPr>
        <w:pStyle w:val="CaptionedFigure"/>
      </w:pPr>
      <w:r>
        <w:drawing>
          <wp:inline>
            <wp:extent cx="5334000" cy="4267200"/>
            <wp:effectExtent b="0" l="0" r="0" t="0"/>
            <wp:docPr descr="Figure 4.4: BEIS CO2e emissions by category (Hampshire, 2019 ordered by emissions value)" title="" id="59" name="Picture"/>
            <a:graphic>
              <a:graphicData uri="http://schemas.openxmlformats.org/drawingml/2006/picture">
                <pic:pic>
                  <pic:nvPicPr>
                    <pic:cNvPr descr="/Users/ben/repos/git.soton/ba1e12/forks/SERG/HCC-engagement/hampshire-ghg-emissions/docs/Hampshire_County_GHG_Emissions_v2.0_files/figure-docx/hampshireBEISCO2TotalByCat-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61" w:name="fig:hampshireBEISCO2TotalByCat"/>
      <w:bookmarkEnd w:id="61"/>
      <w:r>
        <w:t xml:space="preserve">Figure 4.4: BEIS CO2e emissions by category (Hampshire, 2019 ordered by emissions value)</w:t>
      </w:r>
    </w:p>
    <w:p>
      <w:pPr>
        <w:pStyle w:val="SourceCode"/>
      </w:pPr>
      <w:r>
        <w:rPr>
          <w:rStyle w:val="VerbatimChar"/>
        </w:rPr>
        <w:t xml:space="preserve">## Saving 5 x 4 in image</w:t>
      </w:r>
    </w:p>
    <w:p>
      <w:pPr>
        <w:pStyle w:val="FirstParagraph"/>
      </w:pPr>
      <w:r>
        <w:t xml:space="preserve">Figure</w:t>
      </w:r>
      <w:r>
        <w:t xml:space="preserve"> </w:t>
      </w:r>
      <w:r>
        <w:t xml:space="preserve">??</w:t>
      </w:r>
      <w:r>
        <w:t xml:space="preserve"> </w:t>
      </w:r>
      <w:r>
        <w:t xml:space="preserve">shows a cumulative emissions plot for the BEIS 2019 data ordered by the emissions source’s magnitude. The largest increments are therefore due to domestic gas use and various forms of transport. The plot uses vertical lines to show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VerbatimChar"/>
        </w:rPr>
        <w:t xml:space="preserve">## Saving 5 x 4 in image</w:t>
      </w:r>
    </w:p>
    <w:p>
      <w:pPr>
        <w:pStyle w:val="CaptionedFigure"/>
      </w:pPr>
      <w:r>
        <w:drawing>
          <wp:inline>
            <wp:extent cx="5334000" cy="4267200"/>
            <wp:effectExtent b="0" l="0" r="0" t="0"/>
            <wp:docPr descr="Figure 4.5: Plot of cumulative emissions (BEIS, 2019)" title="" id="63" name="Picture"/>
            <a:graphic>
              <a:graphicData uri="http://schemas.openxmlformats.org/drawingml/2006/picture">
                <pic:pic>
                  <pic:nvPicPr>
                    <pic:cNvPr descr="/Users/ben/repos/git.soton/ba1e12/forks/SERG/HCC-engagement/hampshire-ghg-emissions/docs/Hampshire_County_GHG_Emissions_v2.0_files/figure-docx/beisCumulativeDot-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65" w:name="fig:beisCumulativeDot"/>
      <w:bookmarkEnd w:id="65"/>
      <w:r>
        <w:t xml:space="preserve">Figure 4.5: Plot of cumulative emissions (BEIS, 2019)</w:t>
      </w:r>
    </w:p>
    <w:p>
      <w:pPr>
        <w:pStyle w:val="BodyText"/>
      </w:pPr>
      <w:r>
        <w:t xml:space="preserve">Thus, if we focus on BEIS territorial CO2 only then 75% of emissions are due to:</w:t>
      </w:r>
    </w:p>
    <w:p>
      <w:pPr>
        <w:numPr>
          <w:ilvl w:val="0"/>
          <w:numId w:val="1007"/>
        </w:numPr>
        <w:pStyle w:val="Compact"/>
      </w:pPr>
      <w:r>
        <w:t xml:space="preserve">Domestic gas: 1,711 kT (18 %));</w:t>
      </w:r>
    </w:p>
    <w:p>
      <w:pPr>
        <w:numPr>
          <w:ilvl w:val="0"/>
          <w:numId w:val="1007"/>
        </w:numPr>
        <w:pStyle w:val="Compact"/>
      </w:pPr>
      <w:r>
        <w:t xml:space="preserve">Transport (Motorways, A roads and minor roads combined): 3,868 kT (Total: 41 %);</w:t>
      </w:r>
    </w:p>
    <w:p>
      <w:pPr>
        <w:numPr>
          <w:ilvl w:val="0"/>
          <w:numId w:val="1007"/>
        </w:numPr>
        <w:pStyle w:val="Compact"/>
      </w:pPr>
      <w:r>
        <w:t xml:space="preserve">Domestic electricity: 711 kT (8 %))</w:t>
      </w:r>
    </w:p>
    <w:p>
      <w:pPr>
        <w:pStyle w:val="FirstParagraph"/>
      </w:pPr>
      <w:r>
        <w:t xml:space="preserve">Taken together the domestic (residential) emissions comprise 26 % of the estimated total.</w:t>
      </w:r>
    </w:p>
    <w:p>
      <w:pPr>
        <w:pStyle w:val="BodyText"/>
      </w:pPr>
      <w:r>
        <w:t xml:space="preserve">Negative CO2 emissions (sequestration) sources are:</w:t>
      </w:r>
    </w:p>
    <w:p>
      <w:pPr>
        <w:numPr>
          <w:ilvl w:val="0"/>
          <w:numId w:val="1008"/>
        </w:numPr>
        <w:pStyle w:val="Compact"/>
      </w:pPr>
      <w:r>
        <w:t xml:space="preserve">Forest: -476 kT</w:t>
      </w:r>
    </w:p>
    <w:p>
      <w:pPr>
        <w:numPr>
          <w:ilvl w:val="0"/>
          <w:numId w:val="1008"/>
        </w:numPr>
        <w:pStyle w:val="Compact"/>
      </w:pPr>
      <w:r>
        <w:t xml:space="preserve">Grassland: -67 kT - note that this does not include methane emissions from grazing livestock nor N2O emissions from waste</w:t>
      </w:r>
    </w:p>
    <w:p>
      <w:pPr>
        <w:numPr>
          <w:ilvl w:val="0"/>
          <w:numId w:val="1008"/>
        </w:numPr>
        <w:pStyle w:val="Compact"/>
      </w:pPr>
      <w:r>
        <w:t xml:space="preserve">Wetlands: 0.029 kT - this is perhaps surprisingly small given the coastal nature of the County and the existence of a number of wetland habitats. it may be worth investigating</w:t>
      </w:r>
      <w:r>
        <w:t xml:space="preserve"> </w:t>
      </w:r>
      <w:hyperlink r:id="rId66">
        <w:r>
          <w:rPr>
            <w:rStyle w:val="Hyperlink"/>
          </w:rPr>
          <w:t xml:space="preserve">the underlying data</w:t>
        </w:r>
      </w:hyperlink>
      <w:r>
        <w:t xml:space="preserve"> </w:t>
      </w:r>
      <w:r>
        <w:t xml:space="preserve">to confirm.</w:t>
      </w:r>
    </w:p>
    <w:p>
      <w:pPr>
        <w:pStyle w:val="FirstParagraph"/>
      </w:pPr>
      <w:r>
        <w:t xml:space="preserve">As Figure</w:t>
      </w:r>
      <w:r>
        <w:t xml:space="preserve"> </w:t>
      </w:r>
      <w:r>
        <w:t xml:space="preserve">??</w:t>
      </w:r>
      <w:r>
        <w:t xml:space="preserve"> </w:t>
      </w:r>
      <w:r>
        <w:t xml:space="preserve">showed, these levels of sequestration currently provide a negligible offset to the overall emissions. Note also that cropland was a net emitter at 109 kT.</w:t>
      </w:r>
    </w:p>
    <w:p>
      <w:pPr>
        <w:pStyle w:val="BodyText"/>
      </w:pPr>
      <w:r>
        <w:t xml:space="preserve">Figure</w:t>
      </w:r>
      <w:r>
        <w:t xml:space="preserve"> </w:t>
      </w:r>
      <w:r>
        <w:t xml:space="preserve">4.2</w:t>
      </w:r>
      <w:r>
        <w:t xml:space="preserve"> </w:t>
      </w:r>
      <w:r>
        <w:t xml:space="preserve">showed that the only emissions sources showing substantial decreases over time have been electricity due to grid decarbonisation and (potentially) reductions in some industrial activity as well as the use of</w:t>
      </w:r>
      <w:r>
        <w:t xml:space="preserve"> </w:t>
      </w:r>
      <w:r>
        <w:t xml:space="preserve">‘</w:t>
      </w:r>
      <w:r>
        <w:t xml:space="preserve">Other fuels</w:t>
      </w:r>
      <w:r>
        <w:t xml:space="preserve">’</w:t>
      </w:r>
      <w:r>
        <w:t xml:space="preserve"> </w:t>
      </w:r>
      <w:r>
        <w:t xml:space="preserve">by industry. Although emissions from domestic gas use have also fallen over time they appear to have stabilised since 2014. Perhaps of most concern given their dominant contribution however is the relative stability of road transport emissions over the 2005 - 2019 period.</w:t>
      </w:r>
    </w:p>
    <w:bookmarkEnd w:id="67"/>
    <w:bookmarkStart w:id="74" w:name="latest-data-2021"/>
    <w:p>
      <w:pPr>
        <w:pStyle w:val="Heading2"/>
      </w:pPr>
      <w:r>
        <w:rPr>
          <w:rStyle w:val="SectionNumber"/>
        </w:rPr>
        <w:t xml:space="preserve">4.3</w:t>
      </w:r>
      <w:r>
        <w:tab/>
      </w:r>
      <w:r>
        <w:t xml:space="preserve">Latest data (2021)</w:t>
      </w:r>
    </w:p>
    <w:p>
      <w:pPr>
        <w:pStyle w:val="FirstParagraph"/>
      </w:pPr>
      <w:r>
        <w:drawing>
          <wp:inline>
            <wp:extent cx="5334000" cy="4267200"/>
            <wp:effectExtent b="0" l="0" r="0" t="0"/>
            <wp:docPr descr="" title="" id="69" name="Picture"/>
            <a:graphic>
              <a:graphicData uri="http://schemas.openxmlformats.org/drawingml/2006/picture">
                <pic:pic>
                  <pic:nvPicPr>
                    <pic:cNvPr descr="/Users/ben/repos/git.soton/ba1e12/forks/SERG/HCC-engagement/hampshire-ghg-emissions/docs/Hampshire_County_GHG_Emissions_v2.0_files/figure-docx/colPltLatestYear-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5334000" cy="4267200"/>
            <wp:effectExtent b="0" l="0" r="0" t="0"/>
            <wp:docPr descr="" title="" id="72" name="Picture"/>
            <a:graphic>
              <a:graphicData uri="http://schemas.openxmlformats.org/drawingml/2006/picture">
                <pic:pic>
                  <pic:nvPicPr>
                    <pic:cNvPr descr="/Users/ben/repos/git.soton/ba1e12/forks/SERG/HCC-engagement/hampshire-ghg-emissions/docs/Hampshire_County_GHG_Emissions_v2.0_files/figure-docx/dotPltLatestYear-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bookmarkEnd w:id="74"/>
    <w:bookmarkEnd w:id="75"/>
    <w:bookmarkStart w:id="91" w:name="X8fb59097e6b5ef6cc1577c0addd80b03163710a"/>
    <w:p>
      <w:pPr>
        <w:pStyle w:val="Heading1"/>
      </w:pPr>
      <w:r>
        <w:rPr>
          <w:rStyle w:val="SectionNumber"/>
        </w:rPr>
        <w:t xml:space="preserve">5</w:t>
      </w:r>
      <w:r>
        <w:tab/>
      </w:r>
      <w:r>
        <w:t xml:space="preserve">CSE: Territorial-based all GHG emissions (2018/19 data)</w:t>
      </w:r>
    </w:p>
    <w:p>
      <w:pPr>
        <w:pStyle w:val="FirstParagraph"/>
      </w:pPr>
      <w:r>
        <w:t xml:space="preserve">The first of the CSE datasets estimates emissions under the territorial method</w:t>
      </w:r>
      <w:r>
        <w:t xml:space="preserve"> </w:t>
      </w:r>
      <w:r>
        <w:rPr>
          <w:bCs/>
          <w:b/>
        </w:rPr>
        <w:t xml:space="preserve">but including international aviation and shipping</w:t>
      </w:r>
      <w:r>
        <w:t xml:space="preserve"> </w:t>
      </w:r>
      <w:r>
        <w:t xml:space="preserve">and includes</w:t>
      </w:r>
      <w:r>
        <w:t xml:space="preserve"> </w:t>
      </w:r>
      <w:r>
        <w:rPr>
          <w:iCs/>
          <w:i/>
        </w:rPr>
        <w:t xml:space="preserve">all GHG</w:t>
      </w:r>
      <w:r>
        <w:t xml:space="preserve"> </w:t>
      </w:r>
      <w:r>
        <w:t xml:space="preserve">emissions -</w:t>
      </w:r>
      <w:r>
        <w:t xml:space="preserve"> </w:t>
      </w:r>
      <w:hyperlink r:id="rId76">
        <w:r>
          <w:rPr>
            <w:rStyle w:val="Hyperlink"/>
          </w:rPr>
          <w:t xml:space="preserve">carbon dioxide, methane, nitrous oxide and fluorinated gases</w:t>
        </w:r>
      </w:hyperlink>
      <w:r>
        <w:t xml:space="preserve">. As the non-CO2 gases have</w:t>
      </w:r>
      <w:r>
        <w:t xml:space="preserve"> </w:t>
      </w:r>
      <w:hyperlink r:id="rId77">
        <w:r>
          <w:rPr>
            <w:rStyle w:val="Hyperlink"/>
          </w:rPr>
          <w:t xml:space="preserve">different warming potentials</w:t>
        </w:r>
      </w:hyperlink>
      <w:r>
        <w:t xml:space="preserve"> </w:t>
      </w:r>
      <w:r>
        <w:t xml:space="preserve">compared to CO2, emissions are reported in terms of CO2e (carbon dioxide equivalent) rather than simply in terms of kT of gas emitted. The sum of kT CO2e for each source therefore represents the total contribution of all of the emissions to climate warming</w:t>
      </w:r>
      <w:r>
        <w:t xml:space="preserve"> </w:t>
      </w:r>
      <w:r>
        <w:rPr>
          <w:iCs/>
          <w:i/>
        </w:rPr>
        <w:t xml:space="preserve">allowing for their different warming potentials</w:t>
      </w:r>
      <w:r>
        <w:t xml:space="preserve">.</w:t>
      </w:r>
    </w:p>
    <w:p>
      <w:pPr>
        <w:pStyle w:val="BodyText"/>
      </w:pPr>
      <w:r>
        <w:t xml:space="preserve">The</w:t>
      </w:r>
      <w:r>
        <w:t xml:space="preserve"> </w:t>
      </w:r>
      <w:r>
        <w:rPr>
          <w:iCs/>
          <w:i/>
        </w:rPr>
        <w:t xml:space="preserve">inclusion</w:t>
      </w:r>
      <w:r>
        <w:t xml:space="preserve"> </w:t>
      </w:r>
      <w:r>
        <w:t xml:space="preserve">of GHGs other than just CO2 means that identical categories in the CSE data will most likely have higher emissions estimates than the original BEIS equivalent which only accounted for CO2. As an example, Transport emissions are based on the BEIS CO2 Transport emissions in the BEIS pre 2020 data (no GHGs other than CO2) but were</w:t>
      </w:r>
      <w:r>
        <w:t xml:space="preserve"> </w:t>
      </w:r>
      <w:r>
        <w:t xml:space="preserve">“</w:t>
      </w:r>
      <w:r>
        <w:rPr>
          <w:iCs/>
          <w:i/>
        </w:rPr>
        <w:t xml:space="preserve">adjusted to account for [additional] non-CO2 greenhouse gas emissions</w:t>
      </w:r>
      <w:r>
        <w:t xml:space="preserve">”</w:t>
      </w:r>
      <w:r>
        <w:t xml:space="preserve">. This is explained in detail in the</w:t>
      </w:r>
      <w:r>
        <w:t xml:space="preserve"> </w:t>
      </w:r>
      <w:hyperlink r:id="rId78">
        <w:r>
          <w:rPr>
            <w:rStyle w:val="Hyperlink"/>
          </w:rPr>
          <w:t xml:space="preserve">CSE methodology paper</w:t>
        </w:r>
      </w:hyperlink>
      <w:r>
        <w:t xml:space="preserve">:</w:t>
      </w:r>
    </w:p>
    <w:p>
      <w:pPr>
        <w:pStyle w:val="BodyText"/>
      </w:pPr>
      <w:r>
        <w:rPr>
          <w:iCs/>
          <w:i/>
        </w:rPr>
        <w:t xml:space="preserve">“</w:t>
      </w:r>
      <w:r>
        <w:rPr>
          <w:iCs/>
          <w:i/>
        </w:rPr>
        <w:t xml:space="preserve">Total CO2e emissions have been estimated for most sectors by comparison of CO2, N2O and CH4 emission factors for the most prevalent fuel type in the sector and factoring the CO2 emissions accordingly. The exceptions are other transport and LULUCF due to the diverse nature of emission sources; in these cases the CO2 figures have been used as-is.</w:t>
      </w:r>
      <w:r>
        <w:rPr>
          <w:iCs/>
          <w:i/>
        </w:rPr>
        <w:t xml:space="preserve">”</w:t>
      </w:r>
      <w:r>
        <w:t xml:space="preserve"> </w:t>
      </w:r>
      <w:r>
        <w:t xml:space="preserve">(p14)</w:t>
      </w:r>
    </w:p>
    <w:p>
      <w:pPr>
        <w:pStyle w:val="BodyText"/>
      </w:pPr>
      <w:r>
        <w:t xml:space="preserve">For aviation and shipping:</w:t>
      </w:r>
    </w:p>
    <w:p>
      <w:pPr>
        <w:pStyle w:val="BodyText"/>
      </w:pPr>
      <w:r>
        <w:rPr>
          <w:iCs/>
          <w:i/>
        </w:rPr>
        <w:t xml:space="preserve">“</w:t>
      </w:r>
      <w:r>
        <w:rPr>
          <w:iCs/>
          <w:i/>
        </w:rPr>
        <w:t xml:space="preserve">National emissions data from these sources are reported by the NAEI, and have been apportioned on a population basis.</w:t>
      </w:r>
      <w:r>
        <w:rPr>
          <w:iCs/>
          <w:i/>
        </w:rPr>
        <w:t xml:space="preserve">”</w:t>
      </w:r>
      <w:r>
        <w:t xml:space="preserve"> </w:t>
      </w:r>
      <w:r>
        <w:t xml:space="preserve">(p15)</w:t>
      </w:r>
    </w:p>
    <w:p>
      <w:pPr>
        <w:pStyle w:val="BodyText"/>
      </w:pPr>
      <w:r>
        <w:t xml:space="preserve">Finally, fluorinated gases (F-gases):</w:t>
      </w:r>
    </w:p>
    <w:p>
      <w:pPr>
        <w:pStyle w:val="BodyText"/>
      </w:pPr>
      <w:r>
        <w:rPr>
          <w:iCs/>
          <w:i/>
        </w:rPr>
        <w:t xml:space="preserve">“</w:t>
      </w:r>
      <w:r>
        <w:rPr>
          <w:iCs/>
          <w:i/>
        </w:rPr>
        <w:t xml:space="preserve">are apportioned commensurate with non-domestic electricity emissions, as systems utilising such gases are most prevalent in non-domestic buildings and electrically powered equipment).</w:t>
      </w:r>
      <w:r>
        <w:rPr>
          <w:iCs/>
          <w:i/>
        </w:rPr>
        <w:t xml:space="preserve">”</w:t>
      </w:r>
      <w:r>
        <w:t xml:space="preserve"> </w:t>
      </w:r>
      <w:r>
        <w:t xml:space="preserve">(p15)</w:t>
      </w:r>
    </w:p>
    <w:p>
      <w:pPr>
        <w:pStyle w:val="BodyText"/>
      </w:pPr>
      <w:r>
        <w:t xml:space="preserve">The following code loads the data and reports basic checks. A full data description can be found in Section</w:t>
      </w:r>
      <w:r>
        <w:t xml:space="preserve"> </w:t>
      </w:r>
      <w:r>
        <w:t xml:space="preserve">10.2</w:t>
      </w:r>
      <w:r>
        <w:t xml:space="preserve">.</w:t>
      </w:r>
    </w:p>
    <w:p>
      <w:pPr>
        <w:pStyle w:val="SourceCode"/>
      </w:pPr>
      <w:r>
        <w:rPr>
          <w:rStyle w:val="VerbatimChar"/>
        </w:rPr>
        <w:t xml:space="preserve">## Number of emissions categories: 20</w:t>
      </w:r>
    </w:p>
    <w:p>
      <w:pPr>
        <w:pStyle w:val="SourceCode"/>
      </w:pPr>
      <w:r>
        <w:rPr>
          <w:rStyle w:val="VerbatimChar"/>
        </w:rPr>
        <w:t xml:space="preserve">## Number of districts: 14</w:t>
      </w:r>
    </w:p>
    <w:p>
      <w:pPr>
        <w:pStyle w:val="SourceCode"/>
      </w:pPr>
      <w:r>
        <w:rPr>
          <w:rStyle w:val="VerbatimChar"/>
        </w:rPr>
        <w:t xml:space="preserve">## Total emissions check: 12110 kT CO2e</w:t>
      </w:r>
    </w:p>
    <w:bookmarkStart w:id="90" w:name="baseline-1"/>
    <w:p>
      <w:pPr>
        <w:pStyle w:val="Heading2"/>
      </w:pPr>
      <w:r>
        <w:rPr>
          <w:rStyle w:val="SectionNumber"/>
        </w:rPr>
        <w:t xml:space="preserve">5.1</w:t>
      </w:r>
      <w:r>
        <w:tab/>
      </w:r>
      <w:r>
        <w:t xml:space="preserve">2019 baseline</w:t>
      </w:r>
    </w:p>
    <w:p>
      <w:pPr>
        <w:pStyle w:val="FirstParagraph"/>
      </w:pPr>
      <w:r>
        <w:t xml:space="preserve">Table</w:t>
      </w:r>
      <w:r>
        <w:t xml:space="preserve"> </w:t>
      </w:r>
      <w:r>
        <w:t xml:space="preserve">5.1</w:t>
      </w:r>
      <w:r>
        <w:t xml:space="preserve"> </w:t>
      </w:r>
      <w:r>
        <w:t xml:space="preserve">shows the total emissions for 2019. This is Inf % increase from the BEIS figure.</w:t>
      </w:r>
    </w:p>
    <w:p>
      <w:pPr>
        <w:pStyle w:val="TableCaption"/>
      </w:pPr>
      <w:bookmarkStart w:id="79" w:name="tab:hampshireCSETerrTotal"/>
      <w:bookmarkEnd w:id="79"/>
      <w:r>
        <w:t xml:space="preserve">Table 5.1:</w:t>
      </w:r>
      <w:r>
        <w:t xml:space="preserve"> </w:t>
      </w:r>
      <w:r>
        <w:t xml:space="preserve">CSE territorial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trHeight w:val="56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r>
      <w:tr>
        <w:trPr>
          <w:trHeight w:val="56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12,109.7</w:t>
            </w:r>
          </w:p>
        </w:tc>
      </w:tr>
    </w:tbl>
    <w:p>
      <w:pPr>
        <w:pStyle w:val="BodyText"/>
      </w:pPr>
      <w:r>
        <w:t xml:space="preserve">Table</w:t>
      </w:r>
      <w:r>
        <w:t xml:space="preserve"> </w:t>
      </w:r>
      <w:r>
        <w:t xml:space="preserve">5.2</w:t>
      </w:r>
      <w:r>
        <w:t xml:space="preserve"> </w:t>
      </w:r>
      <w:r>
        <w:t xml:space="preserve">shows the total emissions for 2019 by category. Figure</w:t>
      </w:r>
      <w:r>
        <w:t xml:space="preserve"> </w:t>
      </w:r>
      <w:r>
        <w:t xml:space="preserve">5.1</w:t>
      </w:r>
      <w:r>
        <w:t xml:space="preserve"> </w:t>
      </w:r>
      <w:r>
        <w:t xml:space="preserve">shows the data as a bar plot. Note that some of the categories do not exactly match those used in the BEIS data but the colour palettes have been kept as similar as possible.</w:t>
      </w:r>
    </w:p>
    <w:p>
      <w:pPr>
        <w:pStyle w:val="BlockText"/>
      </w:pPr>
      <w:r>
        <w:t xml:space="preserve">Ignore the (t CO2e) in the table and plot labels - both the table and plot show kT for easy comparison (labels to be fixed).</w:t>
      </w:r>
    </w:p>
    <w:p>
      <w:pPr>
        <w:pStyle w:val="TableCaption"/>
      </w:pPr>
      <w:bookmarkStart w:id="80" w:name="tab:hampshireCSEterrTotalByCat"/>
      <w:bookmarkEnd w:id="80"/>
      <w:r>
        <w:t xml:space="preserve">Table 5.2:</w:t>
      </w:r>
      <w:r>
        <w:t xml:space="preserve"> </w:t>
      </w:r>
      <w:r>
        <w:t xml:space="preserve">CSE all territorial emissions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23"/>
        <w:gridCol w:w="1711"/>
        <w:gridCol w:w="1355"/>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of gross</w:t>
            </w:r>
          </w:p>
        </w:tc>
      </w:tr>
      <w:tr>
        <w:trPr>
          <w:trHeight w:val="58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Mains gas (t CO2e)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1,657.5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12.8</w:t>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w:t>
            </w:r>
          </w:p>
        </w:tc>
      </w:tr>
      <w:tr>
        <w:trPr>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w:t>
            </w:r>
          </w:p>
        </w:tc>
      </w:tr>
      <w:tr>
        <w:trPr>
          <w:trHeight w:val="5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w:t>
            </w:r>
          </w:p>
        </w:tc>
      </w:tr>
      <w:tr>
        <w:trPr>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5.4</w:t>
            </w:r>
          </w:p>
        </w:tc>
      </w:tr>
      <w:tr>
        <w:trPr>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Other Fuels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w:t>
            </w:r>
          </w:p>
        </w:tc>
      </w:tr>
      <w:tr>
        <w:trPr>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Large industrial consumers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0.6</w:t>
            </w:r>
          </w:p>
        </w:tc>
      </w:tr>
      <w:tr>
        <w:trPr>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 Fuel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0.8</w:t>
            </w:r>
          </w:p>
        </w:tc>
      </w:tr>
      <w:tr>
        <w:trPr>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 Livestock and crop-related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Aviation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9.3</w:t>
            </w:r>
          </w:p>
        </w:tc>
      </w:tr>
      <w:tr>
        <w:trPr>
          <w:trHeight w:val="58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Shipping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w:t>
            </w:r>
          </w:p>
        </w:tc>
      </w:tr>
      <w:tr>
        <w:trPr>
          <w:trHeight w:val="58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Diesel fuelled railways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8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F-gases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w:t>
            </w:r>
          </w:p>
        </w:tc>
      </w:tr>
      <w:tr>
        <w:trPr>
          <w:trHeight w:val="58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Road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31.3</w:t>
            </w:r>
          </w:p>
        </w:tc>
      </w:tr>
      <w:tr>
        <w:trPr>
          <w:trHeight w:val="58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Other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0.2</w:t>
            </w:r>
          </w:p>
        </w:tc>
      </w:tr>
      <w:tr>
        <w:trPr>
          <w:trHeight w:val="58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Waste management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5.4</w:t>
            </w:r>
          </w:p>
        </w:tc>
      </w:tr>
      <w:tr>
        <w:trPr>
          <w:trHeight w:val="583"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Land use, land-use change, and forestry (t CO2e)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5.1: CSE all territorial emissions by category (Hampshire, 2019 ordered by emissions value)" title="" id="82" name="Picture"/>
            <a:graphic>
              <a:graphicData uri="http://schemas.openxmlformats.org/drawingml/2006/picture">
                <pic:pic>
                  <pic:nvPicPr>
                    <pic:cNvPr descr="/Users/ben/repos/git.soton/ba1e12/forks/SERG/HCC-engagement/hampshire-ghg-emissions/docs/Hampshire_County_GHG_Emissions_v2.0_files/figure-docx/hampshireCSEterrTotalByCat-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84" w:name="fig:hampshireCSEterrTotalByCat"/>
      <w:bookmarkEnd w:id="84"/>
      <w:r>
        <w:t xml:space="preserve">Figure 5.1: CSE all territorial emissions by category (Hampshire, 2019 ordered by emissions value)</w:t>
      </w:r>
    </w:p>
    <w:p>
      <w:pPr>
        <w:pStyle w:val="BodyText"/>
      </w:pPr>
      <w:r>
        <w:t xml:space="preserve">Figure</w:t>
      </w:r>
      <w:r>
        <w:t xml:space="preserve"> </w:t>
      </w:r>
      <w:r>
        <w:t xml:space="preserve">5.2</w:t>
      </w:r>
      <w:r>
        <w:t xml:space="preserve"> </w:t>
      </w:r>
      <w:r>
        <w:t xml:space="preserve">shows a cumulative emissions plot for the CSE territorial data ordered by the emissions source’s magnitude. The largest increments are therefore due to personal transport, domestic gas use and aviation. The plot shows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VerbatimChar"/>
        </w:rPr>
        <w:t xml:space="preserve">## Saving 5 x 4 in image</w:t>
      </w:r>
    </w:p>
    <w:p>
      <w:pPr>
        <w:pStyle w:val="CaptionedFigure"/>
      </w:pPr>
      <w:r>
        <w:drawing>
          <wp:inline>
            <wp:extent cx="5334000" cy="4267200"/>
            <wp:effectExtent b="0" l="0" r="0" t="0"/>
            <wp:docPr descr="Figure 5.2: Plot of cumulative emissions (BEIS, 2019)" title="" id="86" name="Picture"/>
            <a:graphic>
              <a:graphicData uri="http://schemas.openxmlformats.org/drawingml/2006/picture">
                <pic:pic>
                  <pic:nvPicPr>
                    <pic:cNvPr descr="/Users/ben/repos/git.soton/ba1e12/forks/SERG/HCC-engagement/hampshire-ghg-emissions/docs/Hampshire_County_GHG_Emissions_v2.0_files/figure-docx/cseTerrCumulative-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88" w:name="fig:cseTerrCumulative"/>
      <w:bookmarkEnd w:id="88"/>
      <w:r>
        <w:t xml:space="preserve">Figure 5.2: Plot of cumulative emissions (BEIS, 2019)</w:t>
      </w:r>
    </w:p>
    <w:p>
      <w:pPr>
        <w:pStyle w:val="BodyText"/>
      </w:pPr>
      <w:r>
        <w:t xml:space="preserve">Thus, if we focus on CSE territorial</w:t>
      </w:r>
      <w:r>
        <w:t xml:space="preserve"> </w:t>
      </w:r>
      <w:r>
        <w:rPr>
          <w:iCs/>
          <w:i/>
        </w:rPr>
        <w:t xml:space="preserve">all GHG</w:t>
      </w:r>
      <w:r>
        <w:t xml:space="preserve"> </w:t>
      </w:r>
      <w:r>
        <w:t xml:space="preserve">emissions, 75% of emissions are due to:</w:t>
      </w:r>
    </w:p>
    <w:p>
      <w:pPr>
        <w:numPr>
          <w:ilvl w:val="0"/>
          <w:numId w:val="1009"/>
        </w:numPr>
        <w:pStyle w:val="Compact"/>
      </w:pPr>
      <w:r>
        <w:t xml:space="preserve">Road transport: 4,055 T CO2e (33 % of total)</w:t>
      </w:r>
    </w:p>
    <w:p>
      <w:pPr>
        <w:numPr>
          <w:ilvl w:val="0"/>
          <w:numId w:val="1009"/>
        </w:numPr>
        <w:pStyle w:val="Compact"/>
      </w:pPr>
      <w:r>
        <w:t xml:space="preserve">Housing (domestic) gas: 1,657 T CO2e (14 % of total)</w:t>
      </w:r>
    </w:p>
    <w:p>
      <w:pPr>
        <w:numPr>
          <w:ilvl w:val="0"/>
          <w:numId w:val="1009"/>
        </w:numPr>
        <w:pStyle w:val="Compact"/>
      </w:pPr>
      <w:r>
        <w:t xml:space="preserve">Aviation: 1,203 T CO2e - flights and freight (10 % of total)</w:t>
      </w:r>
    </w:p>
    <w:p>
      <w:pPr>
        <w:numPr>
          <w:ilvl w:val="0"/>
          <w:numId w:val="1009"/>
        </w:numPr>
        <w:pStyle w:val="Compact"/>
      </w:pPr>
      <w:r>
        <w:t xml:space="preserve">Industrial &amp; commercial electricity: 1,110 T CO2e (9 % of total)</w:t>
      </w:r>
    </w:p>
    <w:p>
      <w:pPr>
        <w:numPr>
          <w:ilvl w:val="0"/>
          <w:numId w:val="1009"/>
        </w:numPr>
        <w:pStyle w:val="Compact"/>
      </w:pPr>
      <w:r>
        <w:t xml:space="preserve">Domestic electricity: 841 T CO2e (7 % of total)</w:t>
      </w:r>
    </w:p>
    <w:p>
      <w:pPr>
        <w:pStyle w:val="FirstParagraph"/>
      </w:pPr>
      <w:r>
        <w:t xml:space="preserve">These figures draw attention to the significant emissions due to aviation which are not included in the BEIS LA level data. They also draw attention to the level of</w:t>
      </w:r>
      <w:r>
        <w:t xml:space="preserve"> </w:t>
      </w:r>
      <w:r>
        <w:rPr>
          <w:iCs/>
          <w:i/>
        </w:rPr>
        <w:t xml:space="preserve">all GHG</w:t>
      </w:r>
      <w:r>
        <w:t xml:space="preserve"> </w:t>
      </w:r>
      <w:r>
        <w:t xml:space="preserve">emissions from waste management. Indeed, 102 % of the 29 % increase from the BEIS figure comprises emissions from:</w:t>
      </w:r>
    </w:p>
    <w:p>
      <w:pPr>
        <w:numPr>
          <w:ilvl w:val="0"/>
          <w:numId w:val="1010"/>
        </w:numPr>
        <w:pStyle w:val="Compact"/>
      </w:pPr>
      <w:r>
        <w:rPr>
          <w:iCs/>
          <w:i/>
        </w:rPr>
        <w:t xml:space="preserve">Aviation</w:t>
      </w:r>
      <w:r>
        <w:t xml:space="preserve"> </w:t>
      </w:r>
      <w:r>
        <w:t xml:space="preserve">(1,203 kT CO2e - i.e. flights &amp; freight - 10 % of total);</w:t>
      </w:r>
    </w:p>
    <w:p>
      <w:pPr>
        <w:numPr>
          <w:ilvl w:val="0"/>
          <w:numId w:val="1010"/>
        </w:numPr>
        <w:pStyle w:val="Compact"/>
      </w:pPr>
      <w:r>
        <w:rPr>
          <w:iCs/>
          <w:i/>
        </w:rPr>
        <w:t xml:space="preserve">Waste management</w:t>
      </w:r>
      <w:r>
        <w:t xml:space="preserve"> </w:t>
      </w:r>
      <w:r>
        <w:t xml:space="preserve">(704 kT CO2e - 6 % of total);</w:t>
      </w:r>
    </w:p>
    <w:p>
      <w:pPr>
        <w:numPr>
          <w:ilvl w:val="0"/>
          <w:numId w:val="1010"/>
        </w:numPr>
        <w:pStyle w:val="Compact"/>
      </w:pPr>
      <w:r>
        <w:rPr>
          <w:iCs/>
          <w:i/>
        </w:rPr>
        <w:t xml:space="preserve">Shipping</w:t>
      </w:r>
      <w:r>
        <w:t xml:space="preserve"> </w:t>
      </w:r>
      <w:r>
        <w:t xml:space="preserve">(479 kT CO2e - 4 % of total) and</w:t>
      </w:r>
    </w:p>
    <w:p>
      <w:pPr>
        <w:numPr>
          <w:ilvl w:val="0"/>
          <w:numId w:val="1010"/>
        </w:numPr>
        <w:pStyle w:val="Compact"/>
      </w:pPr>
      <w:r>
        <w:rPr>
          <w:iCs/>
          <w:i/>
        </w:rPr>
        <w:t xml:space="preserve">F-Gases</w:t>
      </w:r>
      <w:r>
        <w:t xml:space="preserve"> </w:t>
      </w:r>
      <w:r>
        <w:t xml:space="preserve">(374 kT CO2e - 3 % of total)</w:t>
      </w:r>
    </w:p>
    <w:p>
      <w:pPr>
        <w:pStyle w:val="FirstParagraph"/>
      </w:pPr>
      <w:r>
        <w:t xml:space="preserve">Note that under the CSE approach,</w:t>
      </w:r>
      <w:r>
        <w:t xml:space="preserve"> </w:t>
      </w:r>
      <w:r>
        <w:rPr>
          <w:rStyle w:val="VerbatimChar"/>
        </w:rPr>
        <w:t xml:space="preserve">Agriculture - Livestock and crop-related emissions</w:t>
      </w:r>
      <w:r>
        <w:t xml:space="preserve"> </w:t>
      </w:r>
      <w:r>
        <w:t xml:space="preserve">amount to 350 T CO2e compared to the BEIS value for</w:t>
      </w:r>
      <w:r>
        <w:t xml:space="preserve"> </w:t>
      </w:r>
      <w:r>
        <w:rPr>
          <w:rStyle w:val="VerbatimChar"/>
        </w:rPr>
        <w:t xml:space="preserve">Cropland</w:t>
      </w:r>
      <w:r>
        <w:t xml:space="preserve"> </w:t>
      </w:r>
      <w:r>
        <w:t xml:space="preserve">at 109 T CO2e which gives some indication of the additional emissions due to methane (noting that fuel used for agriculture is already in a separate category under the CSE approach - see</w:t>
      </w:r>
      <w:r>
        <w:t xml:space="preserve"> </w:t>
      </w:r>
      <w:hyperlink r:id="rId89">
        <w:r>
          <w:rPr>
            <w:rStyle w:val="Hyperlink"/>
          </w:rPr>
          <w:t xml:space="preserve">methodology, p15</w:t>
        </w:r>
      </w:hyperlink>
      <w:r>
        <w:t xml:space="preserve">).</w:t>
      </w:r>
    </w:p>
    <w:bookmarkEnd w:id="90"/>
    <w:bookmarkEnd w:id="91"/>
    <w:bookmarkStart w:id="103" w:name="X7d815c1eeee7730e87ef220286b10736b0fa345"/>
    <w:p>
      <w:pPr>
        <w:pStyle w:val="Heading1"/>
      </w:pPr>
      <w:r>
        <w:rPr>
          <w:rStyle w:val="SectionNumber"/>
        </w:rPr>
        <w:t xml:space="preserve">6</w:t>
      </w:r>
      <w:r>
        <w:tab/>
      </w:r>
      <w:r>
        <w:t xml:space="preserve">CSE: Consumption-based all GHG emissions (2018/19 data)</w:t>
      </w:r>
    </w:p>
    <w:p>
      <w:pPr>
        <w:pStyle w:val="FirstParagraph"/>
      </w:pPr>
      <w:r>
        <w:t xml:space="preserve">These are calculated under the consumption emissions method and include</w:t>
      </w:r>
      <w:r>
        <w:t xml:space="preserve"> </w:t>
      </w:r>
      <w:r>
        <w:rPr>
          <w:iCs/>
          <w:i/>
        </w:rPr>
        <w:t xml:space="preserve">all</w:t>
      </w:r>
      <w:r>
        <w:t xml:space="preserve"> </w:t>
      </w:r>
      <w:r>
        <w:t xml:space="preserve">greenhouse gas emissions. They are also therefore presented in kT CO2e.</w:t>
      </w:r>
    </w:p>
    <w:p>
      <w:pPr>
        <w:pStyle w:val="BodyText"/>
      </w:pPr>
      <w:r>
        <w:t xml:space="preserve">The following code loads the data and reports basic checks. A full data description can be found in Section</w:t>
      </w:r>
      <w:r>
        <w:t xml:space="preserve"> </w:t>
      </w:r>
      <w:r>
        <w:t xml:space="preserve">10.3</w:t>
      </w:r>
      <w:r>
        <w:t xml:space="preserve">.</w:t>
      </w:r>
    </w:p>
    <w:p>
      <w:pPr>
        <w:pStyle w:val="SourceCode"/>
      </w:pPr>
      <w:r>
        <w:rPr>
          <w:rStyle w:val="VerbatimChar"/>
        </w:rPr>
        <w:t xml:space="preserve">## Number of emissions categories: 15</w:t>
      </w:r>
    </w:p>
    <w:p>
      <w:pPr>
        <w:pStyle w:val="SourceCode"/>
      </w:pPr>
      <w:r>
        <w:rPr>
          <w:rStyle w:val="VerbatimChar"/>
        </w:rPr>
        <w:t xml:space="preserve">## Number of districts: 14</w:t>
      </w:r>
    </w:p>
    <w:p>
      <w:pPr>
        <w:pStyle w:val="SourceCode"/>
      </w:pPr>
      <w:r>
        <w:rPr>
          <w:rStyle w:val="VerbatimChar"/>
        </w:rPr>
        <w:t xml:space="preserve">## Total emissions check: 13633 kT CO2e</w:t>
      </w:r>
    </w:p>
    <w:bookmarkStart w:id="102" w:name="baseline-2"/>
    <w:p>
      <w:pPr>
        <w:pStyle w:val="Heading2"/>
      </w:pPr>
      <w:r>
        <w:rPr>
          <w:rStyle w:val="SectionNumber"/>
        </w:rPr>
        <w:t xml:space="preserve">6.1</w:t>
      </w:r>
      <w:r>
        <w:tab/>
      </w:r>
      <w:r>
        <w:t xml:space="preserve">2019 baseline</w:t>
      </w:r>
    </w:p>
    <w:p>
      <w:pPr>
        <w:pStyle w:val="FirstParagraph"/>
      </w:pPr>
      <w:r>
        <w:t xml:space="preserve">Table</w:t>
      </w:r>
      <w:r>
        <w:t xml:space="preserve"> </w:t>
      </w:r>
      <w:r>
        <w:t xml:space="preserve">6.1</w:t>
      </w:r>
      <w:r>
        <w:t xml:space="preserve"> </w:t>
      </w:r>
      <w:r>
        <w:t xml:space="preserve">shows the total emissions for 2019.</w:t>
      </w:r>
    </w:p>
    <w:p>
      <w:pPr>
        <w:pStyle w:val="TableCaption"/>
      </w:pPr>
      <w:bookmarkStart w:id="92" w:name="tab:hampshireCSEConsTotal"/>
      <w:bookmarkEnd w:id="92"/>
      <w:r>
        <w:t xml:space="preserve">Table 6.1:</w:t>
      </w:r>
      <w:r>
        <w:t xml:space="preserve"> </w:t>
      </w:r>
      <w:r>
        <w:t xml:space="preserve">CSE consumption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trHeight w:val="56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r>
      <w:tr>
        <w:trPr>
          <w:trHeight w:val="56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13,633.3</w:t>
            </w:r>
          </w:p>
        </w:tc>
      </w:tr>
    </w:tbl>
    <w:p>
      <w:pPr>
        <w:pStyle w:val="BodyText"/>
      </w:pPr>
      <w:r>
        <w:t xml:space="preserve">Table</w:t>
      </w:r>
      <w:r>
        <w:t xml:space="preserve"> </w:t>
      </w:r>
      <w:r>
        <w:t xml:space="preserve">6.2</w:t>
      </w:r>
      <w:r>
        <w:t xml:space="preserve"> </w:t>
      </w:r>
      <w:r>
        <w:t xml:space="preserve">shows the total emissions for 2019 by category. Figure</w:t>
      </w:r>
      <w:r>
        <w:t xml:space="preserve"> </w:t>
      </w:r>
      <w:r>
        <w:t xml:space="preserve">6.1</w:t>
      </w:r>
      <w:r>
        <w:t xml:space="preserve"> </w:t>
      </w:r>
      <w:r>
        <w:t xml:space="preserve">shows the data as a bar plot. Note that most of the categories do not exactly match those used in the BEIS/CSE territorial-based data but again, the colour palettes have been kept as similar as possible.</w:t>
      </w:r>
    </w:p>
    <w:p>
      <w:pPr>
        <w:pStyle w:val="BodyText"/>
      </w:pPr>
      <w:r>
        <w:t xml:space="preserve">The largest emissions sources under this method are clearly visible (purchased goods, services and food/diet and gas-use).</w:t>
      </w:r>
    </w:p>
    <w:p>
      <w:pPr>
        <w:pStyle w:val="BlockText"/>
      </w:pPr>
      <w:r>
        <w:t xml:space="preserve">Ignore the (t CO2e) in the label - the plot shows kT for easy comparison (labels to be fixed).</w:t>
      </w:r>
    </w:p>
    <w:p>
      <w:pPr>
        <w:pStyle w:val="TableCaption"/>
      </w:pPr>
      <w:bookmarkStart w:id="93" w:name="tab:hampshireCSEconsTotalByCat"/>
      <w:bookmarkEnd w:id="93"/>
      <w:r>
        <w:t xml:space="preserve">Table 6.2:</w:t>
      </w:r>
      <w:r>
        <w:t xml:space="preserve"> </w:t>
      </w:r>
      <w:r>
        <w:t xml:space="preserve">CSE all consumption emissions ordered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144"/>
        <w:gridCol w:w="1711"/>
        <w:gridCol w:w="1355"/>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of gross</w:t>
            </w:r>
          </w:p>
        </w:tc>
      </w:tr>
      <w:tr>
        <w:trPr>
          <w:trHeight w:val="58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and services - Purchase of goods (t CO2e)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2,623.4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19.2</w:t>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and services - Use of services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8.8</w:t>
            </w:r>
          </w:p>
        </w:tc>
      </w:tr>
      <w:tr>
        <w:trPr>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and services - Other consumption 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7.6</w:t>
            </w:r>
          </w:p>
        </w:tc>
      </w:tr>
      <w:tr>
        <w:trPr>
          <w:trHeight w:val="58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Food and diet - Meat and fish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12.6</w:t>
            </w:r>
          </w:p>
        </w:tc>
      </w:tr>
      <w:tr>
        <w:trPr>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Food and diet - Other food and drink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10.4</w:t>
            </w:r>
          </w:p>
        </w:tc>
      </w:tr>
      <w:tr>
        <w:trPr>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12.2</w:t>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w:t>
            </w:r>
          </w:p>
        </w:tc>
      </w:tr>
      <w:tr>
        <w:trPr>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w:t>
            </w:r>
          </w:p>
        </w:tc>
      </w:tr>
      <w:tr>
        <w:trPr>
          <w:trHeight w:val="58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Travel - Flights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w:t>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Travel - Public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w:t>
            </w:r>
          </w:p>
        </w:tc>
      </w:tr>
      <w:tr>
        <w:trPr>
          <w:trHeight w:val="58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Travel - Private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10.1</w:t>
            </w:r>
          </w:p>
        </w:tc>
      </w:tr>
      <w:tr>
        <w:trPr>
          <w:trHeight w:val="58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Waste - Waste (t CO2e)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0.4</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6.1: CSE all territorial emissions ordered by category value (Hampshire, 2019 ordered by emissions value)" title="" id="95" name="Picture"/>
            <a:graphic>
              <a:graphicData uri="http://schemas.openxmlformats.org/drawingml/2006/picture">
                <pic:pic>
                  <pic:nvPicPr>
                    <pic:cNvPr descr="/Users/ben/repos/git.soton/ba1e12/forks/SERG/HCC-engagement/hampshire-ghg-emissions/docs/Hampshire_County_GHG_Emissions_v2.0_files/figure-docx/hampshireCSEconsTotalByCat-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97" w:name="fig:hampshireCSEconsTotalByCat"/>
      <w:bookmarkEnd w:id="97"/>
      <w:r>
        <w:t xml:space="preserve">Figure 6.1: CSE all territorial emissions ordered by category value (Hampshire, 2019 ordered by emissions value)</w:t>
      </w:r>
    </w:p>
    <w:p>
      <w:pPr>
        <w:pStyle w:val="BodyText"/>
      </w:pPr>
      <w:r>
        <w:t xml:space="preserve">Figure</w:t>
      </w:r>
      <w:r>
        <w:t xml:space="preserve"> </w:t>
      </w:r>
      <w:r>
        <w:t xml:space="preserve">6.2</w:t>
      </w:r>
      <w:r>
        <w:t xml:space="preserve"> </w:t>
      </w:r>
      <w:r>
        <w:t xml:space="preserve">shows a cumulative emissions plot for the CSE territorial data ordered by the emissions source’s magnitude. The largest increments are therefore due to consumption of goods and services, food and diet (meat &amp; fish) and mains gas use. The plot shows the sources which comprise 50%, 75% and 90% of the total emissions.</w:t>
      </w:r>
    </w:p>
    <w:p>
      <w:pPr>
        <w:pStyle w:val="SourceCode"/>
      </w:pPr>
      <w:r>
        <w:rPr>
          <w:rStyle w:val="VerbatimChar"/>
        </w:rPr>
        <w:t xml:space="preserve">## Saving 5 x 4 in image</w:t>
      </w:r>
    </w:p>
    <w:p>
      <w:pPr>
        <w:pStyle w:val="CaptionedFigure"/>
      </w:pPr>
      <w:r>
        <w:drawing>
          <wp:inline>
            <wp:extent cx="5334000" cy="4267200"/>
            <wp:effectExtent b="0" l="0" r="0" t="0"/>
            <wp:docPr descr="Figure 6.2: Plot of cumulative emissions (BEIS, 2019)" title="" id="99" name="Picture"/>
            <a:graphic>
              <a:graphicData uri="http://schemas.openxmlformats.org/drawingml/2006/picture">
                <pic:pic>
                  <pic:nvPicPr>
                    <pic:cNvPr descr="/Users/ben/repos/git.soton/ba1e12/forks/SERG/HCC-engagement/hampshire-ghg-emissions/docs/Hampshire_County_GHG_Emissions_v2.0_files/figure-docx/cseConsCumulative-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101" w:name="fig:cseConsCumulative"/>
      <w:bookmarkEnd w:id="101"/>
      <w:r>
        <w:t xml:space="preserve">Figure 6.2: Plot of cumulative emissions (BEIS, 2019)</w:t>
      </w:r>
    </w:p>
    <w:p>
      <w:pPr>
        <w:pStyle w:val="BodyText"/>
      </w:pPr>
      <w:r>
        <w:t xml:space="preserve">Thus, if we focus on CSE consumption-based emissions which include emissions</w:t>
      </w:r>
      <w:r>
        <w:t xml:space="preserve"> </w:t>
      </w:r>
      <w:r>
        <w:t xml:space="preserve">‘</w:t>
      </w:r>
      <w:r>
        <w:t xml:space="preserve">outsourced</w:t>
      </w:r>
      <w:r>
        <w:t xml:space="preserve">’</w:t>
      </w:r>
      <w:r>
        <w:t xml:space="preserve"> </w:t>
      </w:r>
      <w:r>
        <w:t xml:space="preserve">to other geographical areas (including overseas), 75% of emissions sources are due to:</w:t>
      </w:r>
    </w:p>
    <w:p>
      <w:pPr>
        <w:numPr>
          <w:ilvl w:val="0"/>
          <w:numId w:val="1011"/>
        </w:numPr>
        <w:pStyle w:val="Compact"/>
      </w:pPr>
      <w:r>
        <w:t xml:space="preserve">Purchased goods: 2,623 kT CO2e ( 19 %)</w:t>
      </w:r>
    </w:p>
    <w:p>
      <w:pPr>
        <w:numPr>
          <w:ilvl w:val="0"/>
          <w:numId w:val="1011"/>
        </w:numPr>
        <w:pStyle w:val="Compact"/>
      </w:pPr>
      <w:r>
        <w:t xml:space="preserve">Food and diet - meat &amp; fish: 1,722 kT CO2e ( 13 %)</w:t>
      </w:r>
    </w:p>
    <w:p>
      <w:pPr>
        <w:numPr>
          <w:ilvl w:val="0"/>
          <w:numId w:val="1011"/>
        </w:numPr>
        <w:pStyle w:val="Compact"/>
      </w:pPr>
      <w:r>
        <w:t xml:space="preserve">Domestic gas: 1,657 kT CO2e as before ( 12 %)</w:t>
      </w:r>
    </w:p>
    <w:p>
      <w:pPr>
        <w:numPr>
          <w:ilvl w:val="0"/>
          <w:numId w:val="1011"/>
        </w:numPr>
        <w:pStyle w:val="Compact"/>
      </w:pPr>
      <w:r>
        <w:t xml:space="preserve">Food and diet - other: 1,414 kT CO2e ( 10 %)</w:t>
      </w:r>
    </w:p>
    <w:p>
      <w:pPr>
        <w:numPr>
          <w:ilvl w:val="0"/>
          <w:numId w:val="1011"/>
        </w:numPr>
        <w:pStyle w:val="Compact"/>
      </w:pPr>
      <w:r>
        <w:t xml:space="preserve">Private transport:1,378 kT CO2e ( 10 %)</w:t>
      </w:r>
    </w:p>
    <w:p>
      <w:pPr>
        <w:numPr>
          <w:ilvl w:val="0"/>
          <w:numId w:val="1011"/>
        </w:numPr>
        <w:pStyle w:val="Compact"/>
      </w:pPr>
      <w:r>
        <w:t xml:space="preserve">Use of services: 1,195 kT CO2e ( 9 %)</w:t>
      </w:r>
    </w:p>
    <w:p>
      <w:pPr>
        <w:pStyle w:val="FirstParagraph"/>
      </w:pPr>
      <w:r>
        <w:t xml:space="preserve">Emissions due to Flights (970 kT CO2e) are lower than the territorial based</w:t>
      </w:r>
      <w:r>
        <w:t xml:space="preserve"> </w:t>
      </w:r>
      <w:r>
        <w:rPr>
          <w:rStyle w:val="VerbatimChar"/>
        </w:rPr>
        <w:t xml:space="preserve">Aviation</w:t>
      </w:r>
      <w:r>
        <w:t xml:space="preserve"> </w:t>
      </w:r>
      <w:r>
        <w:t xml:space="preserve">emissions values since emissions due to freight are included under</w:t>
      </w:r>
      <w:r>
        <w:t xml:space="preserve"> </w:t>
      </w:r>
      <w:r>
        <w:t xml:space="preserve">‘</w:t>
      </w:r>
      <w:r>
        <w:t xml:space="preserve">Goods and services</w:t>
      </w:r>
      <w:r>
        <w:t xml:space="preserve">’</w:t>
      </w:r>
      <w:r>
        <w:t xml:space="preserve">.</w:t>
      </w:r>
    </w:p>
    <w:p>
      <w:pPr>
        <w:pStyle w:val="BodyText"/>
      </w:pPr>
      <w:r>
        <w:t xml:space="preserve">This approach to emissions accounting shows the extent to which the consumption of goods and services, diet and food as well as transport and domestic gas use dominate Hampshire’s</w:t>
      </w:r>
      <w:r>
        <w:t xml:space="preserve"> </w:t>
      </w:r>
      <w:r>
        <w:t xml:space="preserve">‘</w:t>
      </w:r>
      <w:r>
        <w:t xml:space="preserve">consumption</w:t>
      </w:r>
      <w:r>
        <w:t xml:space="preserve">’</w:t>
      </w:r>
      <w:r>
        <w:t xml:space="preserve"> </w:t>
      </w:r>
      <w:r>
        <w:t xml:space="preserve">emissions footprint.</w:t>
      </w:r>
    </w:p>
    <w:bookmarkEnd w:id="102"/>
    <w:bookmarkEnd w:id="103"/>
    <w:bookmarkStart w:id="109" w:name="district-level-total-emissions-by-method"/>
    <w:p>
      <w:pPr>
        <w:pStyle w:val="Heading1"/>
      </w:pPr>
      <w:r>
        <w:rPr>
          <w:rStyle w:val="SectionNumber"/>
        </w:rPr>
        <w:t xml:space="preserve">7</w:t>
      </w:r>
      <w:r>
        <w:tab/>
      </w:r>
      <w:r>
        <w:t xml:space="preserve">District level total emissions by method</w:t>
      </w:r>
    </w:p>
    <w:p>
      <w:pPr>
        <w:pStyle w:val="FirstParagraph"/>
      </w:pPr>
      <w:r>
        <w:t xml:space="preserve">Table</w:t>
      </w:r>
      <w:r>
        <w:t xml:space="preserve"> </w:t>
      </w:r>
      <w:r>
        <w:t xml:space="preserve">7.1</w:t>
      </w:r>
      <w:r>
        <w:t xml:space="preserve"> </w:t>
      </w:r>
      <w:r>
        <w:t xml:space="preserve">and Figure</w:t>
      </w:r>
      <w:r>
        <w:t xml:space="preserve"> </w:t>
      </w:r>
      <w:r>
        <w:t xml:space="preserve">7.1</w:t>
      </w:r>
      <w:r>
        <w:t xml:space="preserve"> </w:t>
      </w:r>
      <w:r>
        <w:t xml:space="preserve">show the total emissions under each method and source per district. As expected, in all cases CSE territorial emissions are higher than BEIS territorial emissions. Similarly, in most cases CSE consumption emissions are higher than territorial emissions except for Winchester, Test Valley, Basingstoke and Deane and New Forest. More detailed analysis of the underlying data would be required to understand the reasons for this.</w:t>
      </w:r>
    </w:p>
    <w:p>
      <w:pPr>
        <w:pStyle w:val="TableCaption"/>
      </w:pPr>
      <w:bookmarkStart w:id="104" w:name="tab:districtTotals"/>
      <w:bookmarkEnd w:id="104"/>
      <w:r>
        <w:t xml:space="preserve">Table 7.1:</w:t>
      </w:r>
      <w:r>
        <w:t xml:space="preserve"> </w:t>
      </w:r>
      <w:r>
        <w:t xml:space="preserve">Totals per district by method and source (kT)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2"/>
        <w:gridCol w:w="4012"/>
        <w:gridCol w:w="3522"/>
        <w:gridCol w:w="3879"/>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District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BEIS territorial emissions (kt CO2, 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territorial emissions (kt CO2e)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consumption emissions (kt CO2e)</w:t>
            </w:r>
          </w:p>
        </w:tc>
      </w:tr>
      <w:tr>
        <w:trPr>
          <w:trHeight w:val="58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Basingstoke and Deane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1,115.4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1,309.4</w:t>
            </w:r>
          </w:p>
        </w:tc>
      </w:tr>
      <w:tr>
        <w:trPr>
          <w:trHeight w:val="5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East Hampshire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994.4</w:t>
            </w:r>
          </w:p>
        </w:tc>
      </w:tr>
      <w:tr>
        <w:trPr>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Eastleigh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902.3</w:t>
            </w:r>
          </w:p>
        </w:tc>
      </w:tr>
      <w:tr>
        <w:trPr>
          <w:trHeight w:val="54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Fareham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799.9</w:t>
            </w:r>
          </w:p>
        </w:tc>
      </w:tr>
      <w:tr>
        <w:trPr>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Gosport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497.1</w:t>
            </w:r>
          </w:p>
        </w:tc>
      </w:tr>
      <w:tr>
        <w:trPr>
          <w:trHeight w:val="54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782.8</w:t>
            </w:r>
          </w:p>
        </w:tc>
      </w:tr>
      <w:tr>
        <w:trPr>
          <w:trHeight w:val="54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Havant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786.0</w:t>
            </w:r>
          </w:p>
        </w:tc>
      </w:tr>
      <w:tr>
        <w:trPr>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Isle of Wight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999.8</w:t>
            </w:r>
          </w:p>
        </w:tc>
      </w:tr>
      <w:tr>
        <w:trPr>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New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1,352.9</w:t>
            </w:r>
          </w:p>
        </w:tc>
      </w:tr>
      <w:tr>
        <w:trPr>
          <w:trHeight w:val="56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Portsmouth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1,192.4</w:t>
            </w:r>
          </w:p>
        </w:tc>
      </w:tr>
      <w:tr>
        <w:trPr>
          <w:trHeight w:val="54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Rushmoor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624.9</w:t>
            </w:r>
          </w:p>
        </w:tc>
      </w:tr>
      <w:tr>
        <w:trPr>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Southampton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1,386.2</w:t>
            </w:r>
          </w:p>
        </w:tc>
      </w:tr>
      <w:tr>
        <w:trPr>
          <w:trHeight w:val="5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Test Valley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986.4</w:t>
            </w:r>
          </w:p>
        </w:tc>
      </w:tr>
      <w:tr>
        <w:trPr>
          <w:trHeight w:val="564"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Winchester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1,083.8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1,018.7</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7.1: Total emissions per district by method" title="" id="106" name="Picture"/>
            <a:graphic>
              <a:graphicData uri="http://schemas.openxmlformats.org/drawingml/2006/picture">
                <pic:pic>
                  <pic:nvPicPr>
                    <pic:cNvPr descr="/Users/ben/repos/git.soton/ba1e12/forks/SERG/HCC-engagement/hampshire-ghg-emissions/docs/Hampshire_County_GHG_Emissions_v2.0_files/figure-docx/districtTotals-1.png" id="107"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108" w:name="fig:districtTotals"/>
      <w:bookmarkEnd w:id="108"/>
      <w:r>
        <w:t xml:space="preserve">Figure 7.1: Total emissions per district by method</w:t>
      </w:r>
    </w:p>
    <w:bookmarkEnd w:id="109"/>
    <w:bookmarkStart w:id="111" w:name="discussion"/>
    <w:p>
      <w:pPr>
        <w:pStyle w:val="Heading1"/>
      </w:pPr>
      <w:r>
        <w:rPr>
          <w:rStyle w:val="SectionNumber"/>
        </w:rPr>
        <w:t xml:space="preserve">8</w:t>
      </w:r>
      <w:r>
        <w:tab/>
      </w:r>
      <w:r>
        <w:t xml:space="preserve">Discussion</w:t>
      </w:r>
    </w:p>
    <w:p>
      <w:pPr>
        <w:pStyle w:val="FirstParagraph"/>
      </w:pPr>
      <w:r>
        <w:t xml:space="preserve">Overall, the total GHG emissions for Hampshire in 2018/19 under different methodologies were found to be:</w:t>
      </w:r>
    </w:p>
    <w:p>
      <w:pPr>
        <w:numPr>
          <w:ilvl w:val="0"/>
          <w:numId w:val="1012"/>
        </w:numPr>
        <w:pStyle w:val="Compact"/>
      </w:pPr>
      <w:r>
        <w:t xml:space="preserve">Carbon Trust analysis (11 districts</w:t>
      </w:r>
      <w:r>
        <w:t xml:space="preserve"> </w:t>
      </w:r>
      <w:r>
        <w:rPr>
          <w:iCs/>
          <w:i/>
        </w:rPr>
        <w:t xml:space="preserve">excluding</w:t>
      </w:r>
      <w:r>
        <w:t xml:space="preserve"> </w:t>
      </w:r>
      <w:r>
        <w:t xml:space="preserve">Portsmouth, Southampton and the Isle of Wight):</w:t>
      </w:r>
      <w:r>
        <w:t xml:space="preserve"> </w:t>
      </w:r>
      <w:r>
        <w:rPr>
          <w:bCs/>
          <w:b/>
        </w:rPr>
        <w:t xml:space="preserve">8,446</w:t>
      </w:r>
      <w:r>
        <w:t xml:space="preserve"> </w:t>
      </w:r>
      <w:r>
        <w:t xml:space="preserve">kT CO2</w:t>
      </w:r>
    </w:p>
    <w:p>
      <w:pPr>
        <w:numPr>
          <w:ilvl w:val="0"/>
          <w:numId w:val="1012"/>
        </w:numPr>
        <w:pStyle w:val="Compact"/>
      </w:pPr>
      <w:r>
        <w:t xml:space="preserve">BEIS territorial CO2e:</w:t>
      </w:r>
    </w:p>
    <w:p>
      <w:pPr>
        <w:numPr>
          <w:ilvl w:val="1"/>
          <w:numId w:val="1013"/>
        </w:numPr>
        <w:pStyle w:val="Compact"/>
      </w:pPr>
      <w:r>
        <w:rPr>
          <w:bCs/>
          <w:b/>
        </w:rPr>
        <w:t xml:space="preserve">7,197</w:t>
      </w:r>
      <w:r>
        <w:t xml:space="preserve"> </w:t>
      </w:r>
      <w:r>
        <w:t xml:space="preserve">kT CO2e (11 districts</w:t>
      </w:r>
      <w:r>
        <w:t xml:space="preserve"> </w:t>
      </w:r>
      <w:r>
        <w:rPr>
          <w:iCs/>
          <w:i/>
        </w:rPr>
        <w:t xml:space="preserve">excluding</w:t>
      </w:r>
      <w:r>
        <w:t xml:space="preserve"> </w:t>
      </w:r>
      <w:r>
        <w:t xml:space="preserve">Portsmouth, Southampton and the Isle of Wight),</w:t>
      </w:r>
    </w:p>
    <w:p>
      <w:pPr>
        <w:numPr>
          <w:ilvl w:val="1"/>
          <w:numId w:val="1013"/>
        </w:numPr>
        <w:pStyle w:val="Compact"/>
      </w:pPr>
      <w:r>
        <w:rPr>
          <w:bCs/>
          <w:b/>
        </w:rPr>
        <w:t xml:space="preserve">9,409</w:t>
      </w:r>
      <w:r>
        <w:t xml:space="preserve"> </w:t>
      </w:r>
      <w:r>
        <w:t xml:space="preserve">kT CO2e (14 districts</w:t>
      </w:r>
      <w:r>
        <w:t xml:space="preserve"> </w:t>
      </w:r>
      <w:r>
        <w:rPr>
          <w:iCs/>
          <w:i/>
        </w:rPr>
        <w:t xml:space="preserve">including</w:t>
      </w:r>
      <w:r>
        <w:t xml:space="preserve"> </w:t>
      </w:r>
      <w:r>
        <w:t xml:space="preserve">Portsmouth, Southampton and the Isle of Wight)</w:t>
      </w:r>
    </w:p>
    <w:p>
      <w:pPr>
        <w:numPr>
          <w:ilvl w:val="0"/>
          <w:numId w:val="1012"/>
        </w:numPr>
        <w:pStyle w:val="Compact"/>
      </w:pPr>
      <w:r>
        <w:t xml:space="preserve">CSE territorial emissions (all GHG, all 14 districts):</w:t>
      </w:r>
      <w:r>
        <w:t xml:space="preserve"> </w:t>
      </w:r>
      <w:r>
        <w:rPr>
          <w:bCs/>
          <w:b/>
        </w:rPr>
        <w:t xml:space="preserve">12,110</w:t>
      </w:r>
      <w:r>
        <w:t xml:space="preserve"> </w:t>
      </w:r>
      <w:r>
        <w:t xml:space="preserve">kT CO2e - 29 % higher than the BEIS total</w:t>
      </w:r>
    </w:p>
    <w:p>
      <w:pPr>
        <w:numPr>
          <w:ilvl w:val="0"/>
          <w:numId w:val="1012"/>
        </w:numPr>
        <w:pStyle w:val="Compact"/>
      </w:pPr>
      <w:r>
        <w:t xml:space="preserve">CSE consumption emissions (all GHG, all 14 districts):</w:t>
      </w:r>
      <w:r>
        <w:t xml:space="preserve"> </w:t>
      </w:r>
      <w:r>
        <w:rPr>
          <w:bCs/>
          <w:b/>
        </w:rPr>
        <w:t xml:space="preserve">13,633</w:t>
      </w:r>
      <w:r>
        <w:t xml:space="preserve"> </w:t>
      </w:r>
      <w:r>
        <w:t xml:space="preserve">kT CO2e</w:t>
      </w:r>
    </w:p>
    <w:p>
      <w:pPr>
        <w:pStyle w:val="FirstParagraph"/>
      </w:pPr>
      <w:r>
        <w:t xml:space="preserve">Given that the Carbon Trust area</w:t>
      </w:r>
      <w:r>
        <w:t xml:space="preserve"> </w:t>
      </w:r>
      <w:r>
        <w:rPr>
          <w:iCs/>
          <w:i/>
        </w:rPr>
        <w:t xml:space="preserve">excludes</w:t>
      </w:r>
      <w:r>
        <w:t xml:space="preserve"> </w:t>
      </w:r>
      <w:r>
        <w:t xml:space="preserve">Portsmouth, Southampton and the Isle of Wight it is unclear why this total is similar to the</w:t>
      </w:r>
      <w:r>
        <w:t xml:space="preserve"> </w:t>
      </w:r>
      <w:r>
        <w:t xml:space="preserve">‘</w:t>
      </w:r>
      <w:r>
        <w:t xml:space="preserve">14 local authorities</w:t>
      </w:r>
      <w:r>
        <w:t xml:space="preserve">’</w:t>
      </w:r>
      <w:r>
        <w:t xml:space="preserve"> </w:t>
      </w:r>
      <w:r>
        <w:t xml:space="preserve">BEIS data.</w:t>
      </w:r>
    </w:p>
    <w:p>
      <w:pPr>
        <w:pStyle w:val="BodyText"/>
      </w:pPr>
      <w:r>
        <w:t xml:space="preserve">Which of these accounting methods we choose to focus on depends what we want to show and what we want to achieve. The same is true of the emissions subcategories. The BEIS data gives a partial view on territorial emissions as it excludes all non-CO2 emissions and also excludes aviation (flights &amp; freight) and shipping. The CSE territorial emissions data includes these</w:t>
      </w:r>
      <w:r>
        <w:t xml:space="preserve"> </w:t>
      </w:r>
      <w:r>
        <w:t xml:space="preserve">‘</w:t>
      </w:r>
      <w:r>
        <w:t xml:space="preserve">missing</w:t>
      </w:r>
      <w:r>
        <w:t xml:space="preserve">’</w:t>
      </w:r>
      <w:r>
        <w:t xml:space="preserve"> </w:t>
      </w:r>
      <w:r>
        <w:t xml:space="preserve">emissions and so gives a much larger total. The CSE consumption emissions are (generally) larger still because they include emissions</w:t>
      </w:r>
      <w:r>
        <w:t xml:space="preserve"> </w:t>
      </w:r>
      <w:r>
        <w:t xml:space="preserve">‘</w:t>
      </w:r>
      <w:r>
        <w:t xml:space="preserve">off-shored</w:t>
      </w:r>
      <w:r>
        <w:t xml:space="preserve">’</w:t>
      </w:r>
      <w:r>
        <w:t xml:space="preserve"> </w:t>
      </w:r>
      <w:r>
        <w:t xml:space="preserve">by our consumption of goods and services produced outside the Hampshire area.</w:t>
      </w:r>
    </w:p>
    <w:p>
      <w:pPr>
        <w:pStyle w:val="BodyText"/>
      </w:pPr>
      <w:r>
        <w:t xml:space="preserve">Table</w:t>
      </w:r>
      <w:r>
        <w:t xml:space="preserve"> </w:t>
      </w:r>
      <w:r>
        <w:t xml:space="preserve">8.1</w:t>
      </w:r>
      <w:r>
        <w:t xml:space="preserve"> </w:t>
      </w:r>
      <w:r>
        <w:t xml:space="preserve">compares the Carbon Trust, BEIS and CSE data for 2018/19 to the extent that it is possible to do so from the data reported here.</w:t>
      </w:r>
    </w:p>
    <w:p>
      <w:pPr>
        <w:pStyle w:val="TableCaption"/>
      </w:pPr>
      <w:bookmarkStart w:id="110" w:name="tab:tableCompareTerr"/>
      <w:bookmarkEnd w:id="110"/>
      <w:r>
        <w:t xml:space="preserve">Table 8.1:</w:t>
      </w:r>
      <w:r>
        <w:t xml:space="preserve"> </w:t>
      </w:r>
      <w:r>
        <w:t xml:space="preserve">Comparing 2018/19 emissions baselines (values = kT CO2e or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92"/>
        <w:gridCol w:w="1522"/>
        <w:gridCol w:w="1811"/>
        <w:gridCol w:w="1011"/>
        <w:gridCol w:w="1100"/>
        <w:gridCol w:w="1722"/>
        <w:gridCol w:w="1955"/>
        <w:gridCol w:w="2056"/>
        <w:gridCol w:w="2289"/>
      </w:tblGrid>
      <w:tr>
        <w:trPr>
          <w:trHeight w:val="6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CarbonTrust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Carbon Trust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BEIS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Territorial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Territorial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Consumption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Consumption %</w:t>
            </w:r>
          </w:p>
        </w:tc>
      </w:tr>
      <w:tr>
        <w:trPr>
          <w:trHeight w:val="56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Residential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2,680.2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2,849.8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2,849.8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20.9</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13.0</w:t>
            </w:r>
          </w:p>
        </w:tc>
      </w:tr>
      <w:tr>
        <w:trPr>
          <w:trHeight w:val="58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Industry &amp; Commercial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56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w:t>
            </w:r>
          </w:p>
        </w:tc>
      </w:tr>
      <w:tr>
        <w:trPr>
          <w:trHeight w:val="58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&amp;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35.6</w:t>
            </w:r>
          </w:p>
        </w:tc>
      </w:tr>
      <w:tr>
        <w:trPr>
          <w:trHeight w:val="56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Food &amp; 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23.0</w:t>
            </w:r>
          </w:p>
        </w:tc>
      </w:tr>
      <w:tr>
        <w:trPr>
          <w:trHeight w:val="56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1,061.2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1,634.1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0.4</w:t>
            </w:r>
          </w:p>
        </w:tc>
      </w:tr>
    </w:tbl>
    <w:p>
      <w:pPr>
        <w:pStyle w:val="BodyText"/>
      </w:pPr>
      <w:r>
        <w:t xml:space="preserve">The table shows that the two main policy foci of the Hampshire County Council Climate Change Strategy - Transport and Residential - contribute at least 30% of emissions irrespective of the emissions accounting method used.</w:t>
      </w:r>
    </w:p>
    <w:p>
      <w:pPr>
        <w:pStyle w:val="BodyText"/>
      </w:pPr>
      <w:r>
        <w:t xml:space="preserve">The Carbon Trust estimate for Industrial &amp; Commercial emissions for the</w:t>
      </w:r>
      <w:r>
        <w:t xml:space="preserve"> </w:t>
      </w:r>
      <w:r>
        <w:t xml:space="preserve">‘</w:t>
      </w:r>
      <w:r>
        <w:t xml:space="preserve">11 districts</w:t>
      </w:r>
      <w:r>
        <w:t xml:space="preserve">’</w:t>
      </w:r>
      <w:r>
        <w:t xml:space="preserve"> </w:t>
      </w:r>
      <w:r>
        <w:t xml:space="preserve">appears to be considerably larger than the comparable BEIS</w:t>
      </w:r>
      <w:r>
        <w:t xml:space="preserve"> </w:t>
      </w:r>
      <w:r>
        <w:t xml:space="preserve">‘</w:t>
      </w:r>
      <w:r>
        <w:t xml:space="preserve">14 districts</w:t>
      </w:r>
      <w:r>
        <w:t xml:space="preserve">’</w:t>
      </w:r>
      <w:r>
        <w:t xml:space="preserve"> </w:t>
      </w:r>
      <w:r>
        <w:t xml:space="preserve">value. This may be due to the exclusion in the BEIS data of single large power stations whose emissions are</w:t>
      </w:r>
      <w:r>
        <w:t xml:space="preserve"> </w:t>
      </w:r>
      <w:r>
        <w:t xml:space="preserve">‘</w:t>
      </w:r>
      <w:r>
        <w:t xml:space="preserve">shared</w:t>
      </w:r>
      <w:r>
        <w:t xml:space="preserve">’</w:t>
      </w:r>
      <w:r>
        <w:t xml:space="preserve"> </w:t>
      </w:r>
      <w:r>
        <w:t xml:space="preserve">across all grid electricity users, not just those in the relevant district. As a result the BEIS proportions for Transport and Residential emissions are higher (77% combined) compared to 58% in the Carbon Trust estimates for 11 districts.</w:t>
      </w:r>
    </w:p>
    <w:p>
      <w:pPr>
        <w:pStyle w:val="BodyText"/>
      </w:pPr>
      <w:r>
        <w:t xml:space="preserve">Although the</w:t>
      </w:r>
      <w:r>
        <w:t xml:space="preserve"> </w:t>
      </w:r>
      <w:r>
        <w:t xml:space="preserve">‘</w:t>
      </w:r>
      <w:r>
        <w:t xml:space="preserve">14 districts</w:t>
      </w:r>
      <w:r>
        <w:t xml:space="preserve">’</w:t>
      </w:r>
      <w:r>
        <w:t xml:space="preserve"> </w:t>
      </w:r>
      <w:r>
        <w:t xml:space="preserve">BEIS and CSE (territorial) main categories are broadly similar in terms of kT CO2(e), the percentage contribution of Transport and Residential emissions are considerably lower (56%) for the CSE data. This is due to the</w:t>
      </w:r>
      <w:r>
        <w:t xml:space="preserve"> </w:t>
      </w:r>
      <w:r>
        <w:rPr>
          <w:bCs/>
          <w:b/>
        </w:rPr>
        <w:t xml:space="preserve">inclusion of additional sources in the CSE data</w:t>
      </w:r>
      <w:r>
        <w:t xml:space="preserve"> </w:t>
      </w:r>
      <w:r>
        <w:t xml:space="preserve">such as Aviation (10%, shown) shipping and F-gases as well as</w:t>
      </w:r>
      <w:r>
        <w:t xml:space="preserve"> </w:t>
      </w:r>
      <w:r>
        <w:rPr>
          <w:iCs/>
          <w:i/>
        </w:rPr>
        <w:t xml:space="preserve">all GHG</w:t>
      </w:r>
      <w:r>
        <w:t xml:space="preserve"> </w:t>
      </w:r>
      <w:r>
        <w:t xml:space="preserve">emissions (not just CO2) from transport, waste, agriculture, and others (see Table</w:t>
      </w:r>
      <w:r>
        <w:t xml:space="preserve"> </w:t>
      </w:r>
      <w:r>
        <w:t xml:space="preserve">5.2</w:t>
      </w:r>
      <w:r>
        <w:t xml:space="preserve"> </w:t>
      </w:r>
      <w:r>
        <w:t xml:space="preserve">for details). Collectively these represent over 20% of county-wide emissions under the CSE territorial methodology.</w:t>
      </w:r>
    </w:p>
    <w:p>
      <w:pPr>
        <w:pStyle w:val="BodyText"/>
      </w:pPr>
      <w:r>
        <w:t xml:space="preserve">Finally, the CSE consumption emissions data demonstrates the significant contribution that consumption of services as well as food and diet make to our</w:t>
      </w:r>
      <w:r>
        <w:t xml:space="preserve"> </w:t>
      </w:r>
      <w:r>
        <w:t xml:space="preserve">‘</w:t>
      </w:r>
      <w:r>
        <w:t xml:space="preserve">extended</w:t>
      </w:r>
      <w:r>
        <w:t xml:space="preserve">’</w:t>
      </w:r>
      <w:r>
        <w:t xml:space="preserve"> </w:t>
      </w:r>
      <w:r>
        <w:t xml:space="preserve">emissions footprint if we consider the emissions we have effectively off-shored to other geographical areas. This method transfers all of the industrial/commercial emissions and a significant proportion of the Transport/Aviation emissions to</w:t>
      </w:r>
      <w:r>
        <w:t xml:space="preserve"> </w:t>
      </w:r>
      <w:r>
        <w:t xml:space="preserve">‘</w:t>
      </w:r>
      <w:r>
        <w:t xml:space="preserve">Good and services</w:t>
      </w:r>
      <w:r>
        <w:t xml:space="preserve">’</w:t>
      </w:r>
      <w:r>
        <w:t xml:space="preserve"> </w:t>
      </w:r>
      <w:r>
        <w:t xml:space="preserve">and</w:t>
      </w:r>
      <w:r>
        <w:t xml:space="preserve"> </w:t>
      </w:r>
      <w:r>
        <w:t xml:space="preserve">‘</w:t>
      </w:r>
      <w:r>
        <w:t xml:space="preserve">Food and diet</w:t>
      </w:r>
      <w:r>
        <w:t xml:space="preserve">’</w:t>
      </w:r>
      <w:r>
        <w:t xml:space="preserve"> </w:t>
      </w:r>
      <w:r>
        <w:t xml:space="preserve">(i.e. supply chain transportation and distribution). As a result emissions from homes and private transport comprise only 33% of the total under this approach, flights a further 7% while the total for consumption of goods and services &amp; food is ~58%</w:t>
      </w:r>
    </w:p>
    <w:bookmarkEnd w:id="111"/>
    <w:bookmarkStart w:id="117" w:name="recommendations-and-future-work"/>
    <w:p>
      <w:pPr>
        <w:pStyle w:val="Heading1"/>
      </w:pPr>
      <w:r>
        <w:rPr>
          <w:rStyle w:val="SectionNumber"/>
        </w:rPr>
        <w:t xml:space="preserve">9</w:t>
      </w:r>
      <w:r>
        <w:tab/>
      </w:r>
      <w:r>
        <w:t xml:space="preserve">Recommendations and future work</w:t>
      </w:r>
    </w:p>
    <w:p>
      <w:pPr>
        <w:pStyle w:val="FirstParagraph"/>
      </w:pPr>
      <w:r>
        <w:t xml:space="preserve">Based on the preceding discussion, this report makes the following recommendations to HCC:</w:t>
      </w:r>
    </w:p>
    <w:p>
      <w:pPr>
        <w:numPr>
          <w:ilvl w:val="0"/>
          <w:numId w:val="1014"/>
        </w:numPr>
        <w:pStyle w:val="Compact"/>
      </w:pPr>
      <w:r>
        <w:t xml:space="preserve">use</w:t>
      </w:r>
      <w:r>
        <w:t xml:space="preserve"> </w:t>
      </w:r>
      <w:r>
        <w:rPr>
          <w:iCs/>
          <w:i/>
        </w:rPr>
        <w:t xml:space="preserve">all</w:t>
      </w:r>
      <w:r>
        <w:t xml:space="preserve"> </w:t>
      </w:r>
      <w:r>
        <w:t xml:space="preserve">territorial emissions (e.g. due to aviation, shipping, F-gases) and</w:t>
      </w:r>
      <w:r>
        <w:t xml:space="preserve"> </w:t>
      </w:r>
      <w:r>
        <w:rPr>
          <w:iCs/>
          <w:i/>
        </w:rPr>
        <w:t xml:space="preserve">all GHGs</w:t>
      </w:r>
      <w:r>
        <w:t xml:space="preserve"> </w:t>
      </w:r>
      <w:r>
        <w:t xml:space="preserve">(i.e. </w:t>
      </w:r>
      <w:hyperlink r:id="rId76">
        <w:r>
          <w:rPr>
            <w:rStyle w:val="Hyperlink"/>
          </w:rPr>
          <w:t xml:space="preserve">carbon dioxide, methane, nitrous oxide and fluorinated gases</w:t>
        </w:r>
      </w:hyperlink>
      <w:r>
        <w:t xml:space="preserve">) in the annual</w:t>
      </w:r>
      <w:r>
        <w:t xml:space="preserve"> </w:t>
      </w:r>
      <w:hyperlink r:id="rId112">
        <w:r>
          <w:rPr>
            <w:rStyle w:val="Hyperlink"/>
          </w:rPr>
          <w:t xml:space="preserve">BEIS district level emissions data</w:t>
        </w:r>
      </w:hyperlink>
      <w:r>
        <w:t xml:space="preserve"> </w:t>
      </w:r>
      <w:r>
        <w:t xml:space="preserve">as the benchmark for:</w:t>
      </w:r>
    </w:p>
    <w:p>
      <w:pPr>
        <w:numPr>
          <w:ilvl w:val="1"/>
          <w:numId w:val="1015"/>
        </w:numPr>
        <w:pStyle w:val="Compact"/>
      </w:pPr>
      <w:r>
        <w:t xml:space="preserve">estimation of baseline emissions;</w:t>
      </w:r>
    </w:p>
    <w:p>
      <w:pPr>
        <w:numPr>
          <w:ilvl w:val="1"/>
          <w:numId w:val="1015"/>
        </w:numPr>
        <w:pStyle w:val="Compact"/>
      </w:pPr>
      <w:r>
        <w:t xml:space="preserve">transparent modelling of the potential impact of HCC programmes on CO2 emissions;</w:t>
      </w:r>
    </w:p>
    <w:p>
      <w:pPr>
        <w:numPr>
          <w:ilvl w:val="1"/>
          <w:numId w:val="1015"/>
        </w:numPr>
        <w:pStyle w:val="Compact"/>
      </w:pPr>
      <w:r>
        <w:t xml:space="preserve">annual assessment of the district and county level emissions reduction progress;</w:t>
      </w:r>
    </w:p>
    <w:p>
      <w:pPr>
        <w:numPr>
          <w:ilvl w:val="1"/>
          <w:numId w:val="1015"/>
        </w:numPr>
        <w:pStyle w:val="Compact"/>
      </w:pPr>
      <w:r>
        <w:t xml:space="preserve">assessment of the impact of district and county level emissions reduction policies where feasible;</w:t>
      </w:r>
    </w:p>
    <w:p>
      <w:pPr>
        <w:numPr>
          <w:ilvl w:val="0"/>
          <w:numId w:val="1014"/>
        </w:numPr>
        <w:pStyle w:val="Compact"/>
      </w:pPr>
      <w:r>
        <w:t xml:space="preserve">This will enable:</w:t>
      </w:r>
    </w:p>
    <w:p>
      <w:pPr>
        <w:numPr>
          <w:ilvl w:val="1"/>
          <w:numId w:val="1016"/>
        </w:numPr>
        <w:pStyle w:val="Compact"/>
      </w:pPr>
      <w:r>
        <w:t xml:space="preserve">robust baselining of emissions for</w:t>
      </w:r>
      <w:r>
        <w:t xml:space="preserve"> </w:t>
      </w:r>
      <w:r>
        <w:rPr>
          <w:bCs/>
          <w:b/>
        </w:rPr>
        <w:t xml:space="preserve">all territorial GHGs</w:t>
      </w:r>
      <w:r>
        <w:t xml:space="preserve">, not just CO2;</w:t>
      </w:r>
    </w:p>
    <w:p>
      <w:pPr>
        <w:numPr>
          <w:ilvl w:val="1"/>
          <w:numId w:val="1016"/>
        </w:numPr>
        <w:pStyle w:val="Compact"/>
      </w:pPr>
      <w:r>
        <w:t xml:space="preserve">transparent modelling of the potential impact of HCC programmes on</w:t>
      </w:r>
      <w:r>
        <w:t xml:space="preserve"> </w:t>
      </w:r>
      <w:r>
        <w:rPr>
          <w:iCs/>
          <w:i/>
        </w:rPr>
        <w:t xml:space="preserve">all territorial GHGs</w:t>
      </w:r>
      <w:r>
        <w:t xml:space="preserve">;</w:t>
      </w:r>
    </w:p>
    <w:p>
      <w:pPr>
        <w:numPr>
          <w:ilvl w:val="1"/>
          <w:numId w:val="1016"/>
        </w:numPr>
        <w:pStyle w:val="Compact"/>
      </w:pPr>
      <w:r>
        <w:t xml:space="preserve">effective monitoring of reductions in emissions of</w:t>
      </w:r>
      <w:r>
        <w:t xml:space="preserve"> </w:t>
      </w:r>
      <w:r>
        <w:rPr>
          <w:iCs/>
          <w:i/>
        </w:rPr>
        <w:t xml:space="preserve">all territorial GHGs</w:t>
      </w:r>
      <w:r>
        <w:t xml:space="preserve"> </w:t>
      </w:r>
      <w:r>
        <w:t xml:space="preserve">over time.</w:t>
      </w:r>
    </w:p>
    <w:p>
      <w:pPr>
        <w:numPr>
          <w:ilvl w:val="0"/>
          <w:numId w:val="1014"/>
        </w:numPr>
        <w:pStyle w:val="Compact"/>
      </w:pPr>
      <w:r>
        <w:t xml:space="preserve">include a section in the HCC’s annual Climate Change Report which:</w:t>
      </w:r>
    </w:p>
    <w:p>
      <w:pPr>
        <w:numPr>
          <w:ilvl w:val="1"/>
          <w:numId w:val="1017"/>
        </w:numPr>
        <w:pStyle w:val="Compact"/>
      </w:pPr>
      <w:r>
        <w:t xml:space="preserve">reviews the mapping between current HCC programmes and the major emissions sources under each emissions accounting method;</w:t>
      </w:r>
    </w:p>
    <w:p>
      <w:pPr>
        <w:numPr>
          <w:ilvl w:val="1"/>
          <w:numId w:val="1017"/>
        </w:numPr>
        <w:pStyle w:val="Compact"/>
      </w:pPr>
      <w:r>
        <w:t xml:space="preserve">reviews the capability and capacity of County and District Authorities to influence the emissions sources for which no current programmes exist (c.f. the</w:t>
      </w:r>
      <w:r>
        <w:t xml:space="preserve"> </w:t>
      </w:r>
      <w:hyperlink r:id="rId113">
        <w:r>
          <w:rPr>
            <w:rStyle w:val="Hyperlink"/>
          </w:rPr>
          <w:t xml:space="preserve">Committee on Climate Change’s recommendations</w:t>
        </w:r>
      </w:hyperlink>
      <w:r>
        <w:t xml:space="preserve"> </w:t>
      </w:r>
      <w:r>
        <w:t xml:space="preserve">as part of the 6th Carbon Budget and the more recent</w:t>
      </w:r>
      <w:r>
        <w:t xml:space="preserve"> </w:t>
      </w:r>
      <w:hyperlink r:id="rId114">
        <w:r>
          <w:rPr>
            <w:rStyle w:val="Hyperlink"/>
          </w:rPr>
          <w:t xml:space="preserve">National Audit Office 2021 report</w:t>
        </w:r>
      </w:hyperlink>
      <w:r>
        <w:t xml:space="preserve"> </w:t>
      </w:r>
      <w:r>
        <w:t xml:space="preserve">on local government capabilities with respect to net zero in England);</w:t>
      </w:r>
    </w:p>
    <w:p>
      <w:pPr>
        <w:pStyle w:val="FirstParagraph"/>
      </w:pPr>
      <w:r>
        <w:t xml:space="preserve">Future work could:</w:t>
      </w:r>
    </w:p>
    <w:p>
      <w:pPr>
        <w:numPr>
          <w:ilvl w:val="0"/>
          <w:numId w:val="1018"/>
        </w:numPr>
        <w:pStyle w:val="Compact"/>
      </w:pPr>
      <w:r>
        <w:t xml:space="preserve">use the BEIS district level and (aggregated to) county level data to establish</w:t>
      </w:r>
      <w:r>
        <w:t xml:space="preserve"> </w:t>
      </w:r>
      <w:hyperlink r:id="rId115">
        <w:r>
          <w:rPr>
            <w:rStyle w:val="Hyperlink"/>
          </w:rPr>
          <w:t xml:space="preserve">Science Based Targets</w:t>
        </w:r>
      </w:hyperlink>
      <w:r>
        <w:t xml:space="preserve"> </w:t>
      </w:r>
      <w:r>
        <w:t xml:space="preserve">for emissions reduction that align with or improve upon national</w:t>
      </w:r>
      <w:r>
        <w:t xml:space="preserve"> </w:t>
      </w:r>
      <w:r>
        <w:t xml:space="preserve">‘</w:t>
      </w:r>
      <w:r>
        <w:t xml:space="preserve">net-zero</w:t>
      </w:r>
      <w:r>
        <w:t xml:space="preserve">’</w:t>
      </w:r>
      <w:r>
        <w:t xml:space="preserve"> </w:t>
      </w:r>
      <w:r>
        <w:t xml:space="preserve">targets;</w:t>
      </w:r>
    </w:p>
    <w:p>
      <w:pPr>
        <w:numPr>
          <w:ilvl w:val="0"/>
          <w:numId w:val="1018"/>
        </w:numPr>
        <w:pStyle w:val="Compact"/>
      </w:pPr>
      <w:r>
        <w:t xml:space="preserve">analyse the district level emissions to understand their distributions according to the different methodologies and hence inform district level prioritisation where this is not already in hand;</w:t>
      </w:r>
    </w:p>
    <w:p>
      <w:pPr>
        <w:numPr>
          <w:ilvl w:val="0"/>
          <w:numId w:val="1018"/>
        </w:numPr>
        <w:pStyle w:val="Compact"/>
      </w:pPr>
      <w:r>
        <w:t xml:space="preserve">use</w:t>
      </w:r>
      <w:r>
        <w:t xml:space="preserve"> </w:t>
      </w:r>
      <w:hyperlink r:id="rId66">
        <w:r>
          <w:rPr>
            <w:rStyle w:val="Hyperlink"/>
          </w:rPr>
          <w:t xml:space="preserve">the underlying LULUCF data</w:t>
        </w:r>
      </w:hyperlink>
      <w:r>
        <w:t xml:space="preserve"> </w:t>
      </w:r>
      <w:r>
        <w:t xml:space="preserve">to investigate the relatively low sequestration attributed to wetlands in the Hampshire area;</w:t>
      </w:r>
    </w:p>
    <w:p>
      <w:pPr>
        <w:numPr>
          <w:ilvl w:val="0"/>
          <w:numId w:val="1018"/>
        </w:numPr>
        <w:pStyle w:val="Compact"/>
      </w:pPr>
      <w:r>
        <w:t xml:space="preserve">compare the results reported here with a similar analysis of the</w:t>
      </w:r>
      <w:r>
        <w:t xml:space="preserve"> </w:t>
      </w:r>
      <w:hyperlink r:id="rId116">
        <w:r>
          <w:rPr>
            <w:rStyle w:val="Hyperlink"/>
          </w:rPr>
          <w:t xml:space="preserve">CREDS Place-Based Carbon Calculator</w:t>
        </w:r>
      </w:hyperlink>
      <w:r>
        <w:t xml:space="preserve"> </w:t>
      </w:r>
      <w:r>
        <w:t xml:space="preserve">consumption-based footprint data.</w:t>
      </w:r>
    </w:p>
    <w:bookmarkEnd w:id="117"/>
    <w:bookmarkStart w:id="124" w:name="appendix-data"/>
    <w:p>
      <w:pPr>
        <w:pStyle w:val="Heading1"/>
      </w:pPr>
      <w:r>
        <w:rPr>
          <w:rStyle w:val="SectionNumber"/>
        </w:rPr>
        <w:t xml:space="preserve">10</w:t>
      </w:r>
      <w:r>
        <w:tab/>
      </w:r>
      <w:r>
        <w:t xml:space="preserve">Appendix: Data</w:t>
      </w:r>
    </w:p>
    <w:bookmarkStart w:id="119" w:name="skimBeis"/>
    <w:p>
      <w:pPr>
        <w:pStyle w:val="Heading2"/>
      </w:pPr>
      <w:r>
        <w:rPr>
          <w:rStyle w:val="SectionNumber"/>
        </w:rPr>
        <w:t xml:space="preserve">10.1</w:t>
      </w:r>
      <w:r>
        <w:tab/>
      </w:r>
      <w:r>
        <w:t xml:space="preserve">Data details: BEIS</w:t>
      </w:r>
    </w:p>
    <w:p>
      <w:pPr>
        <w:pStyle w:val="FirstParagraph"/>
      </w:pPr>
      <w:r>
        <w:t xml:space="preserve">Original data (all districts)</w:t>
      </w:r>
    </w:p>
    <w:p>
      <w:pPr>
        <w:pStyle w:val="TableCaption"/>
      </w:pPr>
      <w:bookmarkStart w:id="118" w:name="tab:skimBEIS"/>
      <w:bookmarkEnd w:id="118"/>
      <w:r>
        <w:t xml:space="preserve">Table 10.1: Data summary</w:t>
      </w:r>
    </w:p>
    <w:tbl>
      <w:tblPr>
        <w:tblStyle w:val="Table"/>
        <w:tblW w:type="auto" w:w="0"/>
        <w:tblLook w:firstRow="0" w:lastRow="0" w:firstColumn="0" w:lastColumn="0" w:noHBand="0" w:noVBand="0" w:val="0000"/>
        <w:jc w:val="start"/>
        <w:tblCaption w:val="Table 10.1: Data summary"/>
      </w:tblPr>
      <w:tblGrid>
        <w:gridCol w:w="3960"/>
        <w:gridCol w:w="3960"/>
      </w:tblGrid>
      <w:tr>
        <w:tc>
          <w:tcPr/>
          <w:p>
            <w:pPr>
              <w:pStyle w:val="Compact"/>
              <w:jc w:val="left"/>
            </w:pPr>
            <w:r>
              <w:t xml:space="preserve">Name</w:t>
            </w:r>
          </w:p>
        </w:tc>
        <w:tc>
          <w:tcPr/>
          <w:p>
            <w:pPr>
              <w:pStyle w:val="Compact"/>
              <w:jc w:val="left"/>
            </w:pPr>
            <w:r>
              <w:t xml:space="preserve">beis_orig</w:t>
            </w:r>
          </w:p>
        </w:tc>
      </w:tr>
      <w:tr>
        <w:tc>
          <w:tcPr/>
          <w:p>
            <w:pPr>
              <w:pStyle w:val="Compact"/>
              <w:jc w:val="left"/>
            </w:pPr>
            <w:r>
              <w:t xml:space="preserve">Number of rows</w:t>
            </w:r>
          </w:p>
        </w:tc>
        <w:tc>
          <w:tcPr/>
          <w:p>
            <w:pPr>
              <w:pStyle w:val="Compact"/>
              <w:jc w:val="left"/>
            </w:pPr>
            <w:r>
              <w:t xml:space="preserve">523643</w:t>
            </w:r>
          </w:p>
        </w:tc>
      </w:tr>
      <w:tr>
        <w:tc>
          <w:tcPr/>
          <w:p>
            <w:pPr>
              <w:pStyle w:val="Compact"/>
              <w:jc w:val="left"/>
            </w:pPr>
            <w:r>
              <w:t xml:space="preserve">Number of columns</w:t>
            </w:r>
          </w:p>
        </w:tc>
        <w:tc>
          <w:tcPr/>
          <w:p>
            <w:pPr>
              <w:pStyle w:val="Compact"/>
              <w:jc w:val="left"/>
            </w:pPr>
            <w:r>
              <w:t xml:space="preserve">15</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2178"/>
        <w:gridCol w:w="990"/>
        <w:gridCol w:w="1386"/>
        <w:gridCol w:w="396"/>
        <w:gridCol w:w="396"/>
        <w:gridCol w:w="594"/>
        <w:gridCol w:w="891"/>
        <w:gridCol w:w="108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16</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Country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391</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Region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24</w:t>
            </w:r>
          </w:p>
        </w:tc>
        <w:tc>
          <w:tcPr/>
          <w:p>
            <w:pPr>
              <w:pStyle w:val="Compact"/>
              <w:jc w:val="right"/>
            </w:pPr>
            <w:r>
              <w:t xml:space="preserve">0</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Region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391</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Second Tier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28</w:t>
            </w:r>
          </w:p>
        </w:tc>
        <w:tc>
          <w:tcPr/>
          <w:p>
            <w:pPr>
              <w:pStyle w:val="Compact"/>
              <w:jc w:val="right"/>
            </w:pPr>
            <w:r>
              <w:t xml:space="preserve">391</w:t>
            </w:r>
          </w:p>
        </w:tc>
        <w:tc>
          <w:tcPr/>
          <w:p>
            <w:pPr>
              <w:pStyle w:val="Compact"/>
              <w:jc w:val="right"/>
            </w:pPr>
            <w:r>
              <w:t xml:space="preserve">152</w:t>
            </w:r>
          </w:p>
        </w:tc>
        <w:tc>
          <w:tcPr/>
          <w:p>
            <w:pPr>
              <w:pStyle w:val="Compact"/>
              <w:jc w:val="right"/>
            </w:pPr>
            <w:r>
              <w:t xml:space="preserve">0</w:t>
            </w:r>
          </w:p>
        </w:tc>
      </w:tr>
      <w:tr>
        <w:tc>
          <w:tcPr/>
          <w:p>
            <w:pPr>
              <w:pStyle w:val="Compact"/>
              <w:jc w:val="left"/>
            </w:pPr>
            <w:r>
              <w:t xml:space="preserve">Local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54</w:t>
            </w:r>
          </w:p>
        </w:tc>
        <w:tc>
          <w:tcPr/>
          <w:p>
            <w:pPr>
              <w:pStyle w:val="Compact"/>
              <w:jc w:val="right"/>
            </w:pPr>
            <w:r>
              <w:t xml:space="preserve">0</w:t>
            </w:r>
          </w:p>
        </w:tc>
        <w:tc>
          <w:tcPr/>
          <w:p>
            <w:pPr>
              <w:pStyle w:val="Compact"/>
              <w:jc w:val="right"/>
            </w:pPr>
            <w:r>
              <w:t xml:space="preserve">377</w:t>
            </w:r>
          </w:p>
        </w:tc>
        <w:tc>
          <w:tcPr/>
          <w:p>
            <w:pPr>
              <w:pStyle w:val="Compact"/>
              <w:jc w:val="right"/>
            </w:pPr>
            <w:r>
              <w:t xml:space="preserve">0</w:t>
            </w:r>
          </w:p>
        </w:tc>
      </w:tr>
      <w:tr>
        <w:tc>
          <w:tcPr/>
          <w:p>
            <w:pPr>
              <w:pStyle w:val="Compact"/>
              <w:jc w:val="left"/>
            </w:pPr>
            <w:r>
              <w:t xml:space="preserve">Local Authority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11</w:t>
            </w:r>
          </w:p>
        </w:tc>
        <w:tc>
          <w:tcPr/>
          <w:p>
            <w:pPr>
              <w:pStyle w:val="Compact"/>
              <w:jc w:val="right"/>
            </w:pPr>
            <w:r>
              <w:t xml:space="preserve">0</w:t>
            </w:r>
          </w:p>
        </w:tc>
        <w:tc>
          <w:tcPr/>
          <w:p>
            <w:pPr>
              <w:pStyle w:val="Compact"/>
              <w:jc w:val="right"/>
            </w:pPr>
            <w:r>
              <w:t xml:space="preserve">376</w:t>
            </w:r>
          </w:p>
        </w:tc>
        <w:tc>
          <w:tcPr/>
          <w:p>
            <w:pPr>
              <w:pStyle w:val="Compact"/>
              <w:jc w:val="right"/>
            </w:pPr>
            <w:r>
              <w:t xml:space="preserve">0</w:t>
            </w:r>
          </w:p>
        </w:tc>
      </w:tr>
      <w:tr>
        <w:tc>
          <w:tcPr/>
          <w:p>
            <w:pPr>
              <w:pStyle w:val="Compact"/>
              <w:jc w:val="left"/>
            </w:pPr>
            <w:r>
              <w:t xml:space="preserve">LA GHG 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16</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LA GHG Sub-sector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45</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r>
      <w:tr>
        <w:tc>
          <w:tcPr/>
          <w:p>
            <w:pPr>
              <w:pStyle w:val="Compact"/>
              <w:jc w:val="left"/>
            </w:pPr>
            <w:r>
              <w:t xml:space="preserve">Greenhouse gas</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3242"/>
        <w:gridCol w:w="531"/>
        <w:gridCol w:w="744"/>
        <w:gridCol w:w="425"/>
        <w:gridCol w:w="425"/>
        <w:gridCol w:w="478"/>
        <w:gridCol w:w="425"/>
        <w:gridCol w:w="425"/>
        <w:gridCol w:w="425"/>
        <w:gridCol w:w="478"/>
        <w:gridCol w:w="31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Calendar 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2012.99</w:t>
            </w:r>
          </w:p>
        </w:tc>
        <w:tc>
          <w:tcPr/>
          <w:p>
            <w:pPr>
              <w:pStyle w:val="Compact"/>
              <w:jc w:val="right"/>
            </w:pPr>
            <w:r>
              <w:t xml:space="preserve">4.90</w:t>
            </w:r>
          </w:p>
        </w:tc>
        <w:tc>
          <w:tcPr/>
          <w:p>
            <w:pPr>
              <w:pStyle w:val="Compact"/>
              <w:jc w:val="right"/>
            </w:pPr>
            <w:r>
              <w:t xml:space="preserve">2005.00</w:t>
            </w:r>
          </w:p>
        </w:tc>
        <w:tc>
          <w:tcPr/>
          <w:p>
            <w:pPr>
              <w:pStyle w:val="Compact"/>
              <w:jc w:val="right"/>
            </w:pPr>
            <w:r>
              <w:t xml:space="preserve">2009.00</w:t>
            </w:r>
          </w:p>
        </w:tc>
        <w:tc>
          <w:tcPr/>
          <w:p>
            <w:pPr>
              <w:pStyle w:val="Compact"/>
              <w:jc w:val="right"/>
            </w:pPr>
            <w:r>
              <w:t xml:space="preserve">2013.00</w:t>
            </w:r>
          </w:p>
        </w:tc>
        <w:tc>
          <w:tcPr/>
          <w:p>
            <w:pPr>
              <w:pStyle w:val="Compact"/>
              <w:jc w:val="right"/>
            </w:pPr>
            <w:r>
              <w:t xml:space="preserve">2017.00</w:t>
            </w:r>
          </w:p>
        </w:tc>
        <w:tc>
          <w:tcPr/>
          <w:p>
            <w:pPr>
              <w:pStyle w:val="Compact"/>
              <w:jc w:val="right"/>
            </w:pPr>
            <w:r>
              <w:t xml:space="preserve">2021.00</w:t>
            </w:r>
          </w:p>
        </w:tc>
        <w:tc>
          <w:tcPr/>
          <w:p>
            <w:pPr>
              <w:pStyle w:val="Compact"/>
              <w:jc w:val="left"/>
            </w:pPr>
            <w:r>
              <w:t xml:space="preserve">▇▆▆▆▇</w:t>
            </w:r>
          </w:p>
        </w:tc>
      </w:tr>
      <w:tr>
        <w:tc>
          <w:tcPr/>
          <w:p>
            <w:pPr>
              <w:pStyle w:val="Compact"/>
              <w:jc w:val="left"/>
            </w:pPr>
            <w:r>
              <w:t xml:space="preserve">Territorial emissions (kt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16.74</w:t>
            </w:r>
          </w:p>
        </w:tc>
        <w:tc>
          <w:tcPr/>
          <w:p>
            <w:pPr>
              <w:pStyle w:val="Compact"/>
              <w:jc w:val="right"/>
            </w:pPr>
            <w:r>
              <w:t xml:space="preserve">95.02</w:t>
            </w:r>
          </w:p>
        </w:tc>
        <w:tc>
          <w:tcPr/>
          <w:p>
            <w:pPr>
              <w:pStyle w:val="Compact"/>
              <w:jc w:val="right"/>
            </w:pPr>
            <w:r>
              <w:t xml:space="preserve">-2892.14</w:t>
            </w:r>
          </w:p>
        </w:tc>
        <w:tc>
          <w:tcPr/>
          <w:p>
            <w:pPr>
              <w:pStyle w:val="Compact"/>
              <w:jc w:val="right"/>
            </w:pPr>
            <w:r>
              <w:t xml:space="preserve">0.04</w:t>
            </w:r>
          </w:p>
        </w:tc>
        <w:tc>
          <w:tcPr/>
          <w:p>
            <w:pPr>
              <w:pStyle w:val="Compact"/>
              <w:jc w:val="right"/>
            </w:pPr>
            <w:r>
              <w:t xml:space="preserve">0.49</w:t>
            </w:r>
          </w:p>
        </w:tc>
        <w:tc>
          <w:tcPr/>
          <w:p>
            <w:pPr>
              <w:pStyle w:val="Compact"/>
              <w:jc w:val="right"/>
            </w:pPr>
            <w:r>
              <w:t xml:space="preserve">4.66</w:t>
            </w:r>
          </w:p>
        </w:tc>
        <w:tc>
          <w:tcPr/>
          <w:p>
            <w:pPr>
              <w:pStyle w:val="Compact"/>
              <w:jc w:val="right"/>
            </w:pPr>
            <w:r>
              <w:t xml:space="preserve">10542.35</w:t>
            </w:r>
          </w:p>
        </w:tc>
        <w:tc>
          <w:tcPr/>
          <w:p>
            <w:pPr>
              <w:pStyle w:val="Compact"/>
              <w:jc w:val="left"/>
            </w:pPr>
            <w:r>
              <w:t xml:space="preserve">▁▇▁▁▁</w:t>
            </w:r>
          </w:p>
        </w:tc>
      </w:tr>
      <w:tr>
        <w:tc>
          <w:tcPr/>
          <w:p>
            <w:pPr>
              <w:pStyle w:val="Compact"/>
              <w:jc w:val="left"/>
            </w:pPr>
            <w:r>
              <w:t xml:space="preserve">CO2 emissions within the scope of influence of LAs (kt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11.67</w:t>
            </w:r>
          </w:p>
        </w:tc>
        <w:tc>
          <w:tcPr/>
          <w:p>
            <w:pPr>
              <w:pStyle w:val="Compact"/>
              <w:jc w:val="right"/>
            </w:pPr>
            <w:r>
              <w:t xml:space="preserve">47.75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4027.53</w:t>
            </w:r>
          </w:p>
        </w:tc>
        <w:tc>
          <w:tcPr/>
          <w:p>
            <w:pPr>
              <w:pStyle w:val="Compact"/>
              <w:jc w:val="left"/>
            </w:pPr>
            <w:r>
              <w:t xml:space="preserve">▇▁▁▁▁</w:t>
            </w:r>
          </w:p>
        </w:tc>
      </w:tr>
      <w:tr>
        <w:tc>
          <w:tcPr/>
          <w:p>
            <w:pPr>
              <w:pStyle w:val="Compact"/>
              <w:jc w:val="left"/>
            </w:pPr>
            <w:r>
              <w:t xml:space="preserve">Mid-year Population (thousands)</w:t>
            </w:r>
          </w:p>
        </w:tc>
        <w:tc>
          <w:tcPr/>
          <w:p>
            <w:pPr>
              <w:pStyle w:val="Compact"/>
              <w:jc w:val="right"/>
            </w:pPr>
            <w:r>
              <w:t xml:space="preserve">391</w:t>
            </w:r>
          </w:p>
        </w:tc>
        <w:tc>
          <w:tcPr/>
          <w:p>
            <w:pPr>
              <w:pStyle w:val="Compact"/>
              <w:jc w:val="right"/>
            </w:pPr>
            <w:r>
              <w:t xml:space="preserve">1</w:t>
            </w:r>
          </w:p>
        </w:tc>
        <w:tc>
          <w:tcPr/>
          <w:p>
            <w:pPr>
              <w:pStyle w:val="Compact"/>
              <w:jc w:val="right"/>
            </w:pPr>
            <w:r>
              <w:t xml:space="preserve">172.28</w:t>
            </w:r>
          </w:p>
        </w:tc>
        <w:tc>
          <w:tcPr/>
          <w:p>
            <w:pPr>
              <w:pStyle w:val="Compact"/>
              <w:jc w:val="right"/>
            </w:pPr>
            <w:r>
              <w:t xml:space="preserve">116.21</w:t>
            </w:r>
          </w:p>
        </w:tc>
        <w:tc>
          <w:tcPr/>
          <w:p>
            <w:pPr>
              <w:pStyle w:val="Compact"/>
              <w:jc w:val="right"/>
            </w:pPr>
            <w:r>
              <w:t xml:space="preserve">2.21</w:t>
            </w:r>
          </w:p>
        </w:tc>
        <w:tc>
          <w:tcPr/>
          <w:p>
            <w:pPr>
              <w:pStyle w:val="Compact"/>
              <w:jc w:val="right"/>
            </w:pPr>
            <w:r>
              <w:t xml:space="preserve">100.09</w:t>
            </w:r>
          </w:p>
        </w:tc>
        <w:tc>
          <w:tcPr/>
          <w:p>
            <w:pPr>
              <w:pStyle w:val="Compact"/>
              <w:jc w:val="right"/>
            </w:pPr>
            <w:r>
              <w:t xml:space="preserve">136.68</w:t>
            </w:r>
          </w:p>
        </w:tc>
        <w:tc>
          <w:tcPr/>
          <w:p>
            <w:pPr>
              <w:pStyle w:val="Compact"/>
              <w:jc w:val="right"/>
            </w:pPr>
            <w:r>
              <w:t xml:space="preserve">211.72</w:t>
            </w:r>
          </w:p>
        </w:tc>
        <w:tc>
          <w:tcPr/>
          <w:p>
            <w:pPr>
              <w:pStyle w:val="Compact"/>
              <w:jc w:val="right"/>
            </w:pPr>
            <w:r>
              <w:t xml:space="preserve">1157.16</w:t>
            </w:r>
          </w:p>
        </w:tc>
        <w:tc>
          <w:tcPr/>
          <w:p>
            <w:pPr>
              <w:pStyle w:val="Compact"/>
              <w:jc w:val="left"/>
            </w:pPr>
            <w:r>
              <w:t xml:space="preserve">▇▂▁▁▁</w:t>
            </w:r>
          </w:p>
        </w:tc>
      </w:tr>
      <w:tr>
        <w:tc>
          <w:tcPr/>
          <w:p>
            <w:pPr>
              <w:pStyle w:val="Compact"/>
              <w:jc w:val="left"/>
            </w:pPr>
            <w:r>
              <w:t xml:space="preserve">Area (km2)</w:t>
            </w:r>
          </w:p>
        </w:tc>
        <w:tc>
          <w:tcPr/>
          <w:p>
            <w:pPr>
              <w:pStyle w:val="Compact"/>
              <w:jc w:val="right"/>
            </w:pPr>
            <w:r>
              <w:t xml:space="preserve">391</w:t>
            </w:r>
          </w:p>
        </w:tc>
        <w:tc>
          <w:tcPr/>
          <w:p>
            <w:pPr>
              <w:pStyle w:val="Compact"/>
              <w:jc w:val="right"/>
            </w:pPr>
            <w:r>
              <w:t xml:space="preserve">1</w:t>
            </w:r>
          </w:p>
        </w:tc>
        <w:tc>
          <w:tcPr/>
          <w:p>
            <w:pPr>
              <w:pStyle w:val="Compact"/>
              <w:jc w:val="right"/>
            </w:pPr>
            <w:r>
              <w:t xml:space="preserve">672.72</w:t>
            </w:r>
          </w:p>
        </w:tc>
        <w:tc>
          <w:tcPr/>
          <w:p>
            <w:pPr>
              <w:pStyle w:val="Compact"/>
              <w:jc w:val="right"/>
            </w:pPr>
            <w:r>
              <w:t xml:space="preserve">1653.91</w:t>
            </w:r>
          </w:p>
        </w:tc>
        <w:tc>
          <w:tcPr/>
          <w:p>
            <w:pPr>
              <w:pStyle w:val="Compact"/>
              <w:jc w:val="right"/>
            </w:pPr>
            <w:r>
              <w:t xml:space="preserve">3.15</w:t>
            </w:r>
          </w:p>
        </w:tc>
        <w:tc>
          <w:tcPr/>
          <w:p>
            <w:pPr>
              <w:pStyle w:val="Compact"/>
              <w:jc w:val="right"/>
            </w:pPr>
            <w:r>
              <w:t xml:space="preserve">98.35</w:t>
            </w:r>
          </w:p>
        </w:tc>
        <w:tc>
          <w:tcPr/>
          <w:p>
            <w:pPr>
              <w:pStyle w:val="Compact"/>
              <w:jc w:val="right"/>
            </w:pPr>
            <w:r>
              <w:t xml:space="preserve">279.33</w:t>
            </w:r>
          </w:p>
        </w:tc>
        <w:tc>
          <w:tcPr/>
          <w:p>
            <w:pPr>
              <w:pStyle w:val="Compact"/>
              <w:jc w:val="right"/>
            </w:pPr>
            <w:r>
              <w:t xml:space="preserve">680.08</w:t>
            </w:r>
          </w:p>
        </w:tc>
        <w:tc>
          <w:tcPr/>
          <w:p>
            <w:pPr>
              <w:pStyle w:val="Compact"/>
              <w:jc w:val="right"/>
            </w:pPr>
            <w:r>
              <w:t xml:space="preserve">26473.95</w:t>
            </w:r>
          </w:p>
        </w:tc>
        <w:tc>
          <w:tcPr/>
          <w:p>
            <w:pPr>
              <w:pStyle w:val="Compact"/>
              <w:jc w:val="left"/>
            </w:pPr>
            <w:r>
              <w:t xml:space="preserve">▇▁▁▁▁</w:t>
            </w:r>
          </w:p>
        </w:tc>
      </w:tr>
    </w:tbl>
    <w:bookmarkEnd w:id="119"/>
    <w:bookmarkStart w:id="121" w:name="skimCSEterr"/>
    <w:p>
      <w:pPr>
        <w:pStyle w:val="Heading2"/>
      </w:pPr>
      <w:r>
        <w:rPr>
          <w:rStyle w:val="SectionNumber"/>
        </w:rPr>
        <w:t xml:space="preserve">10.2</w:t>
      </w:r>
      <w:r>
        <w:tab/>
      </w:r>
      <w:r>
        <w:t xml:space="preserve">Data details: CSE territorial</w:t>
      </w:r>
    </w:p>
    <w:p>
      <w:pPr>
        <w:pStyle w:val="FirstParagraph"/>
      </w:pPr>
      <w:r>
        <w:t xml:space="preserve">Original data (all districts)</w:t>
      </w:r>
    </w:p>
    <w:p>
      <w:pPr>
        <w:pStyle w:val="TableCaption"/>
      </w:pPr>
      <w:bookmarkStart w:id="120" w:name="tab:skimCSEterr"/>
      <w:bookmarkEnd w:id="120"/>
      <w:r>
        <w:t xml:space="preserve">Table 10.2: Data summary</w:t>
      </w:r>
    </w:p>
    <w:tbl>
      <w:tblPr>
        <w:tblStyle w:val="Table"/>
        <w:tblW w:type="auto" w:w="0"/>
        <w:tblLook w:firstRow="0" w:lastRow="0" w:firstColumn="0" w:lastColumn="0" w:noHBand="0" w:noVBand="0" w:val="0000"/>
        <w:jc w:val="start"/>
        <w:tblCaption w:val="Table 10.2: Data summary"/>
      </w:tblPr>
      <w:tblGrid>
        <w:gridCol w:w="3960"/>
        <w:gridCol w:w="3960"/>
      </w:tblGrid>
      <w:tr>
        <w:tc>
          <w:tcPr/>
          <w:p>
            <w:pPr>
              <w:pStyle w:val="Compact"/>
              <w:jc w:val="left"/>
            </w:pPr>
            <w:r>
              <w:t xml:space="preserve">Name</w:t>
            </w:r>
          </w:p>
        </w:tc>
        <w:tc>
          <w:tcPr/>
          <w:p>
            <w:pPr>
              <w:pStyle w:val="Compact"/>
              <w:jc w:val="left"/>
            </w:pPr>
            <w:r>
              <w:t xml:space="preserve">cse_terr_orig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21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3035"/>
        <w:gridCol w:w="474"/>
        <w:gridCol w:w="663"/>
        <w:gridCol w:w="474"/>
        <w:gridCol w:w="474"/>
        <w:gridCol w:w="569"/>
        <w:gridCol w:w="474"/>
        <w:gridCol w:w="474"/>
        <w:gridCol w:w="474"/>
        <w:gridCol w:w="521"/>
        <w:gridCol w:w="2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Industrial and commercial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132300.07</w:t>
            </w:r>
          </w:p>
        </w:tc>
        <w:tc>
          <w:tcPr/>
          <w:p>
            <w:pPr>
              <w:pStyle w:val="Compact"/>
              <w:jc w:val="right"/>
            </w:pPr>
            <w:r>
              <w:t xml:space="preserve">137891.68</w:t>
            </w:r>
          </w:p>
        </w:tc>
        <w:tc>
          <w:tcPr/>
          <w:p>
            <w:pPr>
              <w:pStyle w:val="Compact"/>
              <w:jc w:val="right"/>
            </w:pPr>
            <w:r>
              <w:t xml:space="preserve">2252.58</w:t>
            </w:r>
          </w:p>
        </w:tc>
        <w:tc>
          <w:tcPr/>
          <w:p>
            <w:pPr>
              <w:pStyle w:val="Compact"/>
              <w:jc w:val="right"/>
            </w:pPr>
            <w:r>
              <w:t xml:space="preserve">59765.86</w:t>
            </w:r>
          </w:p>
        </w:tc>
        <w:tc>
          <w:tcPr/>
          <w:p>
            <w:pPr>
              <w:pStyle w:val="Compact"/>
              <w:jc w:val="right"/>
            </w:pPr>
            <w:r>
              <w:t xml:space="preserve">86400.95</w:t>
            </w:r>
          </w:p>
        </w:tc>
        <w:tc>
          <w:tcPr/>
          <w:p>
            <w:pPr>
              <w:pStyle w:val="Compact"/>
              <w:jc w:val="right"/>
            </w:pPr>
            <w:r>
              <w:t xml:space="preserve">141105.07</w:t>
            </w:r>
          </w:p>
        </w:tc>
        <w:tc>
          <w:tcPr/>
          <w:p>
            <w:pPr>
              <w:pStyle w:val="Compact"/>
              <w:jc w:val="right"/>
            </w:pPr>
            <w:r>
              <w:t xml:space="preserve">923959.45</w:t>
            </w:r>
          </w:p>
        </w:tc>
        <w:tc>
          <w:tcPr/>
          <w:p>
            <w:pPr>
              <w:pStyle w:val="Compact"/>
              <w:jc w:val="left"/>
            </w:pPr>
            <w:r>
              <w:t xml:space="preserve">▇▁▁▁▁</w:t>
            </w:r>
          </w:p>
        </w:tc>
      </w:tr>
      <w:tr>
        <w:tc>
          <w:tcPr/>
          <w:p>
            <w:pPr>
              <w:pStyle w:val="Compact"/>
              <w:jc w:val="left"/>
            </w:pPr>
            <w:r>
              <w:t xml:space="preserve">Industrial and commercial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113795.30</w:t>
            </w:r>
          </w:p>
        </w:tc>
        <w:tc>
          <w:tcPr/>
          <w:p>
            <w:pPr>
              <w:pStyle w:val="Compact"/>
              <w:jc w:val="right"/>
            </w:pPr>
            <w:r>
              <w:t xml:space="preserve">125630.61</w:t>
            </w:r>
          </w:p>
        </w:tc>
        <w:tc>
          <w:tcPr/>
          <w:p>
            <w:pPr>
              <w:pStyle w:val="Compact"/>
              <w:jc w:val="right"/>
            </w:pPr>
            <w:r>
              <w:t xml:space="preserve">0.00</w:t>
            </w:r>
          </w:p>
        </w:tc>
        <w:tc>
          <w:tcPr/>
          <w:p>
            <w:pPr>
              <w:pStyle w:val="Compact"/>
              <w:jc w:val="right"/>
            </w:pPr>
            <w:r>
              <w:t xml:space="preserve">42721.85</w:t>
            </w:r>
          </w:p>
        </w:tc>
        <w:tc>
          <w:tcPr/>
          <w:p>
            <w:pPr>
              <w:pStyle w:val="Compact"/>
              <w:jc w:val="right"/>
            </w:pPr>
            <w:r>
              <w:t xml:space="preserve">70456.50</w:t>
            </w:r>
          </w:p>
        </w:tc>
        <w:tc>
          <w:tcPr/>
          <w:p>
            <w:pPr>
              <w:pStyle w:val="Compact"/>
              <w:jc w:val="right"/>
            </w:pPr>
            <w:r>
              <w:t xml:space="preserve">130151.33</w:t>
            </w:r>
          </w:p>
        </w:tc>
        <w:tc>
          <w:tcPr/>
          <w:p>
            <w:pPr>
              <w:pStyle w:val="Compact"/>
              <w:jc w:val="right"/>
            </w:pPr>
            <w:r>
              <w:t xml:space="preserve">858852.28</w:t>
            </w:r>
          </w:p>
        </w:tc>
        <w:tc>
          <w:tcPr/>
          <w:p>
            <w:pPr>
              <w:pStyle w:val="Compact"/>
              <w:jc w:val="left"/>
            </w:pPr>
            <w:r>
              <w:t xml:space="preserve">▇▁▁▁▁</w:t>
            </w:r>
          </w:p>
        </w:tc>
      </w:tr>
      <w:tr>
        <w:tc>
          <w:tcPr/>
          <w:p>
            <w:pPr>
              <w:pStyle w:val="Compact"/>
              <w:jc w:val="left"/>
            </w:pPr>
            <w:r>
              <w:t xml:space="preserve">Industrial and commercial - Other Fuels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53872.07</w:t>
            </w:r>
          </w:p>
        </w:tc>
        <w:tc>
          <w:tcPr/>
          <w:p>
            <w:pPr>
              <w:pStyle w:val="Compact"/>
              <w:jc w:val="right"/>
            </w:pPr>
            <w:r>
              <w:t xml:space="preserve">68865.42</w:t>
            </w:r>
          </w:p>
        </w:tc>
        <w:tc>
          <w:tcPr/>
          <w:p>
            <w:pPr>
              <w:pStyle w:val="Compact"/>
              <w:jc w:val="right"/>
            </w:pPr>
            <w:r>
              <w:t xml:space="preserve">1180.35</w:t>
            </w:r>
          </w:p>
        </w:tc>
        <w:tc>
          <w:tcPr/>
          <w:p>
            <w:pPr>
              <w:pStyle w:val="Compact"/>
              <w:jc w:val="right"/>
            </w:pPr>
            <w:r>
              <w:t xml:space="preserve">19306.49</w:t>
            </w:r>
          </w:p>
        </w:tc>
        <w:tc>
          <w:tcPr/>
          <w:p>
            <w:pPr>
              <w:pStyle w:val="Compact"/>
              <w:jc w:val="right"/>
            </w:pPr>
            <w:r>
              <w:t xml:space="preserve">33291.08</w:t>
            </w:r>
          </w:p>
        </w:tc>
        <w:tc>
          <w:tcPr/>
          <w:p>
            <w:pPr>
              <w:pStyle w:val="Compact"/>
              <w:jc w:val="right"/>
            </w:pPr>
            <w:r>
              <w:t xml:space="preserve">54312.41</w:t>
            </w:r>
          </w:p>
        </w:tc>
        <w:tc>
          <w:tcPr/>
          <w:p>
            <w:pPr>
              <w:pStyle w:val="Compact"/>
              <w:jc w:val="right"/>
            </w:pPr>
            <w:r>
              <w:t xml:space="preserve">475748.40</w:t>
            </w:r>
          </w:p>
        </w:tc>
        <w:tc>
          <w:tcPr/>
          <w:p>
            <w:pPr>
              <w:pStyle w:val="Compact"/>
              <w:jc w:val="left"/>
            </w:pPr>
            <w:r>
              <w:t xml:space="preserve">▇▁▁▁▁</w:t>
            </w:r>
          </w:p>
        </w:tc>
      </w:tr>
      <w:tr>
        <w:tc>
          <w:tcPr/>
          <w:p>
            <w:pPr>
              <w:pStyle w:val="Compact"/>
              <w:jc w:val="left"/>
            </w:pPr>
            <w:r>
              <w:t xml:space="preserve">Industrial and commercial - Large industrial consumers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73703.57</w:t>
            </w:r>
          </w:p>
        </w:tc>
        <w:tc>
          <w:tcPr/>
          <w:p>
            <w:pPr>
              <w:pStyle w:val="Compact"/>
              <w:jc w:val="right"/>
            </w:pPr>
            <w:r>
              <w:t xml:space="preserve">409783.50</w:t>
            </w:r>
          </w:p>
        </w:tc>
        <w:tc>
          <w:tcPr/>
          <w:p>
            <w:pPr>
              <w:pStyle w:val="Compact"/>
              <w:jc w:val="right"/>
            </w:pPr>
            <w:r>
              <w:t xml:space="preserve">0.00</w:t>
            </w:r>
          </w:p>
        </w:tc>
        <w:tc>
          <w:tcPr/>
          <w:p>
            <w:pPr>
              <w:pStyle w:val="Compact"/>
              <w:jc w:val="right"/>
            </w:pPr>
            <w:r>
              <w:t xml:space="preserve">20.27</w:t>
            </w:r>
          </w:p>
        </w:tc>
        <w:tc>
          <w:tcPr/>
          <w:p>
            <w:pPr>
              <w:pStyle w:val="Compact"/>
              <w:jc w:val="right"/>
            </w:pPr>
            <w:r>
              <w:t xml:space="preserve">551.86</w:t>
            </w:r>
          </w:p>
        </w:tc>
        <w:tc>
          <w:tcPr/>
          <w:p>
            <w:pPr>
              <w:pStyle w:val="Compact"/>
              <w:jc w:val="right"/>
            </w:pPr>
            <w:r>
              <w:t xml:space="preserve">7433.72</w:t>
            </w:r>
          </w:p>
        </w:tc>
        <w:tc>
          <w:tcPr/>
          <w:p>
            <w:pPr>
              <w:pStyle w:val="Compact"/>
              <w:jc w:val="right"/>
            </w:pPr>
            <w:r>
              <w:t xml:space="preserve">6255114.95</w:t>
            </w:r>
          </w:p>
        </w:tc>
        <w:tc>
          <w:tcPr/>
          <w:p>
            <w:pPr>
              <w:pStyle w:val="Compact"/>
              <w:jc w:val="left"/>
            </w:pPr>
            <w:r>
              <w:t xml:space="preserve">▇▁▁▁▁</w:t>
            </w:r>
          </w:p>
        </w:tc>
      </w:tr>
      <w:tr>
        <w:tc>
          <w:tcPr/>
          <w:p>
            <w:pPr>
              <w:pStyle w:val="Compact"/>
              <w:jc w:val="left"/>
            </w:pPr>
            <w:r>
              <w:t xml:space="preserve">Power generation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202476.76</w:t>
            </w:r>
          </w:p>
        </w:tc>
        <w:tc>
          <w:tcPr/>
          <w:p>
            <w:pPr>
              <w:pStyle w:val="Compact"/>
              <w:jc w:val="right"/>
            </w:pPr>
            <w:r>
              <w:t xml:space="preserve">820528.91</w:t>
            </w:r>
          </w:p>
        </w:tc>
        <w:tc>
          <w:tcPr/>
          <w:p>
            <w:pPr>
              <w:pStyle w:val="Compact"/>
              <w:jc w:val="right"/>
            </w:pPr>
            <w:r>
              <w:t xml:space="preserve">0.09</w:t>
            </w:r>
          </w:p>
        </w:tc>
        <w:tc>
          <w:tcPr/>
          <w:p>
            <w:pPr>
              <w:pStyle w:val="Compact"/>
              <w:jc w:val="right"/>
            </w:pPr>
            <w:r>
              <w:t xml:space="preserve">7.46</w:t>
            </w:r>
          </w:p>
        </w:tc>
        <w:tc>
          <w:tcPr/>
          <w:p>
            <w:pPr>
              <w:pStyle w:val="Compact"/>
              <w:jc w:val="right"/>
            </w:pPr>
            <w:r>
              <w:t xml:space="preserve">1783.81</w:t>
            </w:r>
          </w:p>
        </w:tc>
        <w:tc>
          <w:tcPr/>
          <w:p>
            <w:pPr>
              <w:pStyle w:val="Compact"/>
              <w:jc w:val="right"/>
            </w:pPr>
            <w:r>
              <w:t xml:space="preserve">13920.26</w:t>
            </w:r>
          </w:p>
        </w:tc>
        <w:tc>
          <w:tcPr/>
          <w:p>
            <w:pPr>
              <w:pStyle w:val="Compact"/>
              <w:jc w:val="right"/>
            </w:pPr>
            <w:r>
              <w:t xml:space="preserve">8217271.92</w:t>
            </w:r>
          </w:p>
        </w:tc>
        <w:tc>
          <w:tcPr/>
          <w:p>
            <w:pPr>
              <w:pStyle w:val="Compact"/>
              <w:jc w:val="left"/>
            </w:pPr>
            <w:r>
              <w:t xml:space="preserve">▇▁▁▁▁</w:t>
            </w:r>
          </w:p>
        </w:tc>
      </w:tr>
      <w:tr>
        <w:tc>
          <w:tcPr/>
          <w:p>
            <w:pPr>
              <w:pStyle w:val="Compact"/>
              <w:jc w:val="left"/>
            </w:pPr>
            <w:r>
              <w:t xml:space="preserve">Agriculture - Fuel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16214.05</w:t>
            </w:r>
          </w:p>
        </w:tc>
        <w:tc>
          <w:tcPr/>
          <w:p>
            <w:pPr>
              <w:pStyle w:val="Compact"/>
              <w:jc w:val="right"/>
            </w:pPr>
            <w:r>
              <w:t xml:space="preserve">31376.01</w:t>
            </w:r>
          </w:p>
        </w:tc>
        <w:tc>
          <w:tcPr/>
          <w:p>
            <w:pPr>
              <w:pStyle w:val="Compact"/>
              <w:jc w:val="right"/>
            </w:pPr>
            <w:r>
              <w:t xml:space="preserve">19.35</w:t>
            </w:r>
          </w:p>
        </w:tc>
        <w:tc>
          <w:tcPr/>
          <w:p>
            <w:pPr>
              <w:pStyle w:val="Compact"/>
              <w:jc w:val="right"/>
            </w:pPr>
            <w:r>
              <w:t xml:space="preserve">1050.88</w:t>
            </w:r>
          </w:p>
        </w:tc>
        <w:tc>
          <w:tcPr/>
          <w:p>
            <w:pPr>
              <w:pStyle w:val="Compact"/>
              <w:jc w:val="right"/>
            </w:pPr>
            <w:r>
              <w:t xml:space="preserve">5662.08</w:t>
            </w:r>
          </w:p>
        </w:tc>
        <w:tc>
          <w:tcPr/>
          <w:p>
            <w:pPr>
              <w:pStyle w:val="Compact"/>
              <w:jc w:val="right"/>
            </w:pPr>
            <w:r>
              <w:t xml:space="preserve">17396.81</w:t>
            </w:r>
          </w:p>
        </w:tc>
        <w:tc>
          <w:tcPr/>
          <w:p>
            <w:pPr>
              <w:pStyle w:val="Compact"/>
              <w:jc w:val="right"/>
            </w:pPr>
            <w:r>
              <w:t xml:space="preserve">263250.12</w:t>
            </w:r>
          </w:p>
        </w:tc>
        <w:tc>
          <w:tcPr/>
          <w:p>
            <w:pPr>
              <w:pStyle w:val="Compact"/>
              <w:jc w:val="left"/>
            </w:pPr>
            <w:r>
              <w:t xml:space="preserve">▇▁▁▁▁</w:t>
            </w:r>
          </w:p>
        </w:tc>
      </w:tr>
      <w:tr>
        <w:tc>
          <w:tcPr/>
          <w:p>
            <w:pPr>
              <w:pStyle w:val="Compact"/>
              <w:jc w:val="left"/>
            </w:pPr>
            <w:r>
              <w:t xml:space="preserve">Agriculture - Livestock and crop-related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94318.64</w:t>
            </w:r>
          </w:p>
        </w:tc>
        <w:tc>
          <w:tcPr/>
          <w:p>
            <w:pPr>
              <w:pStyle w:val="Compact"/>
              <w:jc w:val="right"/>
            </w:pPr>
            <w:r>
              <w:t xml:space="preserve">209795.51</w:t>
            </w:r>
          </w:p>
        </w:tc>
        <w:tc>
          <w:tcPr/>
          <w:p>
            <w:pPr>
              <w:pStyle w:val="Compact"/>
              <w:jc w:val="right"/>
            </w:pPr>
            <w:r>
              <w:t xml:space="preserve">0.00</w:t>
            </w:r>
          </w:p>
        </w:tc>
        <w:tc>
          <w:tcPr/>
          <w:p>
            <w:pPr>
              <w:pStyle w:val="Compact"/>
              <w:jc w:val="right"/>
            </w:pPr>
            <w:r>
              <w:t xml:space="preserve">2268.33</w:t>
            </w:r>
          </w:p>
        </w:tc>
        <w:tc>
          <w:tcPr/>
          <w:p>
            <w:pPr>
              <w:pStyle w:val="Compact"/>
              <w:jc w:val="right"/>
            </w:pPr>
            <w:r>
              <w:t xml:space="preserve">20513.89</w:t>
            </w:r>
          </w:p>
        </w:tc>
        <w:tc>
          <w:tcPr/>
          <w:p>
            <w:pPr>
              <w:pStyle w:val="Compact"/>
              <w:jc w:val="right"/>
            </w:pPr>
            <w:r>
              <w:t xml:space="preserve">80007.64</w:t>
            </w:r>
          </w:p>
        </w:tc>
        <w:tc>
          <w:tcPr/>
          <w:p>
            <w:pPr>
              <w:pStyle w:val="Compact"/>
              <w:jc w:val="right"/>
            </w:pPr>
            <w:r>
              <w:t xml:space="preserve">1837654.01</w:t>
            </w:r>
          </w:p>
        </w:tc>
        <w:tc>
          <w:tcPr/>
          <w:p>
            <w:pPr>
              <w:pStyle w:val="Compact"/>
              <w:jc w:val="left"/>
            </w:pPr>
            <w:r>
              <w:t xml:space="preserve">▇▁▁▁▁</w:t>
            </w:r>
          </w:p>
        </w:tc>
      </w:tr>
      <w:tr>
        <w:tc>
          <w:tcPr/>
          <w:p>
            <w:pPr>
              <w:pStyle w:val="Compact"/>
              <w:jc w:val="left"/>
            </w:pPr>
            <w:r>
              <w:t xml:space="preserve">Aviation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130491.98</w:t>
            </w:r>
          </w:p>
        </w:tc>
        <w:tc>
          <w:tcPr/>
          <w:p>
            <w:pPr>
              <w:pStyle w:val="Compact"/>
              <w:jc w:val="right"/>
            </w:pPr>
            <w:r>
              <w:t xml:space="preserve">134944.30</w:t>
            </w:r>
          </w:p>
        </w:tc>
        <w:tc>
          <w:tcPr/>
          <w:p>
            <w:pPr>
              <w:pStyle w:val="Compact"/>
              <w:jc w:val="right"/>
            </w:pPr>
            <w:r>
              <w:t xml:space="preserve">1357.78</w:t>
            </w:r>
          </w:p>
        </w:tc>
        <w:tc>
          <w:tcPr/>
          <w:p>
            <w:pPr>
              <w:pStyle w:val="Compact"/>
              <w:jc w:val="right"/>
            </w:pPr>
            <w:r>
              <w:t xml:space="preserve">62146.89</w:t>
            </w:r>
          </w:p>
        </w:tc>
        <w:tc>
          <w:tcPr/>
          <w:p>
            <w:pPr>
              <w:pStyle w:val="Compact"/>
              <w:jc w:val="right"/>
            </w:pPr>
            <w:r>
              <w:t xml:space="preserve">85907.73</w:t>
            </w:r>
          </w:p>
        </w:tc>
        <w:tc>
          <w:tcPr/>
          <w:p>
            <w:pPr>
              <w:pStyle w:val="Compact"/>
              <w:jc w:val="right"/>
            </w:pPr>
            <w:r>
              <w:t xml:space="preserve">154781.14</w:t>
            </w:r>
          </w:p>
        </w:tc>
        <w:tc>
          <w:tcPr/>
          <w:p>
            <w:pPr>
              <w:pStyle w:val="Compact"/>
              <w:jc w:val="right"/>
            </w:pPr>
            <w:r>
              <w:t xml:space="preserve">1118247.31</w:t>
            </w:r>
          </w:p>
        </w:tc>
        <w:tc>
          <w:tcPr/>
          <w:p>
            <w:pPr>
              <w:pStyle w:val="Compact"/>
              <w:jc w:val="left"/>
            </w:pPr>
            <w:r>
              <w:t xml:space="preserve">▇▁▁▁▁</w:t>
            </w:r>
          </w:p>
        </w:tc>
      </w:tr>
      <w:tr>
        <w:tc>
          <w:tcPr/>
          <w:p>
            <w:pPr>
              <w:pStyle w:val="Compact"/>
              <w:jc w:val="left"/>
            </w:pPr>
            <w:r>
              <w:t xml:space="preserve">Shipping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51973.77</w:t>
            </w:r>
          </w:p>
        </w:tc>
        <w:tc>
          <w:tcPr/>
          <w:p>
            <w:pPr>
              <w:pStyle w:val="Compact"/>
              <w:jc w:val="right"/>
            </w:pPr>
            <w:r>
              <w:t xml:space="preserve">53747.08</w:t>
            </w:r>
          </w:p>
        </w:tc>
        <w:tc>
          <w:tcPr/>
          <w:p>
            <w:pPr>
              <w:pStyle w:val="Compact"/>
              <w:jc w:val="right"/>
            </w:pPr>
            <w:r>
              <w:t xml:space="preserve">540.79</w:t>
            </w:r>
          </w:p>
        </w:tc>
        <w:tc>
          <w:tcPr/>
          <w:p>
            <w:pPr>
              <w:pStyle w:val="Compact"/>
              <w:jc w:val="right"/>
            </w:pPr>
            <w:r>
              <w:t xml:space="preserve">24752.54</w:t>
            </w:r>
          </w:p>
        </w:tc>
        <w:tc>
          <w:tcPr/>
          <w:p>
            <w:pPr>
              <w:pStyle w:val="Compact"/>
              <w:jc w:val="right"/>
            </w:pPr>
            <w:r>
              <w:t xml:space="preserve">34216.27</w:t>
            </w:r>
          </w:p>
        </w:tc>
        <w:tc>
          <w:tcPr/>
          <w:p>
            <w:pPr>
              <w:pStyle w:val="Compact"/>
              <w:jc w:val="right"/>
            </w:pPr>
            <w:r>
              <w:t xml:space="preserve">61647.92</w:t>
            </w:r>
          </w:p>
        </w:tc>
        <w:tc>
          <w:tcPr/>
          <w:p>
            <w:pPr>
              <w:pStyle w:val="Compact"/>
              <w:jc w:val="right"/>
            </w:pPr>
            <w:r>
              <w:t xml:space="preserve">445387.71</w:t>
            </w:r>
          </w:p>
        </w:tc>
        <w:tc>
          <w:tcPr/>
          <w:p>
            <w:pPr>
              <w:pStyle w:val="Compact"/>
              <w:jc w:val="left"/>
            </w:pPr>
            <w:r>
              <w:t xml:space="preserve">▇▁▁▁▁</w:t>
            </w:r>
          </w:p>
        </w:tc>
      </w:tr>
      <w:tr>
        <w:tc>
          <w:tcPr/>
          <w:p>
            <w:pPr>
              <w:pStyle w:val="Compact"/>
              <w:jc w:val="left"/>
            </w:pPr>
            <w:r>
              <w:t xml:space="preserve">Diesel fuelled railways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6482.85</w:t>
            </w:r>
          </w:p>
        </w:tc>
        <w:tc>
          <w:tcPr/>
          <w:p>
            <w:pPr>
              <w:pStyle w:val="Compact"/>
              <w:jc w:val="right"/>
            </w:pPr>
            <w:r>
              <w:t xml:space="preserve">9255.80</w:t>
            </w:r>
          </w:p>
        </w:tc>
        <w:tc>
          <w:tcPr/>
          <w:p>
            <w:pPr>
              <w:pStyle w:val="Compact"/>
              <w:jc w:val="right"/>
            </w:pPr>
            <w:r>
              <w:t xml:space="preserve">0.00</w:t>
            </w:r>
          </w:p>
        </w:tc>
        <w:tc>
          <w:tcPr/>
          <w:p>
            <w:pPr>
              <w:pStyle w:val="Compact"/>
              <w:jc w:val="right"/>
            </w:pPr>
            <w:r>
              <w:t xml:space="preserve">786.59</w:t>
            </w:r>
          </w:p>
        </w:tc>
        <w:tc>
          <w:tcPr/>
          <w:p>
            <w:pPr>
              <w:pStyle w:val="Compact"/>
              <w:jc w:val="right"/>
            </w:pPr>
            <w:r>
              <w:t xml:space="preserve">2905.88</w:t>
            </w:r>
          </w:p>
        </w:tc>
        <w:tc>
          <w:tcPr/>
          <w:p>
            <w:pPr>
              <w:pStyle w:val="Compact"/>
              <w:jc w:val="right"/>
            </w:pPr>
            <w:r>
              <w:t xml:space="preserve">7627.29</w:t>
            </w:r>
          </w:p>
        </w:tc>
        <w:tc>
          <w:tcPr/>
          <w:p>
            <w:pPr>
              <w:pStyle w:val="Compact"/>
              <w:jc w:val="right"/>
            </w:pPr>
            <w:r>
              <w:t xml:space="preserve">66721.19</w:t>
            </w:r>
          </w:p>
        </w:tc>
        <w:tc>
          <w:tcPr/>
          <w:p>
            <w:pPr>
              <w:pStyle w:val="Compact"/>
              <w:jc w:val="left"/>
            </w:pPr>
            <w:r>
              <w:t xml:space="preserve">▇▁▁▁▁</w:t>
            </w:r>
          </w:p>
        </w:tc>
      </w:tr>
      <w:tr>
        <w:tc>
          <w:tcPr/>
          <w:p>
            <w:pPr>
              <w:pStyle w:val="Compact"/>
              <w:jc w:val="left"/>
            </w:pPr>
            <w:r>
              <w:t xml:space="preserve">F-gases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44589.47</w:t>
            </w:r>
          </w:p>
        </w:tc>
        <w:tc>
          <w:tcPr/>
          <w:p>
            <w:pPr>
              <w:pStyle w:val="Compact"/>
              <w:jc w:val="right"/>
            </w:pPr>
            <w:r>
              <w:t xml:space="preserve">46474.02</w:t>
            </w:r>
          </w:p>
        </w:tc>
        <w:tc>
          <w:tcPr/>
          <w:p>
            <w:pPr>
              <w:pStyle w:val="Compact"/>
              <w:jc w:val="right"/>
            </w:pPr>
            <w:r>
              <w:t xml:space="preserve">759.20</w:t>
            </w:r>
          </w:p>
        </w:tc>
        <w:tc>
          <w:tcPr/>
          <w:p>
            <w:pPr>
              <w:pStyle w:val="Compact"/>
              <w:jc w:val="right"/>
            </w:pPr>
            <w:r>
              <w:t xml:space="preserve">20143.06</w:t>
            </w:r>
          </w:p>
        </w:tc>
        <w:tc>
          <w:tcPr/>
          <w:p>
            <w:pPr>
              <w:pStyle w:val="Compact"/>
              <w:jc w:val="right"/>
            </w:pPr>
            <w:r>
              <w:t xml:space="preserve">29119.96</w:t>
            </w:r>
          </w:p>
        </w:tc>
        <w:tc>
          <w:tcPr/>
          <w:p>
            <w:pPr>
              <w:pStyle w:val="Compact"/>
              <w:jc w:val="right"/>
            </w:pPr>
            <w:r>
              <w:t xml:space="preserve">47557.04</w:t>
            </w:r>
          </w:p>
        </w:tc>
        <w:tc>
          <w:tcPr/>
          <w:p>
            <w:pPr>
              <w:pStyle w:val="Compact"/>
              <w:jc w:val="right"/>
            </w:pPr>
            <w:r>
              <w:t xml:space="preserve">311404.67</w:t>
            </w:r>
          </w:p>
        </w:tc>
        <w:tc>
          <w:tcPr/>
          <w:p>
            <w:pPr>
              <w:pStyle w:val="Compact"/>
              <w:jc w:val="left"/>
            </w:pPr>
            <w:r>
              <w:t xml:space="preserve">▇▁▁▁▁</w:t>
            </w:r>
          </w:p>
        </w:tc>
      </w:tr>
      <w:tr>
        <w:tc>
          <w:tcPr/>
          <w:p>
            <w:pPr>
              <w:pStyle w:val="Compact"/>
              <w:jc w:val="left"/>
            </w:pPr>
            <w:r>
              <w:t xml:space="preserve">Road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418242.72</w:t>
            </w:r>
          </w:p>
        </w:tc>
        <w:tc>
          <w:tcPr/>
          <w:p>
            <w:pPr>
              <w:pStyle w:val="Compact"/>
              <w:jc w:val="right"/>
            </w:pPr>
            <w:r>
              <w:t xml:space="preserve">490108.99</w:t>
            </w:r>
          </w:p>
        </w:tc>
        <w:tc>
          <w:tcPr/>
          <w:p>
            <w:pPr>
              <w:pStyle w:val="Compact"/>
              <w:jc w:val="right"/>
            </w:pPr>
            <w:r>
              <w:t xml:space="preserve">491.38</w:t>
            </w:r>
          </w:p>
        </w:tc>
        <w:tc>
          <w:tcPr/>
          <w:p>
            <w:pPr>
              <w:pStyle w:val="Compact"/>
              <w:jc w:val="right"/>
            </w:pPr>
            <w:r>
              <w:t xml:space="preserve">181517.18</w:t>
            </w:r>
          </w:p>
        </w:tc>
        <w:tc>
          <w:tcPr/>
          <w:p>
            <w:pPr>
              <w:pStyle w:val="Compact"/>
              <w:jc w:val="right"/>
            </w:pPr>
            <w:r>
              <w:t xml:space="preserve">295469.30</w:t>
            </w:r>
          </w:p>
        </w:tc>
        <w:tc>
          <w:tcPr/>
          <w:p>
            <w:pPr>
              <w:pStyle w:val="Compact"/>
              <w:jc w:val="right"/>
            </w:pPr>
            <w:r>
              <w:t xml:space="preserve">440058.82</w:t>
            </w:r>
          </w:p>
        </w:tc>
        <w:tc>
          <w:tcPr/>
          <w:p>
            <w:pPr>
              <w:pStyle w:val="Compact"/>
              <w:jc w:val="right"/>
            </w:pPr>
            <w:r>
              <w:t xml:space="preserve">4070305.68</w:t>
            </w:r>
          </w:p>
        </w:tc>
        <w:tc>
          <w:tcPr/>
          <w:p>
            <w:pPr>
              <w:pStyle w:val="Compact"/>
              <w:jc w:val="left"/>
            </w:pPr>
            <w:r>
              <w:t xml:space="preserve">▇▁▁▁▁</w:t>
            </w:r>
          </w:p>
        </w:tc>
      </w:tr>
      <w:tr>
        <w:tc>
          <w:tcPr/>
          <w:p>
            <w:pPr>
              <w:pStyle w:val="Compact"/>
              <w:jc w:val="left"/>
            </w:pPr>
            <w:r>
              <w:t xml:space="preserve">Other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7998.78</w:t>
            </w:r>
          </w:p>
        </w:tc>
        <w:tc>
          <w:tcPr/>
          <w:p>
            <w:pPr>
              <w:pStyle w:val="Compact"/>
              <w:jc w:val="right"/>
            </w:pPr>
            <w:r>
              <w:t xml:space="preserve">14329.64</w:t>
            </w:r>
          </w:p>
        </w:tc>
        <w:tc>
          <w:tcPr/>
          <w:p>
            <w:pPr>
              <w:pStyle w:val="Compact"/>
              <w:jc w:val="right"/>
            </w:pPr>
            <w:r>
              <w:t xml:space="preserve">194.29</w:t>
            </w:r>
          </w:p>
        </w:tc>
        <w:tc>
          <w:tcPr/>
          <w:p>
            <w:pPr>
              <w:pStyle w:val="Compact"/>
              <w:jc w:val="right"/>
            </w:pPr>
            <w:r>
              <w:t xml:space="preserve">1348.54</w:t>
            </w:r>
          </w:p>
        </w:tc>
        <w:tc>
          <w:tcPr/>
          <w:p>
            <w:pPr>
              <w:pStyle w:val="Compact"/>
              <w:jc w:val="right"/>
            </w:pPr>
            <w:r>
              <w:t xml:space="preserve">2844.33</w:t>
            </w:r>
          </w:p>
        </w:tc>
        <w:tc>
          <w:tcPr/>
          <w:p>
            <w:pPr>
              <w:pStyle w:val="Compact"/>
              <w:jc w:val="right"/>
            </w:pPr>
            <w:r>
              <w:t xml:space="preserve">8448.24</w:t>
            </w:r>
          </w:p>
        </w:tc>
        <w:tc>
          <w:tcPr/>
          <w:p>
            <w:pPr>
              <w:pStyle w:val="Compact"/>
              <w:jc w:val="right"/>
            </w:pPr>
            <w:r>
              <w:t xml:space="preserve">118796.62</w:t>
            </w:r>
          </w:p>
        </w:tc>
        <w:tc>
          <w:tcPr/>
          <w:p>
            <w:pPr>
              <w:pStyle w:val="Compact"/>
              <w:jc w:val="left"/>
            </w:pPr>
            <w:r>
              <w:t xml:space="preserve">▇▁▁▁▁</w:t>
            </w:r>
          </w:p>
        </w:tc>
      </w:tr>
      <w:tr>
        <w:tc>
          <w:tcPr/>
          <w:p>
            <w:pPr>
              <w:pStyle w:val="Compact"/>
              <w:jc w:val="left"/>
            </w:pPr>
            <w:r>
              <w:t xml:space="preserve">Waste management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87630.55</w:t>
            </w:r>
          </w:p>
        </w:tc>
        <w:tc>
          <w:tcPr/>
          <w:p>
            <w:pPr>
              <w:pStyle w:val="Compact"/>
              <w:jc w:val="right"/>
            </w:pPr>
            <w:r>
              <w:t xml:space="preserve">118715.34</w:t>
            </w:r>
          </w:p>
        </w:tc>
        <w:tc>
          <w:tcPr/>
          <w:p>
            <w:pPr>
              <w:pStyle w:val="Compact"/>
              <w:jc w:val="right"/>
            </w:pPr>
            <w:r>
              <w:t xml:space="preserve">47.04</w:t>
            </w:r>
          </w:p>
        </w:tc>
        <w:tc>
          <w:tcPr/>
          <w:p>
            <w:pPr>
              <w:pStyle w:val="Compact"/>
              <w:jc w:val="right"/>
            </w:pPr>
            <w:r>
              <w:t xml:space="preserve">21207.78</w:t>
            </w:r>
          </w:p>
        </w:tc>
        <w:tc>
          <w:tcPr/>
          <w:p>
            <w:pPr>
              <w:pStyle w:val="Compact"/>
              <w:jc w:val="right"/>
            </w:pPr>
            <w:r>
              <w:t xml:space="preserve">45799.40</w:t>
            </w:r>
          </w:p>
        </w:tc>
        <w:tc>
          <w:tcPr/>
          <w:p>
            <w:pPr>
              <w:pStyle w:val="Compact"/>
              <w:jc w:val="right"/>
            </w:pPr>
            <w:r>
              <w:t xml:space="preserve">93602.67</w:t>
            </w:r>
          </w:p>
        </w:tc>
        <w:tc>
          <w:tcPr/>
          <w:p>
            <w:pPr>
              <w:pStyle w:val="Compact"/>
              <w:jc w:val="right"/>
            </w:pPr>
            <w:r>
              <w:t xml:space="preserve">811864.78</w:t>
            </w:r>
          </w:p>
        </w:tc>
        <w:tc>
          <w:tcPr/>
          <w:p>
            <w:pPr>
              <w:pStyle w:val="Compact"/>
              <w:jc w:val="left"/>
            </w:pPr>
            <w:r>
              <w:t xml:space="preserve">▇▁▁▁▁</w:t>
            </w:r>
          </w:p>
        </w:tc>
      </w:tr>
      <w:tr>
        <w:tc>
          <w:tcPr/>
          <w:p>
            <w:pPr>
              <w:pStyle w:val="Compact"/>
              <w:jc w:val="left"/>
            </w:pPr>
            <w:r>
              <w:t xml:space="preserve">Land use, land-use change, and forestry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-21778.97</w:t>
            </w:r>
          </w:p>
        </w:tc>
        <w:tc>
          <w:tcPr/>
          <w:p>
            <w:pPr>
              <w:pStyle w:val="Compact"/>
              <w:jc w:val="right"/>
            </w:pPr>
            <w:r>
              <w:t xml:space="preserve">79199.08</w:t>
            </w:r>
          </w:p>
        </w:tc>
        <w:tc>
          <w:tcPr/>
          <w:p>
            <w:pPr>
              <w:pStyle w:val="Compact"/>
              <w:jc w:val="right"/>
            </w:pPr>
            <w:r>
              <w:t xml:space="preserve">-1114266.33</w:t>
            </w:r>
          </w:p>
        </w:tc>
        <w:tc>
          <w:tcPr/>
          <w:p>
            <w:pPr>
              <w:pStyle w:val="Compact"/>
              <w:jc w:val="right"/>
            </w:pPr>
            <w:r>
              <w:t xml:space="preserve">-22216.81</w:t>
            </w:r>
          </w:p>
        </w:tc>
        <w:tc>
          <w:tcPr/>
          <w:p>
            <w:pPr>
              <w:pStyle w:val="Compact"/>
              <w:jc w:val="right"/>
            </w:pPr>
            <w:r>
              <w:t xml:space="preserve">-5665.84</w:t>
            </w:r>
          </w:p>
        </w:tc>
        <w:tc>
          <w:tcPr/>
          <w:p>
            <w:pPr>
              <w:pStyle w:val="Compact"/>
              <w:jc w:val="right"/>
            </w:pPr>
            <w:r>
              <w:t xml:space="preserve">-1378.72</w:t>
            </w:r>
          </w:p>
        </w:tc>
        <w:tc>
          <w:tcPr/>
          <w:p>
            <w:pPr>
              <w:pStyle w:val="Compact"/>
              <w:jc w:val="right"/>
            </w:pPr>
            <w:r>
              <w:t xml:space="preserve">290789.88</w:t>
            </w:r>
          </w:p>
        </w:tc>
        <w:tc>
          <w:tcPr/>
          <w:p>
            <w:pPr>
              <w:pStyle w:val="Compact"/>
              <w:jc w:val="left"/>
            </w:pPr>
            <w:r>
              <w:t xml:space="preserve">▁▁▁▇▁</w:t>
            </w:r>
          </w:p>
        </w:tc>
      </w:tr>
    </w:tbl>
    <w:bookmarkEnd w:id="121"/>
    <w:bookmarkStart w:id="123" w:name="skimCSEcons"/>
    <w:p>
      <w:pPr>
        <w:pStyle w:val="Heading2"/>
      </w:pPr>
      <w:r>
        <w:rPr>
          <w:rStyle w:val="SectionNumber"/>
        </w:rPr>
        <w:t xml:space="preserve">10.3</w:t>
      </w:r>
      <w:r>
        <w:tab/>
      </w:r>
      <w:r>
        <w:t xml:space="preserve">Data details: CSE consumption</w:t>
      </w:r>
    </w:p>
    <w:p>
      <w:pPr>
        <w:pStyle w:val="FirstParagraph"/>
      </w:pPr>
      <w:r>
        <w:t xml:space="preserve">Original data (all districts)</w:t>
      </w:r>
    </w:p>
    <w:p>
      <w:pPr>
        <w:pStyle w:val="TableCaption"/>
      </w:pPr>
      <w:bookmarkStart w:id="122" w:name="tab:skimCSEcons"/>
      <w:bookmarkEnd w:id="122"/>
      <w:r>
        <w:t xml:space="preserve">Table 10.3: Data summary</w:t>
      </w:r>
    </w:p>
    <w:tbl>
      <w:tblPr>
        <w:tblStyle w:val="Table"/>
        <w:tblW w:type="auto" w:w="0"/>
        <w:tblLook w:firstRow="0" w:lastRow="0" w:firstColumn="0" w:lastColumn="0" w:noHBand="0" w:noVBand="0" w:val="0000"/>
        <w:jc w:val="start"/>
        <w:tblCaption w:val="Table 10.3: Data summary"/>
      </w:tblPr>
      <w:tblGrid>
        <w:gridCol w:w="3960"/>
        <w:gridCol w:w="3960"/>
      </w:tblGrid>
      <w:tr>
        <w:tc>
          <w:tcPr/>
          <w:p>
            <w:pPr>
              <w:pStyle w:val="Compact"/>
              <w:jc w:val="left"/>
            </w:pPr>
            <w:r>
              <w:t xml:space="preserve">Name</w:t>
            </w:r>
          </w:p>
        </w:tc>
        <w:tc>
          <w:tcPr/>
          <w:p>
            <w:pPr>
              <w:pStyle w:val="Compact"/>
              <w:jc w:val="left"/>
            </w:pPr>
            <w:r>
              <w:t xml:space="preserve">cse_cons_orig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15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3564"/>
        <w:gridCol w:w="440"/>
        <w:gridCol w:w="616"/>
        <w:gridCol w:w="440"/>
        <w:gridCol w:w="440"/>
        <w:gridCol w:w="352"/>
        <w:gridCol w:w="440"/>
        <w:gridCol w:w="440"/>
        <w:gridCol w:w="440"/>
        <w:gridCol w:w="484"/>
        <w:gridCol w:w="26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Consumption of goods and services - Purchase of goods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268862.96</w:t>
            </w:r>
          </w:p>
        </w:tc>
        <w:tc>
          <w:tcPr/>
          <w:p>
            <w:pPr>
              <w:pStyle w:val="Compact"/>
              <w:jc w:val="right"/>
            </w:pPr>
            <w:r>
              <w:t xml:space="preserve">254028.37</w:t>
            </w:r>
          </w:p>
        </w:tc>
        <w:tc>
          <w:tcPr/>
          <w:p>
            <w:pPr>
              <w:pStyle w:val="Compact"/>
              <w:jc w:val="right"/>
            </w:pPr>
            <w:r>
              <w:t xml:space="preserve">3253.64</w:t>
            </w:r>
          </w:p>
        </w:tc>
        <w:tc>
          <w:tcPr/>
          <w:p>
            <w:pPr>
              <w:pStyle w:val="Compact"/>
              <w:jc w:val="right"/>
            </w:pPr>
            <w:r>
              <w:t xml:space="preserve">137135.19</w:t>
            </w:r>
          </w:p>
        </w:tc>
        <w:tc>
          <w:tcPr/>
          <w:p>
            <w:pPr>
              <w:pStyle w:val="Compact"/>
              <w:jc w:val="right"/>
            </w:pPr>
            <w:r>
              <w:t xml:space="preserve">187813.51</w:t>
            </w:r>
          </w:p>
        </w:tc>
        <w:tc>
          <w:tcPr/>
          <w:p>
            <w:pPr>
              <w:pStyle w:val="Compact"/>
              <w:jc w:val="right"/>
            </w:pPr>
            <w:r>
              <w:t xml:space="preserve">297865.53</w:t>
            </w:r>
          </w:p>
        </w:tc>
        <w:tc>
          <w:tcPr/>
          <w:p>
            <w:pPr>
              <w:pStyle w:val="Compact"/>
              <w:jc w:val="right"/>
            </w:pPr>
            <w:r>
              <w:t xml:space="preserve">2009457.74</w:t>
            </w:r>
          </w:p>
        </w:tc>
        <w:tc>
          <w:tcPr/>
          <w:p>
            <w:pPr>
              <w:pStyle w:val="Compact"/>
              <w:jc w:val="left"/>
            </w:pPr>
            <w:r>
              <w:t xml:space="preserve">▇▁▁▁▁</w:t>
            </w:r>
          </w:p>
        </w:tc>
      </w:tr>
      <w:tr>
        <w:tc>
          <w:tcPr/>
          <w:p>
            <w:pPr>
              <w:pStyle w:val="Compact"/>
              <w:jc w:val="left"/>
            </w:pPr>
            <w:r>
              <w:t xml:space="preserve">Consumption of goods and services - Use of services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122686.78</w:t>
            </w:r>
          </w:p>
        </w:tc>
        <w:tc>
          <w:tcPr/>
          <w:p>
            <w:pPr>
              <w:pStyle w:val="Compact"/>
              <w:jc w:val="right"/>
            </w:pPr>
            <w:r>
              <w:t xml:space="preserve">115963.99</w:t>
            </w:r>
          </w:p>
        </w:tc>
        <w:tc>
          <w:tcPr/>
          <w:p>
            <w:pPr>
              <w:pStyle w:val="Compact"/>
              <w:jc w:val="right"/>
            </w:pPr>
            <w:r>
              <w:t xml:space="preserve">1703.23</w:t>
            </w:r>
          </w:p>
        </w:tc>
        <w:tc>
          <w:tcPr/>
          <w:p>
            <w:pPr>
              <w:pStyle w:val="Compact"/>
              <w:jc w:val="right"/>
            </w:pPr>
            <w:r>
              <w:t xml:space="preserve">62807.03</w:t>
            </w:r>
          </w:p>
        </w:tc>
        <w:tc>
          <w:tcPr/>
          <w:p>
            <w:pPr>
              <w:pStyle w:val="Compact"/>
              <w:jc w:val="right"/>
            </w:pPr>
            <w:r>
              <w:t xml:space="preserve">83275.82</w:t>
            </w:r>
          </w:p>
        </w:tc>
        <w:tc>
          <w:tcPr/>
          <w:p>
            <w:pPr>
              <w:pStyle w:val="Compact"/>
              <w:jc w:val="right"/>
            </w:pPr>
            <w:r>
              <w:t xml:space="preserve">138173.10</w:t>
            </w:r>
          </w:p>
        </w:tc>
        <w:tc>
          <w:tcPr/>
          <w:p>
            <w:pPr>
              <w:pStyle w:val="Compact"/>
              <w:jc w:val="right"/>
            </w:pPr>
            <w:r>
              <w:t xml:space="preserve">916269.26</w:t>
            </w:r>
          </w:p>
        </w:tc>
        <w:tc>
          <w:tcPr/>
          <w:p>
            <w:pPr>
              <w:pStyle w:val="Compact"/>
              <w:jc w:val="left"/>
            </w:pPr>
            <w:r>
              <w:t xml:space="preserve">▇▁▁▁▁</w:t>
            </w:r>
          </w:p>
        </w:tc>
      </w:tr>
      <w:tr>
        <w:tc>
          <w:tcPr/>
          <w:p>
            <w:pPr>
              <w:pStyle w:val="Compact"/>
              <w:jc w:val="left"/>
            </w:pPr>
            <w:r>
              <w:t xml:space="preserve">Consumption of goods and services - Other consumption 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103039.49</w:t>
            </w:r>
          </w:p>
        </w:tc>
        <w:tc>
          <w:tcPr/>
          <w:p>
            <w:pPr>
              <w:pStyle w:val="Compact"/>
              <w:jc w:val="right"/>
            </w:pPr>
            <w:r>
              <w:t xml:space="preserve">98010.77</w:t>
            </w:r>
          </w:p>
        </w:tc>
        <w:tc>
          <w:tcPr/>
          <w:p>
            <w:pPr>
              <w:pStyle w:val="Compact"/>
              <w:jc w:val="right"/>
            </w:pPr>
            <w:r>
              <w:t xml:space="preserve">680.97</w:t>
            </w:r>
          </w:p>
        </w:tc>
        <w:tc>
          <w:tcPr/>
          <w:p>
            <w:pPr>
              <w:pStyle w:val="Compact"/>
              <w:jc w:val="right"/>
            </w:pPr>
            <w:r>
              <w:t xml:space="preserve">53703.24</w:t>
            </w:r>
          </w:p>
        </w:tc>
        <w:tc>
          <w:tcPr/>
          <w:p>
            <w:pPr>
              <w:pStyle w:val="Compact"/>
              <w:jc w:val="right"/>
            </w:pPr>
            <w:r>
              <w:t xml:space="preserve">72993.60</w:t>
            </w:r>
          </w:p>
        </w:tc>
        <w:tc>
          <w:tcPr/>
          <w:p>
            <w:pPr>
              <w:pStyle w:val="Compact"/>
              <w:jc w:val="right"/>
            </w:pPr>
            <w:r>
              <w:t xml:space="preserve">112484.27</w:t>
            </w:r>
          </w:p>
        </w:tc>
        <w:tc>
          <w:tcPr/>
          <w:p>
            <w:pPr>
              <w:pStyle w:val="Compact"/>
              <w:jc w:val="right"/>
            </w:pPr>
            <w:r>
              <w:t xml:space="preserve">786593.11</w:t>
            </w:r>
          </w:p>
        </w:tc>
        <w:tc>
          <w:tcPr/>
          <w:p>
            <w:pPr>
              <w:pStyle w:val="Compact"/>
              <w:jc w:val="left"/>
            </w:pPr>
            <w:r>
              <w:t xml:space="preserve">▇▁▁▁▁</w:t>
            </w:r>
          </w:p>
        </w:tc>
      </w:tr>
      <w:tr>
        <w:tc>
          <w:tcPr/>
          <w:p>
            <w:pPr>
              <w:pStyle w:val="Compact"/>
              <w:jc w:val="left"/>
            </w:pPr>
            <w:r>
              <w:t xml:space="preserve">Food and diet - Meat and fish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180030.07</w:t>
            </w:r>
          </w:p>
        </w:tc>
        <w:tc>
          <w:tcPr/>
          <w:p>
            <w:pPr>
              <w:pStyle w:val="Compact"/>
              <w:jc w:val="right"/>
            </w:pPr>
            <w:r>
              <w:t xml:space="preserve">169391.00</w:t>
            </w:r>
          </w:p>
        </w:tc>
        <w:tc>
          <w:tcPr/>
          <w:p>
            <w:pPr>
              <w:pStyle w:val="Compact"/>
              <w:jc w:val="right"/>
            </w:pPr>
            <w:r>
              <w:t xml:space="preserve">2258.79</w:t>
            </w:r>
          </w:p>
        </w:tc>
        <w:tc>
          <w:tcPr/>
          <w:p>
            <w:pPr>
              <w:pStyle w:val="Compact"/>
              <w:jc w:val="right"/>
            </w:pPr>
            <w:r>
              <w:t xml:space="preserve">89337.21</w:t>
            </w:r>
          </w:p>
        </w:tc>
        <w:tc>
          <w:tcPr/>
          <w:p>
            <w:pPr>
              <w:pStyle w:val="Compact"/>
              <w:jc w:val="right"/>
            </w:pPr>
            <w:r>
              <w:t xml:space="preserve">123557.75</w:t>
            </w:r>
          </w:p>
        </w:tc>
        <w:tc>
          <w:tcPr/>
          <w:p>
            <w:pPr>
              <w:pStyle w:val="Compact"/>
              <w:jc w:val="right"/>
            </w:pPr>
            <w:r>
              <w:t xml:space="preserve">206969.04</w:t>
            </w:r>
          </w:p>
        </w:tc>
        <w:tc>
          <w:tcPr/>
          <w:p>
            <w:pPr>
              <w:pStyle w:val="Compact"/>
              <w:jc w:val="right"/>
            </w:pPr>
            <w:r>
              <w:t xml:space="preserve">1335364.18</w:t>
            </w:r>
          </w:p>
        </w:tc>
        <w:tc>
          <w:tcPr/>
          <w:p>
            <w:pPr>
              <w:pStyle w:val="Compact"/>
              <w:jc w:val="left"/>
            </w:pPr>
            <w:r>
              <w:t xml:space="preserve">▇▁▁▁▁</w:t>
            </w:r>
          </w:p>
        </w:tc>
      </w:tr>
      <w:tr>
        <w:tc>
          <w:tcPr/>
          <w:p>
            <w:pPr>
              <w:pStyle w:val="Compact"/>
              <w:jc w:val="left"/>
            </w:pPr>
            <w:r>
              <w:t xml:space="preserve">Food and diet - Other food and drink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146601.40</w:t>
            </w:r>
          </w:p>
        </w:tc>
        <w:tc>
          <w:tcPr/>
          <w:p>
            <w:pPr>
              <w:pStyle w:val="Compact"/>
              <w:jc w:val="right"/>
            </w:pPr>
            <w:r>
              <w:t xml:space="preserve">138141.41</w:t>
            </w:r>
          </w:p>
        </w:tc>
        <w:tc>
          <w:tcPr/>
          <w:p>
            <w:pPr>
              <w:pStyle w:val="Compact"/>
              <w:jc w:val="right"/>
            </w:pPr>
            <w:r>
              <w:t xml:space="preserve">1707.71</w:t>
            </w:r>
          </w:p>
        </w:tc>
        <w:tc>
          <w:tcPr/>
          <w:p>
            <w:pPr>
              <w:pStyle w:val="Compact"/>
              <w:jc w:val="right"/>
            </w:pPr>
            <w:r>
              <w:t xml:space="preserve">73927.36</w:t>
            </w:r>
          </w:p>
        </w:tc>
        <w:tc>
          <w:tcPr/>
          <w:p>
            <w:pPr>
              <w:pStyle w:val="Compact"/>
              <w:jc w:val="right"/>
            </w:pPr>
            <w:r>
              <w:t xml:space="preserve">101001.71</w:t>
            </w:r>
          </w:p>
        </w:tc>
        <w:tc>
          <w:tcPr/>
          <w:p>
            <w:pPr>
              <w:pStyle w:val="Compact"/>
              <w:jc w:val="right"/>
            </w:pPr>
            <w:r>
              <w:t xml:space="preserve">166610.40</w:t>
            </w:r>
          </w:p>
        </w:tc>
        <w:tc>
          <w:tcPr/>
          <w:p>
            <w:pPr>
              <w:pStyle w:val="Compact"/>
              <w:jc w:val="right"/>
            </w:pPr>
            <w:r>
              <w:t xml:space="preserve">1093305.47</w:t>
            </w:r>
          </w:p>
        </w:tc>
        <w:tc>
          <w:tcPr/>
          <w:p>
            <w:pPr>
              <w:pStyle w:val="Compact"/>
              <w:jc w:val="left"/>
            </w:pPr>
            <w:r>
              <w:t xml:space="preserve">▇▁▁▁▁</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Travel - Flights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99293.70</w:t>
            </w:r>
          </w:p>
        </w:tc>
        <w:tc>
          <w:tcPr/>
          <w:p>
            <w:pPr>
              <w:pStyle w:val="Compact"/>
              <w:jc w:val="right"/>
            </w:pPr>
            <w:r>
              <w:t xml:space="preserve">97880.76</w:t>
            </w:r>
          </w:p>
        </w:tc>
        <w:tc>
          <w:tcPr/>
          <w:p>
            <w:pPr>
              <w:pStyle w:val="Compact"/>
              <w:jc w:val="right"/>
            </w:pPr>
            <w:r>
              <w:t xml:space="preserve">1263.94</w:t>
            </w:r>
          </w:p>
        </w:tc>
        <w:tc>
          <w:tcPr/>
          <w:p>
            <w:pPr>
              <w:pStyle w:val="Compact"/>
              <w:jc w:val="right"/>
            </w:pPr>
            <w:r>
              <w:t xml:space="preserve">49836.38</w:t>
            </w:r>
          </w:p>
        </w:tc>
        <w:tc>
          <w:tcPr/>
          <w:p>
            <w:pPr>
              <w:pStyle w:val="Compact"/>
              <w:jc w:val="right"/>
            </w:pPr>
            <w:r>
              <w:t xml:space="preserve">70791.32</w:t>
            </w:r>
          </w:p>
        </w:tc>
        <w:tc>
          <w:tcPr/>
          <w:p>
            <w:pPr>
              <w:pStyle w:val="Compact"/>
              <w:jc w:val="right"/>
            </w:pPr>
            <w:r>
              <w:t xml:space="preserve">104950.66</w:t>
            </w:r>
          </w:p>
        </w:tc>
        <w:tc>
          <w:tcPr/>
          <w:p>
            <w:pPr>
              <w:pStyle w:val="Compact"/>
              <w:jc w:val="right"/>
            </w:pPr>
            <w:r>
              <w:t xml:space="preserve">755526.40</w:t>
            </w:r>
          </w:p>
        </w:tc>
        <w:tc>
          <w:tcPr/>
          <w:p>
            <w:pPr>
              <w:pStyle w:val="Compact"/>
              <w:jc w:val="left"/>
            </w:pPr>
            <w:r>
              <w:t xml:space="preserve">▇▁▁▁▁</w:t>
            </w:r>
          </w:p>
        </w:tc>
      </w:tr>
      <w:tr>
        <w:tc>
          <w:tcPr/>
          <w:p>
            <w:pPr>
              <w:pStyle w:val="Compact"/>
              <w:jc w:val="left"/>
            </w:pPr>
            <w:r>
              <w:t xml:space="preserve">Travel - Public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42579.54</w:t>
            </w:r>
          </w:p>
        </w:tc>
        <w:tc>
          <w:tcPr/>
          <w:p>
            <w:pPr>
              <w:pStyle w:val="Compact"/>
              <w:jc w:val="right"/>
            </w:pPr>
            <w:r>
              <w:t xml:space="preserve">40346.20</w:t>
            </w:r>
          </w:p>
        </w:tc>
        <w:tc>
          <w:tcPr/>
          <w:p>
            <w:pPr>
              <w:pStyle w:val="Compact"/>
              <w:jc w:val="right"/>
            </w:pPr>
            <w:r>
              <w:t xml:space="preserve">650.93</w:t>
            </w:r>
          </w:p>
        </w:tc>
        <w:tc>
          <w:tcPr/>
          <w:p>
            <w:pPr>
              <w:pStyle w:val="Compact"/>
              <w:jc w:val="right"/>
            </w:pPr>
            <w:r>
              <w:t xml:space="preserve">21713.78</w:t>
            </w:r>
          </w:p>
        </w:tc>
        <w:tc>
          <w:tcPr/>
          <w:p>
            <w:pPr>
              <w:pStyle w:val="Compact"/>
              <w:jc w:val="right"/>
            </w:pPr>
            <w:r>
              <w:t xml:space="preserve">29766.72</w:t>
            </w:r>
          </w:p>
        </w:tc>
        <w:tc>
          <w:tcPr/>
          <w:p>
            <w:pPr>
              <w:pStyle w:val="Compact"/>
              <w:jc w:val="right"/>
            </w:pPr>
            <w:r>
              <w:t xml:space="preserve">46779.59</w:t>
            </w:r>
          </w:p>
        </w:tc>
        <w:tc>
          <w:tcPr/>
          <w:p>
            <w:pPr>
              <w:pStyle w:val="Compact"/>
              <w:jc w:val="right"/>
            </w:pPr>
            <w:r>
              <w:t xml:space="preserve">316474.05</w:t>
            </w:r>
          </w:p>
        </w:tc>
        <w:tc>
          <w:tcPr/>
          <w:p>
            <w:pPr>
              <w:pStyle w:val="Compact"/>
              <w:jc w:val="left"/>
            </w:pPr>
            <w:r>
              <w:t xml:space="preserve">▇▁▁▁▁</w:t>
            </w:r>
          </w:p>
        </w:tc>
      </w:tr>
      <w:tr>
        <w:tc>
          <w:tcPr/>
          <w:p>
            <w:pPr>
              <w:pStyle w:val="Compact"/>
              <w:jc w:val="left"/>
            </w:pPr>
            <w:r>
              <w:t xml:space="preserve">Travel - Private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145632.98</w:t>
            </w:r>
          </w:p>
        </w:tc>
        <w:tc>
          <w:tcPr/>
          <w:p>
            <w:pPr>
              <w:pStyle w:val="Compact"/>
              <w:jc w:val="right"/>
            </w:pPr>
            <w:r>
              <w:t xml:space="preserve">140132.03</w:t>
            </w:r>
          </w:p>
        </w:tc>
        <w:tc>
          <w:tcPr/>
          <w:p>
            <w:pPr>
              <w:pStyle w:val="Compact"/>
              <w:jc w:val="right"/>
            </w:pPr>
            <w:r>
              <w:t xml:space="preserve">2106.17</w:t>
            </w:r>
          </w:p>
        </w:tc>
        <w:tc>
          <w:tcPr/>
          <w:p>
            <w:pPr>
              <w:pStyle w:val="Compact"/>
              <w:jc w:val="right"/>
            </w:pPr>
            <w:r>
              <w:t xml:space="preserve">75665.79</w:t>
            </w:r>
          </w:p>
        </w:tc>
        <w:tc>
          <w:tcPr/>
          <w:p>
            <w:pPr>
              <w:pStyle w:val="Compact"/>
              <w:jc w:val="right"/>
            </w:pPr>
            <w:r>
              <w:t xml:space="preserve">105668.52</w:t>
            </w:r>
          </w:p>
        </w:tc>
        <w:tc>
          <w:tcPr/>
          <w:p>
            <w:pPr>
              <w:pStyle w:val="Compact"/>
              <w:jc w:val="right"/>
            </w:pPr>
            <w:r>
              <w:t xml:space="preserve">151288.59</w:t>
            </w:r>
          </w:p>
        </w:tc>
        <w:tc>
          <w:tcPr/>
          <w:p>
            <w:pPr>
              <w:pStyle w:val="Compact"/>
              <w:jc w:val="right"/>
            </w:pPr>
            <w:r>
              <w:t xml:space="preserve">1113486.12</w:t>
            </w:r>
          </w:p>
        </w:tc>
        <w:tc>
          <w:tcPr/>
          <w:p>
            <w:pPr>
              <w:pStyle w:val="Compact"/>
              <w:jc w:val="left"/>
            </w:pPr>
            <w:r>
              <w:t xml:space="preserve">▇▁▁▁▁</w:t>
            </w:r>
          </w:p>
        </w:tc>
      </w:tr>
      <w:tr>
        <w:tc>
          <w:tcPr/>
          <w:p>
            <w:pPr>
              <w:pStyle w:val="Compact"/>
              <w:jc w:val="left"/>
            </w:pPr>
            <w:r>
              <w:t xml:space="preserve">Waste - Waste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6970.62</w:t>
            </w:r>
          </w:p>
        </w:tc>
        <w:tc>
          <w:tcPr/>
          <w:p>
            <w:pPr>
              <w:pStyle w:val="Compact"/>
              <w:jc w:val="right"/>
            </w:pPr>
            <w:r>
              <w:t xml:space="preserve">9644.02</w:t>
            </w:r>
          </w:p>
        </w:tc>
        <w:tc>
          <w:tcPr/>
          <w:p>
            <w:pPr>
              <w:pStyle w:val="Compact"/>
              <w:jc w:val="right"/>
            </w:pPr>
            <w:r>
              <w:t xml:space="preserve">98.62</w:t>
            </w:r>
          </w:p>
        </w:tc>
        <w:tc>
          <w:tcPr/>
          <w:p>
            <w:pPr>
              <w:pStyle w:val="Compact"/>
              <w:jc w:val="right"/>
            </w:pPr>
            <w:r>
              <w:t xml:space="preserve">2610.51</w:t>
            </w:r>
          </w:p>
        </w:tc>
        <w:tc>
          <w:tcPr/>
          <w:p>
            <w:pPr>
              <w:pStyle w:val="Compact"/>
              <w:jc w:val="right"/>
            </w:pPr>
            <w:r>
              <w:t xml:space="preserve">4438.13</w:t>
            </w:r>
          </w:p>
        </w:tc>
        <w:tc>
          <w:tcPr/>
          <w:p>
            <w:pPr>
              <w:pStyle w:val="Compact"/>
              <w:jc w:val="right"/>
            </w:pPr>
            <w:r>
              <w:t xml:space="preserve">8138.54</w:t>
            </w:r>
          </w:p>
        </w:tc>
        <w:tc>
          <w:tcPr/>
          <w:p>
            <w:pPr>
              <w:pStyle w:val="Compact"/>
              <w:jc w:val="right"/>
            </w:pPr>
            <w:r>
              <w:t xml:space="preserve">107477.57</w:t>
            </w:r>
          </w:p>
        </w:tc>
        <w:tc>
          <w:tcPr/>
          <w:p>
            <w:pPr>
              <w:pStyle w:val="Compact"/>
              <w:jc w:val="left"/>
            </w:pPr>
            <w:r>
              <w:t xml:space="preserve">▇▁▁▁▁</w:t>
            </w:r>
          </w:p>
        </w:tc>
      </w:tr>
    </w:tbl>
    <w:bookmarkEnd w:id="123"/>
    <w:bookmarkEnd w:id="124"/>
    <w:bookmarkStart w:id="128" w:name="appendix-r-environment"/>
    <w:p>
      <w:pPr>
        <w:pStyle w:val="Heading1"/>
      </w:pPr>
      <w:r>
        <w:rPr>
          <w:rStyle w:val="SectionNumber"/>
        </w:rPr>
        <w:t xml:space="preserve">11</w:t>
      </w:r>
      <w:r>
        <w:tab/>
      </w:r>
      <w:r>
        <w:t xml:space="preserve">Appendix: R environment</w:t>
      </w:r>
    </w:p>
    <w:p>
      <w:pPr>
        <w:pStyle w:val="FirstParagraph"/>
      </w:pPr>
      <w:r>
        <w:t xml:space="preserve">Analysis completed in 29.02 seconds ( 0.48 minutes) using</w:t>
      </w:r>
      <w:r>
        <w:t xml:space="preserve"> </w:t>
      </w:r>
      <w:hyperlink r:id="rId125">
        <w:r>
          <w:rPr>
            <w:rStyle w:val="Hyperlink"/>
          </w:rPr>
          <w:t xml:space="preserve">knitr</w:t>
        </w:r>
      </w:hyperlink>
      <w:r>
        <w:t xml:space="preserve"> </w:t>
      </w:r>
      <w:r>
        <w:t xml:space="preserve">in</w:t>
      </w:r>
      <w:r>
        <w:t xml:space="preserve"> </w:t>
      </w:r>
      <w:hyperlink r:id="rId126">
        <w:r>
          <w:rPr>
            <w:rStyle w:val="Hyperlink"/>
          </w:rPr>
          <w:t xml:space="preserve">RStudio</w:t>
        </w:r>
      </w:hyperlink>
      <w:r>
        <w:t xml:space="preserve"> </w:t>
      </w:r>
      <w:r>
        <w:t xml:space="preserve">with R version 4.3.1 (2023-06-16) running on x86_64-apple-darwin20.</w:t>
      </w:r>
    </w:p>
    <w:bookmarkStart w:id="127" w:name="r-packages-used"/>
    <w:p>
      <w:pPr>
        <w:pStyle w:val="Heading2"/>
      </w:pPr>
      <w:r>
        <w:rPr>
          <w:rStyle w:val="SectionNumber"/>
        </w:rPr>
        <w:t xml:space="preserve">11.1</w:t>
      </w:r>
      <w:r>
        <w:tab/>
      </w:r>
      <w:r>
        <w:t xml:space="preserve">R packages used</w:t>
      </w:r>
    </w:p>
    <w:p>
      <w:pPr>
        <w:numPr>
          <w:ilvl w:val="0"/>
          <w:numId w:val="1019"/>
        </w:numPr>
        <w:pStyle w:val="Compact"/>
      </w:pPr>
      <w:r>
        <w:t xml:space="preserve">base R</w:t>
      </w:r>
      <w:r>
        <w:t xml:space="preserve"> </w:t>
      </w:r>
      <w:r>
        <w:t xml:space="preserve">(R Core Team 2016)</w:t>
      </w:r>
    </w:p>
    <w:p>
      <w:pPr>
        <w:numPr>
          <w:ilvl w:val="0"/>
          <w:numId w:val="1019"/>
        </w:numPr>
        <w:pStyle w:val="Compact"/>
      </w:pPr>
      <w:r>
        <w:t xml:space="preserve">bookdown</w:t>
      </w:r>
      <w:r>
        <w:t xml:space="preserve"> </w:t>
      </w:r>
      <w:r>
        <w:t xml:space="preserve">(Xie 2016a)</w:t>
      </w:r>
    </w:p>
    <w:p>
      <w:pPr>
        <w:numPr>
          <w:ilvl w:val="0"/>
          <w:numId w:val="1019"/>
        </w:numPr>
        <w:pStyle w:val="Compact"/>
      </w:pPr>
      <w:r>
        <w:t xml:space="preserve">data.table</w:t>
      </w:r>
      <w:r>
        <w:t xml:space="preserve"> </w:t>
      </w:r>
      <w:r>
        <w:t xml:space="preserve">(Dowle et al. 2015)</w:t>
      </w:r>
    </w:p>
    <w:p>
      <w:pPr>
        <w:numPr>
          <w:ilvl w:val="0"/>
          <w:numId w:val="1019"/>
        </w:numPr>
        <w:pStyle w:val="Compact"/>
      </w:pPr>
      <w:r>
        <w:t xml:space="preserve">flextable</w:t>
      </w:r>
      <w:r>
        <w:t xml:space="preserve"> </w:t>
      </w:r>
      <w:r>
        <w:t xml:space="preserve">(Gohel 2021)</w:t>
      </w:r>
    </w:p>
    <w:p>
      <w:pPr>
        <w:numPr>
          <w:ilvl w:val="0"/>
          <w:numId w:val="1019"/>
        </w:numPr>
        <w:pStyle w:val="Compact"/>
      </w:pPr>
      <w:r>
        <w:t xml:space="preserve">knitr</w:t>
      </w:r>
      <w:r>
        <w:t xml:space="preserve"> </w:t>
      </w:r>
      <w:r>
        <w:t xml:space="preserve">(Xie 2016b)</w:t>
      </w:r>
    </w:p>
    <w:p>
      <w:pPr>
        <w:numPr>
          <w:ilvl w:val="0"/>
          <w:numId w:val="1019"/>
        </w:numPr>
        <w:pStyle w:val="Compact"/>
      </w:pPr>
      <w:r>
        <w:t xml:space="preserve">rmarkdown</w:t>
      </w:r>
      <w:r>
        <w:t xml:space="preserve"> </w:t>
      </w:r>
      <w:r>
        <w:t xml:space="preserve">(Allaire et al. 2018)</w:t>
      </w:r>
    </w:p>
    <w:p>
      <w:pPr>
        <w:numPr>
          <w:ilvl w:val="0"/>
          <w:numId w:val="1019"/>
        </w:numPr>
        <w:pStyle w:val="Compact"/>
      </w:pPr>
      <w:r>
        <w:t xml:space="preserve">skimr [skimr]</w:t>
      </w:r>
    </w:p>
    <w:bookmarkEnd w:id="127"/>
    <w:bookmarkEnd w:id="128"/>
    <w:bookmarkStart w:id="142" w:name="appendix-references"/>
    <w:p>
      <w:pPr>
        <w:pStyle w:val="Heading1"/>
      </w:pPr>
      <w:r>
        <w:t xml:space="preserve">Appendix: References</w:t>
      </w:r>
    </w:p>
    <w:bookmarkStart w:id="141" w:name="refs"/>
    <w:bookmarkStart w:id="130" w:name="ref-rmarkdown"/>
    <w:p>
      <w:pPr>
        <w:pStyle w:val="Bibliography"/>
      </w:pPr>
      <w:r>
        <w:t xml:space="preserve">Allaire, JJ, Yihui Xie, Jonathan McPherson, Javier Luraschi, Kevin Ushey, Aron Atkins, Hadley Wickham, Joe Cheng, and Winston Chang. 2018.</w:t>
      </w:r>
      <w:r>
        <w:t xml:space="preserve"> </w:t>
      </w:r>
      <w:r>
        <w:rPr>
          <w:iCs/>
          <w:i/>
        </w:rPr>
        <w:t xml:space="preserve">Rmarkdown: Dynamic Documents for r</w:t>
      </w:r>
      <w:r>
        <w:t xml:space="preserve">.</w:t>
      </w:r>
      <w:r>
        <w:t xml:space="preserve"> </w:t>
      </w:r>
      <w:hyperlink r:id="rId129">
        <w:r>
          <w:rPr>
            <w:rStyle w:val="Hyperlink"/>
          </w:rPr>
          <w:t xml:space="preserve">https://CRAN.R-project.org/package=rmarkdown</w:t>
        </w:r>
      </w:hyperlink>
      <w:r>
        <w:t xml:space="preserve">.</w:t>
      </w:r>
    </w:p>
    <w:bookmarkEnd w:id="130"/>
    <w:bookmarkStart w:id="132" w:name="ref-data.table"/>
    <w:p>
      <w:pPr>
        <w:pStyle w:val="Bibliography"/>
      </w:pPr>
      <w:r>
        <w:t xml:space="preserve">Dowle, M, A Srinivasan, T Short, S Lianoglou with contributions from R Saporta, and E Antonyan. 2015.</w:t>
      </w:r>
      <w:r>
        <w:t xml:space="preserve"> </w:t>
      </w:r>
      <w:r>
        <w:rPr>
          <w:iCs/>
          <w:i/>
        </w:rPr>
        <w:t xml:space="preserve">Data.table: Extension of Data.frame</w:t>
      </w:r>
      <w:r>
        <w:t xml:space="preserve">.</w:t>
      </w:r>
      <w:r>
        <w:t xml:space="preserve"> </w:t>
      </w:r>
      <w:hyperlink r:id="rId131">
        <w:r>
          <w:rPr>
            <w:rStyle w:val="Hyperlink"/>
          </w:rPr>
          <w:t xml:space="preserve">https://CRAN.R-project.org/package=data.table</w:t>
        </w:r>
      </w:hyperlink>
      <w:r>
        <w:t xml:space="preserve">.</w:t>
      </w:r>
    </w:p>
    <w:bookmarkEnd w:id="132"/>
    <w:bookmarkStart w:id="134" w:name="ref-flextable"/>
    <w:p>
      <w:pPr>
        <w:pStyle w:val="Bibliography"/>
      </w:pPr>
      <w:r>
        <w:t xml:space="preserve">Gohel, David. 2021.</w:t>
      </w:r>
      <w:r>
        <w:t xml:space="preserve"> </w:t>
      </w:r>
      <w:r>
        <w:rPr>
          <w:iCs/>
          <w:i/>
        </w:rPr>
        <w:t xml:space="preserve">Flextable: Functions for Tabular Reporting</w:t>
      </w:r>
      <w:r>
        <w:t xml:space="preserve">.</w:t>
      </w:r>
      <w:r>
        <w:t xml:space="preserve"> </w:t>
      </w:r>
      <w:hyperlink r:id="rId133">
        <w:r>
          <w:rPr>
            <w:rStyle w:val="Hyperlink"/>
          </w:rPr>
          <w:t xml:space="preserve">https://CRAN.R-project.org/package=flextable</w:t>
        </w:r>
      </w:hyperlink>
      <w:r>
        <w:t xml:space="preserve">.</w:t>
      </w:r>
    </w:p>
    <w:bookmarkEnd w:id="134"/>
    <w:bookmarkStart w:id="136" w:name="ref-baseR"/>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135">
        <w:r>
          <w:rPr>
            <w:rStyle w:val="Hyperlink"/>
          </w:rPr>
          <w:t xml:space="preserve">https://www.R-project.org/</w:t>
        </w:r>
      </w:hyperlink>
      <w:r>
        <w:t xml:space="preserve">.</w:t>
      </w:r>
    </w:p>
    <w:bookmarkEnd w:id="136"/>
    <w:bookmarkStart w:id="138" w:name="ref-bookdown"/>
    <w:p>
      <w:pPr>
        <w:pStyle w:val="Bibliography"/>
      </w:pPr>
      <w:r>
        <w:t xml:space="preserve">Xie, Yihui. 2016a.</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Boca Raton, Florida: Chapman; Hall/CRC.</w:t>
      </w:r>
      <w:r>
        <w:t xml:space="preserve"> </w:t>
      </w:r>
      <w:hyperlink r:id="rId137">
        <w:r>
          <w:rPr>
            <w:rStyle w:val="Hyperlink"/>
          </w:rPr>
          <w:t xml:space="preserve">https://github.com/rstudio/bookdown</w:t>
        </w:r>
      </w:hyperlink>
      <w:r>
        <w:t xml:space="preserve">.</w:t>
      </w:r>
    </w:p>
    <w:bookmarkEnd w:id="138"/>
    <w:bookmarkStart w:id="140" w:name="ref-knitr"/>
    <w:p>
      <w:pPr>
        <w:pStyle w:val="Bibliography"/>
      </w:pPr>
      <w:r>
        <w:t xml:space="preserve">———. 2016b.</w:t>
      </w:r>
      <w:r>
        <w:t xml:space="preserve"> </w:t>
      </w:r>
      <w:r>
        <w:rPr>
          <w:iCs/>
          <w:i/>
        </w:rPr>
        <w:t xml:space="preserve">Knitr: A General-Purpose Package for Dynamic Report Generation in r</w:t>
      </w:r>
      <w:r>
        <w:t xml:space="preserve">.</w:t>
      </w:r>
      <w:r>
        <w:t xml:space="preserve"> </w:t>
      </w:r>
      <w:hyperlink r:id="rId139">
        <w:r>
          <w:rPr>
            <w:rStyle w:val="Hyperlink"/>
          </w:rPr>
          <w:t xml:space="preserve">https://CRAN.R-project.org/package=knitr</w:t>
        </w:r>
      </w:hyperlink>
      <w:r>
        <w:t xml:space="preserve">.</w:t>
      </w:r>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98" Target="media/rId98.png" /><Relationship Type="http://schemas.openxmlformats.org/officeDocument/2006/relationships/image" Id="rId85" Target="media/rId85.png" /><Relationship Type="http://schemas.openxmlformats.org/officeDocument/2006/relationships/image" Id="rId105" Target="media/rId105.png" /><Relationship Type="http://schemas.openxmlformats.org/officeDocument/2006/relationships/image" Id="rId71" Target="media/rId71.png" /><Relationship Type="http://schemas.openxmlformats.org/officeDocument/2006/relationships/image" Id="rId58" Target="media/rId5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94" Target="media/rId94.png" /><Relationship Type="http://schemas.openxmlformats.org/officeDocument/2006/relationships/image" Id="rId81" Target="media/rId81.png" /><Relationship Type="http://schemas.openxmlformats.org/officeDocument/2006/relationships/hyperlink" Id="rId28" Target="" TargetMode="External" /><Relationship Type="http://schemas.openxmlformats.org/officeDocument/2006/relationships/hyperlink" Id="rId126" Target="http://www.rstudio.com" TargetMode="External" /><Relationship Type="http://schemas.openxmlformats.org/officeDocument/2006/relationships/hyperlink" Id="rId131" Target="https://CRAN.R-project.org/package=data.table" TargetMode="External" /><Relationship Type="http://schemas.openxmlformats.org/officeDocument/2006/relationships/hyperlink" Id="rId133" Target="https://CRAN.R-project.org/package=flextable" TargetMode="External" /><Relationship Type="http://schemas.openxmlformats.org/officeDocument/2006/relationships/hyperlink" Id="rId139" Target="https://CRAN.R-project.org/package=knitr" TargetMode="External" /><Relationship Type="http://schemas.openxmlformats.org/officeDocument/2006/relationships/hyperlink" Id="rId129" Target="https://CRAN.R-project.org/package=rmarkdown" TargetMode="External" /><Relationship Type="http://schemas.openxmlformats.org/officeDocument/2006/relationships/hyperlink" Id="rId42" Target="https://assets.publishing.service.gov.uk/government/uploads/system/uploads/attachment_data/file/1168163/uk-local-and-regional-ghg-emissions-2005-to-2021-technical-report.pdf" TargetMode="External" /><Relationship Type="http://schemas.openxmlformats.org/officeDocument/2006/relationships/hyperlink" Id="rId125" Target="https://cran.r-project.org/package=knitr" TargetMode="External" /><Relationship Type="http://schemas.openxmlformats.org/officeDocument/2006/relationships/hyperlink" Id="rId26" Target="https://creativecommons.org/licenses/by/4.0/" TargetMode="External" /><Relationship Type="http://schemas.openxmlformats.org/officeDocument/2006/relationships/hyperlink" Id="rId23" Target="https://git.soton.ac.uk/SERG/hcc-engagement/hampshire-ghg-emissions" TargetMode="External" /><Relationship Type="http://schemas.openxmlformats.org/officeDocument/2006/relationships/hyperlink" Id="rId24" Target="https://github.com/HCC-CCECF-DataGroup/hampshire-ghg-emissions/labels/v2"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37" Target="https://github.com/rstudio/bookdown" TargetMode="External" /><Relationship Type="http://schemas.openxmlformats.org/officeDocument/2006/relationships/hyperlink" Id="rId33" Target="https://impact-tool.org.uk/download" TargetMode="External" /><Relationship Type="http://schemas.openxmlformats.org/officeDocument/2006/relationships/hyperlink" Id="rId78" Target="https://impact-tool.org.uk/methodology" TargetMode="External" /><Relationship Type="http://schemas.openxmlformats.org/officeDocument/2006/relationships/hyperlink" Id="rId89" Target="https://impact-tool.org.uk/static/doc/Impact-methodology-paper-v1.6.pdf" TargetMode="External" /><Relationship Type="http://schemas.openxmlformats.org/officeDocument/2006/relationships/hyperlink" Id="rId43" Target="https://naei.beis.gov.uk/laco2app/" TargetMode="External" /><Relationship Type="http://schemas.openxmlformats.org/officeDocument/2006/relationships/hyperlink" Id="rId76" Target="https://naei.beis.gov.uk/overview/ghg-overview" TargetMode="External" /><Relationship Type="http://schemas.openxmlformats.org/officeDocument/2006/relationships/hyperlink" Id="rId66" Target="https://naei.beis.gov.uk/reports/reports?report_id=1025" TargetMode="External" /><Relationship Type="http://schemas.openxmlformats.org/officeDocument/2006/relationships/hyperlink" Id="rId115" Target="https://sciencebasedtargetsnetwork.org/take-action-now/take-action-as-a-city/" TargetMode="External" /><Relationship Type="http://schemas.openxmlformats.org/officeDocument/2006/relationships/hyperlink" Id="rId77" Target="https://unfccc.int/process-and-meetings/transparency-and-reporting/greenhouse-gas-data/frequently-asked-questions#eq-9" TargetMode="External" /><Relationship Type="http://schemas.openxmlformats.org/officeDocument/2006/relationships/hyperlink" Id="rId135" Target="https://www.R-project.org/" TargetMode="External" /><Relationship Type="http://schemas.openxmlformats.org/officeDocument/2006/relationships/hyperlink" Id="rId116" Target="https://www.carbon.place/data/" TargetMode="External" /><Relationship Type="http://schemas.openxmlformats.org/officeDocument/2006/relationships/hyperlink" Id="rId112" Target="https://www.gov.uk/government/collections/uk-local-authority-and-regional-carbon-dioxide-emissions-national-statistics" TargetMode="External" /><Relationship Type="http://schemas.openxmlformats.org/officeDocument/2006/relationships/hyperlink" Id="rId32" Target="https://www.gov.uk/government/collections/uk-local-authority-and-regional-greenhouse-gas-emissions-national-statistics" TargetMode="External" /><Relationship Type="http://schemas.openxmlformats.org/officeDocument/2006/relationships/hyperlink" Id="rId35" Target="https://www.hants.gov.uk/landplanningandenvironment/environment/climatechange/whatarewedoing/climatechangestrategy" TargetMode="External" /><Relationship Type="http://schemas.openxmlformats.org/officeDocument/2006/relationships/hyperlink" Id="rId40"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114" Target="https://www.nao.org.uk/report/local-government-and-net-zero-in-england/" TargetMode="External" /><Relationship Type="http://schemas.openxmlformats.org/officeDocument/2006/relationships/hyperlink" Id="rId31" Target="https://www.ons.gov.uk/economy/environmentalaccounts/articles/netzeroandthedifferentofficialmeasuresoftheuksgreenhousegasemissions/2019-07-24#measuring-the-uks-progress-to-net-zero" TargetMode="External" /><Relationship Type="http://schemas.openxmlformats.org/officeDocument/2006/relationships/hyperlink" Id="rId34" Target="https://www.ons.gov.uk/economy/environmentalaccounts/articles/netzeroandthedifferentofficialmeasuresoftheuksgreenhousegasemissions/2019-07-24#the-uks-carbon-footprint" TargetMode="External" /><Relationship Type="http://schemas.openxmlformats.org/officeDocument/2006/relationships/hyperlink" Id="rId113" Target="https://www.theccc.org.uk/publication/local-authorities-and-the-sixth-carbon-budget/" TargetMode="External" /><Relationship Type="http://schemas.openxmlformats.org/officeDocument/2006/relationships/hyperlink" Id="rId20" Target="mailto:b.anderson@soton.ac.uk"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126" Target="http://www.rstudio.com" TargetMode="External" /><Relationship Type="http://schemas.openxmlformats.org/officeDocument/2006/relationships/hyperlink" Id="rId131" Target="https://CRAN.R-project.org/package=data.table" TargetMode="External" /><Relationship Type="http://schemas.openxmlformats.org/officeDocument/2006/relationships/hyperlink" Id="rId133" Target="https://CRAN.R-project.org/package=flextable" TargetMode="External" /><Relationship Type="http://schemas.openxmlformats.org/officeDocument/2006/relationships/hyperlink" Id="rId139" Target="https://CRAN.R-project.org/package=knitr" TargetMode="External" /><Relationship Type="http://schemas.openxmlformats.org/officeDocument/2006/relationships/hyperlink" Id="rId129" Target="https://CRAN.R-project.org/package=rmarkdown" TargetMode="External" /><Relationship Type="http://schemas.openxmlformats.org/officeDocument/2006/relationships/hyperlink" Id="rId42" Target="https://assets.publishing.service.gov.uk/government/uploads/system/uploads/attachment_data/file/1168163/uk-local-and-regional-ghg-emissions-2005-to-2021-technical-report.pdf" TargetMode="External" /><Relationship Type="http://schemas.openxmlformats.org/officeDocument/2006/relationships/hyperlink" Id="rId125" Target="https://cran.r-project.org/package=knitr" TargetMode="External" /><Relationship Type="http://schemas.openxmlformats.org/officeDocument/2006/relationships/hyperlink" Id="rId26" Target="https://creativecommons.org/licenses/by/4.0/" TargetMode="External" /><Relationship Type="http://schemas.openxmlformats.org/officeDocument/2006/relationships/hyperlink" Id="rId23" Target="https://git.soton.ac.uk/SERG/hcc-engagement/hampshire-ghg-emissions" TargetMode="External" /><Relationship Type="http://schemas.openxmlformats.org/officeDocument/2006/relationships/hyperlink" Id="rId24" Target="https://github.com/HCC-CCECF-DataGroup/hampshire-ghg-emissions/labels/v2"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37" Target="https://github.com/rstudio/bookdown" TargetMode="External" /><Relationship Type="http://schemas.openxmlformats.org/officeDocument/2006/relationships/hyperlink" Id="rId33" Target="https://impact-tool.org.uk/download" TargetMode="External" /><Relationship Type="http://schemas.openxmlformats.org/officeDocument/2006/relationships/hyperlink" Id="rId78" Target="https://impact-tool.org.uk/methodology" TargetMode="External" /><Relationship Type="http://schemas.openxmlformats.org/officeDocument/2006/relationships/hyperlink" Id="rId89" Target="https://impact-tool.org.uk/static/doc/Impact-methodology-paper-v1.6.pdf" TargetMode="External" /><Relationship Type="http://schemas.openxmlformats.org/officeDocument/2006/relationships/hyperlink" Id="rId43" Target="https://naei.beis.gov.uk/laco2app/" TargetMode="External" /><Relationship Type="http://schemas.openxmlformats.org/officeDocument/2006/relationships/hyperlink" Id="rId76" Target="https://naei.beis.gov.uk/overview/ghg-overview" TargetMode="External" /><Relationship Type="http://schemas.openxmlformats.org/officeDocument/2006/relationships/hyperlink" Id="rId66" Target="https://naei.beis.gov.uk/reports/reports?report_id=1025" TargetMode="External" /><Relationship Type="http://schemas.openxmlformats.org/officeDocument/2006/relationships/hyperlink" Id="rId115" Target="https://sciencebasedtargetsnetwork.org/take-action-now/take-action-as-a-city/" TargetMode="External" /><Relationship Type="http://schemas.openxmlformats.org/officeDocument/2006/relationships/hyperlink" Id="rId77" Target="https://unfccc.int/process-and-meetings/transparency-and-reporting/greenhouse-gas-data/frequently-asked-questions#eq-9" TargetMode="External" /><Relationship Type="http://schemas.openxmlformats.org/officeDocument/2006/relationships/hyperlink" Id="rId135" Target="https://www.R-project.org/" TargetMode="External" /><Relationship Type="http://schemas.openxmlformats.org/officeDocument/2006/relationships/hyperlink" Id="rId116" Target="https://www.carbon.place/data/" TargetMode="External" /><Relationship Type="http://schemas.openxmlformats.org/officeDocument/2006/relationships/hyperlink" Id="rId112" Target="https://www.gov.uk/government/collections/uk-local-authority-and-regional-carbon-dioxide-emissions-national-statistics" TargetMode="External" /><Relationship Type="http://schemas.openxmlformats.org/officeDocument/2006/relationships/hyperlink" Id="rId32" Target="https://www.gov.uk/government/collections/uk-local-authority-and-regional-greenhouse-gas-emissions-national-statistics" TargetMode="External" /><Relationship Type="http://schemas.openxmlformats.org/officeDocument/2006/relationships/hyperlink" Id="rId35" Target="https://www.hants.gov.uk/landplanningandenvironment/environment/climatechange/whatarewedoing/climatechangestrategy" TargetMode="External" /><Relationship Type="http://schemas.openxmlformats.org/officeDocument/2006/relationships/hyperlink" Id="rId40"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114" Target="https://www.nao.org.uk/report/local-government-and-net-zero-in-england/" TargetMode="External" /><Relationship Type="http://schemas.openxmlformats.org/officeDocument/2006/relationships/hyperlink" Id="rId31" Target="https://www.ons.gov.uk/economy/environmentalaccounts/articles/netzeroandthedifferentofficialmeasuresoftheuksgreenhousegasemissions/2019-07-24#measuring-the-uks-progress-to-net-zero" TargetMode="External" /><Relationship Type="http://schemas.openxmlformats.org/officeDocument/2006/relationships/hyperlink" Id="rId34" Target="https://www.ons.gov.uk/economy/environmentalaccounts/articles/netzeroandthedifferentofficialmeasuresoftheuksgreenhousegasemissions/2019-07-24#the-uks-carbon-footprint" TargetMode="External" /><Relationship Type="http://schemas.openxmlformats.org/officeDocument/2006/relationships/hyperlink" Id="rId113" Target="https://www.theccc.org.uk/publication/local-authorities-and-the-sixth-carbon-budget/" TargetMode="External" /><Relationship Type="http://schemas.openxmlformats.org/officeDocument/2006/relationships/hyperlink" Id="rId20"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Hampshire ‘County’ GHG Emissions (v2.0)</dc:title>
  <dc:creator>Ben Anderson (b.anderson@soton.ac.uk)</dc:creator>
  <cp:keywords/>
  <dcterms:created xsi:type="dcterms:W3CDTF">2023-07-28T16:15:26Z</dcterms:created>
  <dcterms:modified xsi:type="dcterms:W3CDTF">2023-07-28T16:15:26Z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/Users/ben/bibliography.bib</vt:lpwstr>
  </property>
  <property fmtid="{D5CDD505-2E9C-101B-9397-08002B2CF9AE}" pid="3" name="date">
    <vt:lpwstr>Last run at: 2023-07-28 17:14:54.31977</vt:lpwstr>
  </property>
  <property fmtid="{D5CDD505-2E9C-101B-9397-08002B2CF9AE}" pid="4" name="output">
    <vt:lpwstr/>
  </property>
  <property fmtid="{D5CDD505-2E9C-101B-9397-08002B2CF9AE}" pid="5" name="subtitle">
    <vt:lpwstr>2018/19 snapshots and trends over time using the latest BEIS/DESNZ district level data</vt:lpwstr>
  </property>
</Properties>
</file>