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60B43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44"/>
          <w:szCs w:val="44"/>
        </w:rPr>
      </w:pPr>
      <w:r>
        <w:rPr>
          <w:rStyle w:val="8"/>
          <w:rFonts w:hint="default" w:ascii="Arial" w:hAnsi="Arial" w:cs="Arial"/>
          <w:sz w:val="44"/>
          <w:szCs w:val="44"/>
        </w:rPr>
        <w:t>Melbourne Airbnb Market Analysis for Investment Decision-Making</w:t>
      </w:r>
    </w:p>
    <w:p w14:paraId="2D62E6FB">
      <w:pPr>
        <w:pStyle w:val="3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</w:rPr>
      </w:pPr>
    </w:p>
    <w:p w14:paraId="32CB86D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1. Executive Summary</w:t>
      </w:r>
    </w:p>
    <w:p w14:paraId="18B80EE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This Business Intelligence case study provides a comprehensive market assessment of the </w:t>
      </w:r>
      <w:r>
        <w:rPr>
          <w:rStyle w:val="8"/>
          <w:rFonts w:hint="default" w:ascii="Arial" w:hAnsi="Arial" w:cs="Arial"/>
        </w:rPr>
        <w:t>Melbourne Airbnb ecosystem</w:t>
      </w:r>
      <w:r>
        <w:rPr>
          <w:rFonts w:hint="default" w:ascii="Arial" w:hAnsi="Arial" w:cs="Arial"/>
        </w:rPr>
        <w:t xml:space="preserve"> to support a client’s </w:t>
      </w:r>
      <w:r>
        <w:rPr>
          <w:rStyle w:val="8"/>
          <w:rFonts w:hint="default" w:ascii="Arial" w:hAnsi="Arial" w:cs="Arial"/>
        </w:rPr>
        <w:t>strategic investment decision</w:t>
      </w:r>
      <w:r>
        <w:rPr>
          <w:rFonts w:hint="default" w:ascii="Arial" w:hAnsi="Arial" w:cs="Arial"/>
        </w:rPr>
        <w:t xml:space="preserve"> regarding short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 xml:space="preserve">term rental expansion. Through structured data preparation, analytical </w:t>
      </w:r>
      <w:r>
        <w:rPr>
          <w:rFonts w:hint="default" w:ascii="Arial" w:hAnsi="Arial" w:cs="Arial"/>
          <w:lang w:eastAsia="zh-CN"/>
        </w:rPr>
        <w:t>modelling</w:t>
      </w:r>
      <w:r>
        <w:rPr>
          <w:rFonts w:hint="default" w:ascii="Arial" w:hAnsi="Arial" w:cs="Arial"/>
        </w:rPr>
        <w:t>, and insight generation, the analysis identifies high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value neighbourhoods, key revenue drivers, host performance patterns, and operational considerations.</w:t>
      </w:r>
    </w:p>
    <w:p w14:paraId="12088A3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final deliverables include </w:t>
      </w:r>
      <w:r>
        <w:rPr>
          <w:rStyle w:val="8"/>
          <w:rFonts w:hint="default" w:ascii="Arial" w:hAnsi="Arial" w:cs="Arial"/>
        </w:rPr>
        <w:t>stakeholder</w:t>
      </w:r>
      <w:r>
        <w:rPr>
          <w:rStyle w:val="8"/>
          <w:rFonts w:hint="default" w:ascii="Arial" w:hAnsi="Arial" w:cs="Arial"/>
        </w:rPr>
        <w:noBreakHyphen/>
      </w:r>
      <w:r>
        <w:rPr>
          <w:rStyle w:val="8"/>
          <w:rFonts w:hint="default" w:ascii="Arial" w:hAnsi="Arial" w:cs="Arial"/>
        </w:rPr>
        <w:t>ready reporting</w:t>
      </w:r>
      <w:r>
        <w:rPr>
          <w:rFonts w:hint="default" w:ascii="Arial" w:hAnsi="Arial" w:cs="Arial"/>
        </w:rPr>
        <w:t xml:space="preserve">, </w:t>
      </w:r>
      <w:r>
        <w:rPr>
          <w:rStyle w:val="8"/>
          <w:rFonts w:hint="default" w:ascii="Arial" w:hAnsi="Arial" w:cs="Arial"/>
        </w:rPr>
        <w:t>executive dashboards</w:t>
      </w:r>
      <w:r>
        <w:rPr>
          <w:rFonts w:hint="default" w:ascii="Arial" w:hAnsi="Arial" w:cs="Arial"/>
        </w:rPr>
        <w:t xml:space="preserve">, and </w:t>
      </w:r>
      <w:r>
        <w:rPr>
          <w:rStyle w:val="8"/>
          <w:rFonts w:hint="default" w:ascii="Arial" w:hAnsi="Arial" w:cs="Arial"/>
        </w:rPr>
        <w:t>actionable recommendations</w:t>
      </w:r>
      <w:r>
        <w:rPr>
          <w:rFonts w:hint="default" w:ascii="Arial" w:hAnsi="Arial" w:cs="Arial"/>
        </w:rPr>
        <w:t xml:space="preserve"> designed to guide portfolio prioritization and maximize ROI.</w:t>
      </w:r>
    </w:p>
    <w:p w14:paraId="5262BE6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2. Business Context &amp; Strategic Objective</w:t>
      </w:r>
    </w:p>
    <w:p w14:paraId="3CCC3A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00" w:hanging="400" w:hangingChars="20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/>
          <w:sz w:val="20"/>
          <w:lang w:val="en-US" w:eastAsia="zh-CN" w:bidi="ar-SA"/>
        </w:rPr>
        <w:t xml:space="preserve">    </w:t>
      </w:r>
      <w:r>
        <w:rPr>
          <w:rFonts w:hint="default" w:ascii="Arial" w:hAnsi="Arial" w:cs="Arial"/>
        </w:rPr>
        <w:t>A real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estate management client is exploring opportunities to expand their short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term</w:t>
      </w:r>
      <w:r>
        <w:rPr>
          <w:rFonts w:hint="default" w:ascii="Arial" w:hAnsi="Arial" w:cs="Arial"/>
          <w:lang w:val="en-US" w:eastAsia="zh-CN"/>
        </w:rPr>
        <w:t xml:space="preserve"> </w:t>
      </w:r>
      <w:r>
        <w:rPr>
          <w:rFonts w:hint="default" w:ascii="Arial" w:hAnsi="Arial" w:cs="Arial"/>
        </w:rPr>
        <w:t xml:space="preserve">rental portfolio into Melbourne. Leadership requires </w:t>
      </w:r>
      <w:r>
        <w:rPr>
          <w:rStyle w:val="8"/>
          <w:rFonts w:hint="default" w:ascii="Arial" w:hAnsi="Arial" w:cs="Arial"/>
        </w:rPr>
        <w:t>data</w:t>
      </w:r>
      <w:r>
        <w:rPr>
          <w:rStyle w:val="8"/>
          <w:rFonts w:hint="default" w:ascii="Arial" w:hAnsi="Arial" w:cs="Arial"/>
        </w:rPr>
        <w:noBreakHyphen/>
      </w:r>
      <w:r>
        <w:rPr>
          <w:rStyle w:val="8"/>
          <w:rFonts w:hint="default" w:ascii="Arial" w:hAnsi="Arial" w:cs="Arial"/>
        </w:rPr>
        <w:t>driven market intelligence</w:t>
      </w:r>
    </w:p>
    <w:p w14:paraId="3AFDB5B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Revenue potential across neighbourhoods</w:t>
      </w:r>
    </w:p>
    <w:p w14:paraId="677887B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Price drivers and demand indicators</w:t>
      </w:r>
    </w:p>
    <w:p w14:paraId="26C92F6B">
      <w:pPr>
        <w:pStyle w:val="7"/>
        <w:keepNext w:val="0"/>
        <w:keepLines w:val="0"/>
        <w:widowControl/>
        <w:suppressLineNumbers w:val="0"/>
        <w:rPr>
          <w:rFonts w:hint="default" w:ascii="Arial" w:hAnsi="Arial" w:eastAsia="SimSun" w:cs="Arial"/>
          <w:lang w:val="en-US" w:eastAsia="zh-CN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Host quality and operational reliability</w:t>
      </w:r>
      <w:r>
        <w:rPr>
          <w:rFonts w:hint="default" w:ascii="Arial" w:hAnsi="Arial" w:cs="Arial"/>
          <w:lang w:val="en-US" w:eastAsia="zh-CN"/>
        </w:rPr>
        <w:t xml:space="preserve"> </w:t>
      </w:r>
    </w:p>
    <w:p w14:paraId="30499DA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Property type profitability</w:t>
      </w:r>
    </w:p>
    <w:p w14:paraId="3190B25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Market risks and competitive dynamics</w:t>
      </w:r>
    </w:p>
    <w:p w14:paraId="6CC16D1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BI function is responsible for transforming raw market data into </w:t>
      </w:r>
      <w:r>
        <w:rPr>
          <w:rStyle w:val="8"/>
          <w:rFonts w:hint="default" w:ascii="Arial" w:hAnsi="Arial" w:cs="Arial"/>
        </w:rPr>
        <w:t>decision</w:t>
      </w:r>
      <w:r>
        <w:rPr>
          <w:rStyle w:val="8"/>
          <w:rFonts w:hint="default" w:ascii="Arial" w:hAnsi="Arial" w:cs="Arial"/>
        </w:rPr>
        <w:noBreakHyphen/>
      </w:r>
      <w:r>
        <w:rPr>
          <w:rStyle w:val="8"/>
          <w:rFonts w:hint="default" w:ascii="Arial" w:hAnsi="Arial" w:cs="Arial"/>
        </w:rPr>
        <w:t>ready insights</w:t>
      </w:r>
      <w:r>
        <w:rPr>
          <w:rFonts w:hint="default" w:ascii="Arial" w:hAnsi="Arial" w:cs="Arial"/>
        </w:rPr>
        <w:t xml:space="preserve"> that support strategic planning and investment allocation.</w:t>
      </w:r>
    </w:p>
    <w:p w14:paraId="197052B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3. Stakeholder Requirements</w:t>
      </w:r>
    </w:p>
    <w:p w14:paraId="4D85E36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Primary Stakeholders</w:t>
      </w:r>
    </w:p>
    <w:p w14:paraId="3253F59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Chief Investment Officer</w:t>
      </w:r>
    </w:p>
    <w:p w14:paraId="3FD53DB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Portfolio Strategy Team</w:t>
      </w:r>
    </w:p>
    <w:p w14:paraId="30AA2F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Operations &amp; Host Management Team</w:t>
      </w:r>
    </w:p>
    <w:p w14:paraId="1269B3F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Revenue Optimization Team</w:t>
      </w:r>
    </w:p>
    <w:p w14:paraId="2C1CFD9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Key Stakeholder Needs</w:t>
      </w:r>
    </w:p>
    <w:p w14:paraId="4FEE345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Clear visibility into market performance</w:t>
      </w:r>
    </w:p>
    <w:p w14:paraId="409A2F9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Identification of high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ROI neighbourhoods</w:t>
      </w:r>
    </w:p>
    <w:p w14:paraId="0B75097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Understanding of operational risk factors</w:t>
      </w:r>
    </w:p>
    <w:p w14:paraId="6B9F854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Recommendations aligned with business objectives</w:t>
      </w:r>
    </w:p>
    <w:p w14:paraId="68FEE71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Executive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level reporting and dashboar</w:t>
      </w:r>
    </w:p>
    <w:p w14:paraId="7BC96CB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DFE9E0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4. Data Sources &amp; Governance</w:t>
      </w:r>
    </w:p>
    <w:p w14:paraId="777221E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Primary Dataset</w:t>
      </w:r>
    </w:p>
    <w:p w14:paraId="7F54B61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Melbourne Airbnb Listings (CSV)</w:t>
      </w:r>
      <w:r>
        <w:rPr>
          <w:rFonts w:hint="default" w:ascii="Arial" w:hAnsi="Arial" w:cs="Arial"/>
        </w:rPr>
        <w:t xml:space="preserve"> Includes:</w:t>
      </w:r>
    </w:p>
    <w:p w14:paraId="11D1DC0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Price</w:t>
      </w:r>
    </w:p>
    <w:p w14:paraId="288136E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Neighbourhood</w:t>
      </w:r>
    </w:p>
    <w:p w14:paraId="6D1AB12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Property type</w:t>
      </w:r>
    </w:p>
    <w:p w14:paraId="4FAC682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Room type</w:t>
      </w:r>
    </w:p>
    <w:p w14:paraId="55FAAF1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Host status (Superhost vs non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Superhost)</w:t>
      </w:r>
    </w:p>
    <w:p w14:paraId="664886D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Review scores</w:t>
      </w:r>
    </w:p>
    <w:p w14:paraId="08B52C1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Number of reviews</w:t>
      </w:r>
    </w:p>
    <w:p w14:paraId="726E50C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Amenities</w:t>
      </w:r>
    </w:p>
    <w:p w14:paraId="3C51665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Minimum nights</w:t>
      </w:r>
    </w:p>
    <w:p w14:paraId="45BF594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Availability</w:t>
      </w:r>
    </w:p>
    <w:p w14:paraId="6DDB8BB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Data Governance Considerations</w:t>
      </w:r>
    </w:p>
    <w:p w14:paraId="08E0D5A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Verified data provenance (public Airbnb dataset)</w:t>
      </w:r>
    </w:p>
    <w:p w14:paraId="620C543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Ensured data completeness and consistency</w:t>
      </w:r>
    </w:p>
    <w:p w14:paraId="4A887DD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Conducted quality checks to mitigate bias</w:t>
      </w:r>
    </w:p>
    <w:p w14:paraId="037C9AD7">
      <w:pPr>
        <w:pStyle w:val="7"/>
        <w:keepNext w:val="0"/>
        <w:keepLines w:val="0"/>
        <w:widowControl/>
        <w:suppressLineNumbers w:val="0"/>
        <w:ind w:left="240" w:hanging="240" w:hangingChars="10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Applied standard BI data governance practices (ROCCC: Reliable, Original, Comprehensive, Current, Cited)</w:t>
      </w:r>
    </w:p>
    <w:p w14:paraId="15BBEAA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5. Data Preparation, ETL &amp; Quality Assurance</w:t>
      </w:r>
    </w:p>
    <w:p w14:paraId="12FDC48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ETL Activities</w:t>
      </w:r>
    </w:p>
    <w:p w14:paraId="4254253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Imported raw CSV files into BI environment</w:t>
      </w:r>
    </w:p>
    <w:p w14:paraId="11EA8CD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Standardized column naming conventions</w:t>
      </w:r>
    </w:p>
    <w:p w14:paraId="0BB2206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Normalized neighbourhood and categorical fields</w:t>
      </w:r>
    </w:p>
    <w:p w14:paraId="0E55696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Converted price and availability fields to numeric formats</w:t>
      </w:r>
    </w:p>
    <w:p w14:paraId="58D0648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Extracted amenity counts and created derived metrics</w:t>
      </w:r>
    </w:p>
    <w:p w14:paraId="06753EC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Data Quality Checks</w:t>
      </w:r>
    </w:p>
    <w:p w14:paraId="218C216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Removed duplicate listings</w:t>
      </w:r>
    </w:p>
    <w:p w14:paraId="37F56B1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Addressed missing values using imputation or exclusion rules</w:t>
      </w:r>
    </w:p>
    <w:p w14:paraId="796C2F6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Validated data types and ranges</w:t>
      </w:r>
    </w:p>
    <w:p w14:paraId="0D3D70E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Ensured referential consistency across fields</w:t>
      </w:r>
    </w:p>
    <w:p w14:paraId="3C40D67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Analytical Dataset Output</w:t>
      </w:r>
    </w:p>
    <w:p w14:paraId="4B23BCC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clean, structured, analysis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ready dataset optimized for BI reporting, segmentation, and modeling.</w:t>
      </w:r>
    </w:p>
    <w:p w14:paraId="18C13A2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6. Analytical Methodology &amp; BI Approach</w:t>
      </w:r>
    </w:p>
    <w:p w14:paraId="4CCEB71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Analytical Techniques</w:t>
      </w:r>
    </w:p>
    <w:p w14:paraId="24035BA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Descriptive statistics</w:t>
      </w:r>
    </w:p>
    <w:p w14:paraId="180653A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Price segmentation</w:t>
      </w:r>
    </w:p>
    <w:p w14:paraId="081B05E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Neighbourhood clustering</w:t>
      </w:r>
    </w:p>
    <w:p w14:paraId="20A2877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Correlation &amp; driver analysis</w:t>
      </w:r>
    </w:p>
    <w:p w14:paraId="1789D73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Host performance benchmarking</w:t>
      </w:r>
    </w:p>
    <w:p w14:paraId="09906E1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Amenity impact scoring</w:t>
      </w:r>
    </w:p>
    <w:p w14:paraId="79F98D5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Market opportunity evaluation</w:t>
      </w:r>
    </w:p>
    <w:p w14:paraId="4967A90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BI Tools &amp; Processes</w:t>
      </w:r>
    </w:p>
    <w:p w14:paraId="3FCB336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KPI definition and metric standardization</w:t>
      </w:r>
    </w:p>
    <w:p w14:paraId="56A4460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Dashboard prototyping</w:t>
      </w:r>
    </w:p>
    <w:p w14:paraId="497D586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Stakeholder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aligned reporting structure</w:t>
      </w:r>
    </w:p>
    <w:p w14:paraId="2D803D7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Insight documentation and narrative development</w:t>
      </w:r>
    </w:p>
    <w:p w14:paraId="0D9EB9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</w:p>
    <w:p w14:paraId="13667F1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7. Key Insights &amp; Business Implications</w:t>
      </w:r>
    </w:p>
    <w:p w14:paraId="1C482E8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Insight 1: Neighbourhoods show strong price stratification</w:t>
      </w:r>
    </w:p>
    <w:p w14:paraId="2D31049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Premium neighbourhoods:</w:t>
      </w:r>
    </w:p>
    <w:p w14:paraId="250BF67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Southbank</w:t>
      </w:r>
    </w:p>
    <w:p w14:paraId="4DB481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b w:val="0"/>
          <w:bCs w:val="0"/>
        </w:rPr>
      </w:pPr>
    </w:p>
    <w:p w14:paraId="7407472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CBD</w:t>
      </w:r>
    </w:p>
    <w:p w14:paraId="5F0F60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b w:val="0"/>
          <w:bCs w:val="0"/>
        </w:rPr>
      </w:pPr>
    </w:p>
    <w:p w14:paraId="4752A93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Docklands</w:t>
      </w:r>
    </w:p>
    <w:p w14:paraId="05943F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6A98F16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Mid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tier, high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occupancy neighbourhoods:</w:t>
      </w:r>
    </w:p>
    <w:p w14:paraId="36C18D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St Kilda</w:t>
      </w:r>
    </w:p>
    <w:p w14:paraId="4724E8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b w:val="0"/>
          <w:bCs w:val="0"/>
        </w:rPr>
      </w:pPr>
    </w:p>
    <w:p w14:paraId="5AACE64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Carlton</w:t>
      </w:r>
    </w:p>
    <w:p w14:paraId="1AA9F6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b w:val="0"/>
          <w:bCs w:val="0"/>
        </w:rPr>
      </w:pPr>
    </w:p>
    <w:p w14:paraId="4F73944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b w:val="0"/>
          <w:bCs w:val="0"/>
          <w:sz w:val="20"/>
          <w:lang w:val="en-US" w:eastAsia="zh-CN" w:bidi="ar-SA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</w:rPr>
        <w:t>Fitzroy</w:t>
      </w:r>
    </w:p>
    <w:p w14:paraId="743AF6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7FB12C3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Business Implication:</w:t>
      </w:r>
      <w:r>
        <w:rPr>
          <w:rFonts w:hint="default" w:ascii="Arial" w:hAnsi="Arial" w:cs="Arial"/>
        </w:rPr>
        <w:t xml:space="preserve"> Premium areas support high nightly rates; mid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tier areas offer stable occupancy and lower investment risk.</w:t>
      </w:r>
    </w:p>
    <w:p w14:paraId="4CC22CD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Insight 2: Property type is a primary revenue driver</w:t>
      </w:r>
    </w:p>
    <w:p w14:paraId="6D35E85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Revenue ranking:</w:t>
      </w:r>
    </w:p>
    <w:p w14:paraId="1C8A28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Entire home/apartment</w:t>
      </w:r>
    </w:p>
    <w:p w14:paraId="353A93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078F99A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Private room</w:t>
      </w:r>
    </w:p>
    <w:p w14:paraId="1B2DA5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54D1E7A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Shared room</w:t>
      </w:r>
    </w:p>
    <w:p w14:paraId="0C349C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67856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Business Implication:</w:t>
      </w:r>
      <w:r>
        <w:rPr>
          <w:rFonts w:hint="default" w:ascii="Arial" w:hAnsi="Arial" w:cs="Arial"/>
        </w:rPr>
        <w:t xml:space="preserve"> Entire apartments should be prioritized for portfolio expansion due to superior revenue performance.</w:t>
      </w:r>
    </w:p>
    <w:p w14:paraId="2FBCAF6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Insight 3: Superhosts deliver higher operational reliability</w:t>
      </w:r>
    </w:p>
    <w:p w14:paraId="6686407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Superhosts outperform in:</w:t>
      </w:r>
    </w:p>
    <w:p w14:paraId="6C14C47D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4"/>
          <w:szCs w:val="24"/>
          <w:lang w:val="en-US" w:eastAsia="zh-CN" w:bidi="ar-SA"/>
        </w:rPr>
        <w:t xml:space="preserve">  </w:t>
      </w:r>
      <w:r>
        <w:rPr>
          <w:rFonts w:hint="default" w:ascii="Arial" w:hAnsi="Arial" w:cs="Arial"/>
          <w:sz w:val="24"/>
          <w:szCs w:val="24"/>
        </w:rPr>
        <w:t>Price</w:t>
      </w:r>
    </w:p>
    <w:p w14:paraId="7A80FCB0">
      <w:pPr>
        <w:pStyle w:val="7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</w:p>
    <w:p w14:paraId="487A762A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Review scores</w:t>
      </w:r>
      <w:bookmarkStart w:id="0" w:name="_GoBack"/>
      <w:bookmarkEnd w:id="0"/>
    </w:p>
    <w:p w14:paraId="686B2F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jc w:val="left"/>
        <w:rPr>
          <w:rFonts w:hint="default" w:ascii="Arial" w:hAnsi="Arial" w:cs="Arial"/>
        </w:rPr>
      </w:pPr>
    </w:p>
    <w:p w14:paraId="0788D6AB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Occupancy</w:t>
      </w:r>
    </w:p>
    <w:p w14:paraId="101126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jc w:val="left"/>
        <w:rPr>
          <w:rFonts w:hint="default" w:ascii="Arial" w:hAnsi="Arial" w:cs="Arial"/>
        </w:rPr>
      </w:pPr>
    </w:p>
    <w:p w14:paraId="09E64D91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Cancellation rates</w:t>
      </w:r>
    </w:p>
    <w:p w14:paraId="3514A6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68ADFD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Business Implication:</w:t>
      </w:r>
      <w:r>
        <w:rPr>
          <w:rFonts w:hint="default" w:ascii="Arial" w:hAnsi="Arial" w:cs="Arial"/>
        </w:rPr>
        <w:t xml:space="preserve"> Partnering with or developing Superhost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level host capabilities improves revenue consistency and guest satisfaction.</w:t>
      </w:r>
    </w:p>
    <w:p w14:paraId="481CF96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Insight 4: Amenities significantly influence pricing</w:t>
      </w:r>
    </w:p>
    <w:p w14:paraId="5F21733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impact amenities:</w:t>
      </w:r>
    </w:p>
    <w:p w14:paraId="59A9A2C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</w:t>
      </w:r>
      <w:r>
        <w:rPr>
          <w:rFonts w:hint="default" w:ascii="Arial" w:hAnsi="Arial" w:cs="Arial"/>
        </w:rPr>
        <w:t>Air conditioning</w:t>
      </w:r>
    </w:p>
    <w:p w14:paraId="497F6E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63D9F25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Balcony</w:t>
      </w:r>
    </w:p>
    <w:p w14:paraId="356361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0239EA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Parking</w:t>
      </w:r>
    </w:p>
    <w:p w14:paraId="66C65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1BF3D2D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 w:eastAsiaTheme="minorEastAsia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</w:rPr>
        <w:t>Washer/dryer</w:t>
      </w:r>
    </w:p>
    <w:p w14:paraId="7084EA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</w:p>
    <w:p w14:paraId="270478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  <w:r>
        <w:rPr>
          <w:rFonts w:hint="default" w:ascii="Arial" w:hAnsi="Arial" w:cs="Arial" w:eastAsiaTheme="minorEastAsia"/>
          <w:sz w:val="20"/>
          <w:lang w:val="en-US" w:eastAsia="zh-CN" w:bidi="ar-SA"/>
        </w:rPr>
        <w:t></w:t>
      </w:r>
      <w:r>
        <w:rPr>
          <w:rFonts w:hint="default" w:ascii="Arial" w:hAnsi="Arial" w:cs="Arial"/>
          <w:sz w:val="20"/>
          <w:lang w:val="en-US" w:eastAsia="zh-CN" w:bidi="ar-SA"/>
        </w:rPr>
        <w:t xml:space="preserve">  </w:t>
      </w:r>
      <w:r>
        <w:rPr>
          <w:rFonts w:hint="default" w:ascii="Arial" w:hAnsi="Arial" w:cs="Arial"/>
          <w:sz w:val="24"/>
          <w:szCs w:val="24"/>
        </w:rPr>
        <w:t>Dedicated workspace</w:t>
      </w:r>
    </w:p>
    <w:p w14:paraId="5D79CA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6484D6D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Business Implication:</w:t>
      </w:r>
      <w:r>
        <w:rPr>
          <w:rFonts w:hint="default" w:ascii="Arial" w:hAnsi="Arial" w:cs="Arial"/>
        </w:rPr>
        <w:t xml:space="preserve"> Enhancing amenity offerings can increase price by </w:t>
      </w:r>
      <w:r>
        <w:rPr>
          <w:rStyle w:val="8"/>
          <w:rFonts w:hint="default" w:ascii="Arial" w:hAnsi="Arial" w:cs="Arial"/>
        </w:rPr>
        <w:t>10–18%</w:t>
      </w:r>
      <w:r>
        <w:rPr>
          <w:rFonts w:hint="default" w:ascii="Arial" w:hAnsi="Arial" w:cs="Arial"/>
        </w:rPr>
        <w:t>, improving ROI with minimal operational cost.</w:t>
      </w:r>
    </w:p>
    <w:p w14:paraId="1B5A7F55">
      <w:pPr>
        <w:pStyle w:val="3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  <w:sz w:val="27"/>
          <w:szCs w:val="27"/>
        </w:rPr>
      </w:pPr>
      <w:r>
        <w:rPr>
          <w:rStyle w:val="8"/>
          <w:rFonts w:hint="default" w:ascii="Arial" w:hAnsi="Arial" w:cs="Arial"/>
          <w:b/>
          <w:bCs/>
          <w:sz w:val="27"/>
          <w:szCs w:val="27"/>
        </w:rPr>
        <w:t>Insight 5: Melbourne is a strategically viable expansion market</w:t>
      </w:r>
    </w:p>
    <w:p w14:paraId="230E6B6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Strong tourism inflow</w:t>
      </w:r>
    </w:p>
    <w:p w14:paraId="6961554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Mature short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term rental ecosystem</w:t>
      </w:r>
    </w:p>
    <w:p w14:paraId="1FCD9C5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Predictable seasonal demand</w:t>
      </w:r>
    </w:p>
    <w:p w14:paraId="24B70FE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Multiple profitable neighbourhood clusters</w:t>
      </w:r>
    </w:p>
    <w:p w14:paraId="73705E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</w:p>
    <w:p w14:paraId="1F18389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Business Implication:</w:t>
      </w:r>
      <w:r>
        <w:rPr>
          <w:rFonts w:hint="default" w:ascii="Arial" w:hAnsi="Arial" w:cs="Arial"/>
        </w:rPr>
        <w:t xml:space="preserve"> Melbourne supports both premium and mid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tier investment strategies, enabling diversified portfolio growth.</w:t>
      </w:r>
    </w:p>
    <w:p w14:paraId="1B67B47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8. Executive Dashboard &amp; Stakeholder Reporting</w:t>
      </w:r>
    </w:p>
    <w:p w14:paraId="3AFC062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Recommended dashboard components:</w:t>
      </w:r>
    </w:p>
    <w:p w14:paraId="68C3199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Neighbourhood revenue heatmap</w:t>
      </w:r>
    </w:p>
    <w:p w14:paraId="21C6F9D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Price driver correlation matrix</w:t>
      </w:r>
    </w:p>
    <w:p w14:paraId="45AC745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Host performance comparison</w:t>
      </w:r>
    </w:p>
    <w:p w14:paraId="3E173D3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Property type profitability chart</w:t>
      </w:r>
    </w:p>
    <w:p w14:paraId="6D75674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Amenity ROI visualization</w:t>
      </w:r>
    </w:p>
    <w:p w14:paraId="34B593A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Market segmentation clusters</w:t>
      </w:r>
    </w:p>
    <w:p w14:paraId="6E9E87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048DAB0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These visualizations support </w:t>
      </w:r>
      <w:r>
        <w:rPr>
          <w:rStyle w:val="8"/>
          <w:rFonts w:hint="default" w:ascii="Arial" w:hAnsi="Arial" w:cs="Arial"/>
        </w:rPr>
        <w:t>executive decision</w:t>
      </w:r>
      <w:r>
        <w:rPr>
          <w:rStyle w:val="8"/>
          <w:rFonts w:hint="default" w:ascii="Arial" w:hAnsi="Arial" w:cs="Arial"/>
        </w:rPr>
        <w:noBreakHyphen/>
      </w:r>
      <w:r>
        <w:rPr>
          <w:rStyle w:val="8"/>
          <w:rFonts w:hint="default" w:ascii="Arial" w:hAnsi="Arial" w:cs="Arial"/>
        </w:rPr>
        <w:t>making</w:t>
      </w:r>
      <w:r>
        <w:rPr>
          <w:rFonts w:hint="default" w:ascii="Arial" w:hAnsi="Arial" w:cs="Arial"/>
        </w:rPr>
        <w:t>, enabling leadership to quickly identify opportunities and risks.</w:t>
      </w:r>
    </w:p>
    <w:p w14:paraId="55AEBCB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9. Actionable Recommendations</w:t>
      </w:r>
    </w:p>
    <w:p w14:paraId="2F6E74B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Strategic Recommendations</w:t>
      </w:r>
    </w:p>
    <w:p w14:paraId="7620219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Prioritize investment in Southbank, CBD, and Docklands</w:t>
      </w:r>
    </w:p>
    <w:p w14:paraId="01F4BC1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Expand mid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tier inventory in St Kilda, Carlton, and Fitzroy</w:t>
      </w:r>
    </w:p>
    <w:p w14:paraId="6722D2A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Focus on entire apartments for maximum revenue impact</w:t>
      </w:r>
    </w:p>
    <w:p w14:paraId="3BCB005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Implement host quality improvement programs</w:t>
      </w:r>
    </w:p>
    <w:p w14:paraId="7EA8ADA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Enhance amenity offerings to increase price competitiveness</w:t>
      </w:r>
    </w:p>
    <w:p w14:paraId="77F5E9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</w:p>
    <w:p w14:paraId="38A532B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Operational Recommendations</w:t>
      </w:r>
    </w:p>
    <w:p w14:paraId="00E6A45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Prioritize investment in Southbank, CBD, and Docklands</w:t>
      </w:r>
    </w:p>
    <w:p w14:paraId="36DE59D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Expand mid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tier inventory in St Kilda, Carlton, and Fitzroy</w:t>
      </w:r>
    </w:p>
    <w:p w14:paraId="3195A53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Focus on entire apartments for maximum revenue impact</w:t>
      </w:r>
    </w:p>
    <w:p w14:paraId="6DEFEC2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Implement host quality improvement programs</w:t>
      </w:r>
    </w:p>
    <w:p w14:paraId="6D21387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Enhance amenity offerings to increase price competitiveness</w:t>
      </w:r>
    </w:p>
    <w:p w14:paraId="5F4AEE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 </w:t>
      </w:r>
    </w:p>
    <w:p w14:paraId="38B07D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710F36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10. Strategic Impact &amp; Investment Decision Support</w:t>
      </w:r>
    </w:p>
    <w:p w14:paraId="1986583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imSun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Clear market intelligence</w:t>
      </w:r>
    </w:p>
    <w:p w14:paraId="53A23A6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Quantified revenue opportunities</w:t>
      </w:r>
    </w:p>
    <w:p w14:paraId="4C3BD52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 w:eastAsia="zh-CN"/>
        </w:rPr>
        <w:t xml:space="preserve"> </w:t>
      </w:r>
      <w:r>
        <w:rPr>
          <w:rFonts w:hint="default" w:ascii="Arial" w:hAnsi="Arial" w:cs="Arial"/>
        </w:rPr>
        <w:t>Operational risk insights</w:t>
      </w:r>
    </w:p>
    <w:p w14:paraId="10039EF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A structured decision framework</w:t>
      </w:r>
    </w:p>
    <w:p w14:paraId="2537297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A prioritized investment roadmap</w:t>
      </w:r>
    </w:p>
    <w:p w14:paraId="75EE75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</w:p>
    <w:p w14:paraId="4D3C7A7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findings directly support </w:t>
      </w:r>
      <w:r>
        <w:rPr>
          <w:rStyle w:val="8"/>
          <w:rFonts w:hint="default" w:ascii="Arial" w:hAnsi="Arial" w:cs="Arial"/>
        </w:rPr>
        <w:t>data</w:t>
      </w:r>
      <w:r>
        <w:rPr>
          <w:rStyle w:val="8"/>
          <w:rFonts w:hint="default" w:ascii="Arial" w:hAnsi="Arial" w:cs="Arial"/>
        </w:rPr>
        <w:noBreakHyphen/>
      </w:r>
      <w:r>
        <w:rPr>
          <w:rStyle w:val="8"/>
          <w:rFonts w:hint="default" w:ascii="Arial" w:hAnsi="Arial" w:cs="Arial"/>
        </w:rPr>
        <w:t>driven expansion decisions</w:t>
      </w:r>
      <w:r>
        <w:rPr>
          <w:rFonts w:hint="default" w:ascii="Arial" w:hAnsi="Arial" w:cs="Arial"/>
        </w:rPr>
        <w:t>, enabling the client to allocate capital effectively and maximize long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term portfolio performance.</w:t>
      </w:r>
    </w:p>
    <w:p w14:paraId="2D5853D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EB690AC">
      <w:pPr>
        <w:pStyle w:val="3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</w:rPr>
      </w:pPr>
      <w:r>
        <w:rPr>
          <w:rStyle w:val="8"/>
          <w:rFonts w:hint="default" w:ascii="Arial" w:hAnsi="Arial" w:cs="Arial"/>
          <w:b/>
          <w:bCs/>
        </w:rPr>
        <w:t>11. Portfolio Summary Paragraph</w:t>
      </w:r>
    </w:p>
    <w:p w14:paraId="195D522F">
      <w:pPr>
        <w:rPr>
          <w:rFonts w:hint="default" w:ascii="Arial" w:hAnsi="Arial" w:cs="Arial"/>
        </w:rPr>
      </w:pPr>
    </w:p>
    <w:p w14:paraId="5ACABE9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Business Intelligence case study analyzes the Melbourne Airbnb market to support strategic investment decisions. Through rigorous data preparation, analytical modeling, and insight generation, the study identifies high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value neighbourhoods, key revenue drivers, and operational considerations. The final deliverables include executive dashboards and actionable recommendations that guide portfolio prioritization and enable confident, data</w:t>
      </w:r>
      <w:r>
        <w:rPr>
          <w:rFonts w:hint="default" w:ascii="Arial" w:hAnsi="Arial" w:cs="Arial"/>
        </w:rPr>
        <w:noBreakHyphen/>
      </w:r>
      <w:r>
        <w:rPr>
          <w:rFonts w:hint="default" w:ascii="Arial" w:hAnsi="Arial" w:cs="Arial"/>
        </w:rPr>
        <w:t>driven expansion into the Melbourne market.</w:t>
      </w:r>
    </w:p>
    <w:p w14:paraId="42A46259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0130B"/>
    <w:multiLevelType w:val="singleLevel"/>
    <w:tmpl w:val="D30013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C161894"/>
    <w:multiLevelType w:val="multilevel"/>
    <w:tmpl w:val="7C161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C14C2"/>
    <w:rsid w:val="090C14C2"/>
    <w:rsid w:val="15C33BC1"/>
    <w:rsid w:val="22544741"/>
    <w:rsid w:val="2BC67DDA"/>
    <w:rsid w:val="4F381487"/>
    <w:rsid w:val="70CB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852</Words>
  <Characters>5832</Characters>
  <Lines>0</Lines>
  <Paragraphs>0</Paragraphs>
  <TotalTime>218</TotalTime>
  <ScaleCrop>false</ScaleCrop>
  <LinksUpToDate>false</LinksUpToDate>
  <CharactersWithSpaces>6625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M</dc:creator>
  <cp:lastModifiedBy>M</cp:lastModifiedBy>
  <dcterms:modified xsi:type="dcterms:W3CDTF">2026-07-23T01:13:04Z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BE2285D1811F4C618C79F40295BF6086_11</vt:lpwstr>
  </property>
  <property fmtid="{D5CDD505-2E9C-101B-9397-08002B2CF9AE}" pid="4" name="KSOTemplateDocerSaveRecord">
    <vt:lpwstr>eyJoZGlkIjoiODYwMTNjYTI1YzhlM2E1OWRlNDlhMDE5ZmRjNGI0YzkiLCJ1c2VySWQiOiIxNjkyMjg0Mzc0MjgxOCJ9</vt:lpwstr>
  </property>
</Properties>
</file>