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63FC" w:rsidRDefault="00000000">
      <w:pPr>
        <w:pStyle w:val="Title"/>
      </w:pPr>
      <w:r>
        <w:t>Relationship between lifestyle behavious and arthritis among women aged 15 years and above in Mali: a cross-sectional study</w:t>
      </w:r>
    </w:p>
    <w:p w:rsidR="000463FC" w:rsidRDefault="00000000">
      <w:pPr>
        <w:pStyle w:val="Author"/>
      </w:pPr>
      <w:r>
        <w:t>FSS 2025</w:t>
      </w:r>
    </w:p>
    <w:p w:rsidR="000463FC" w:rsidRDefault="00000000">
      <w:pPr>
        <w:pStyle w:val="Date"/>
      </w:pPr>
      <w:r>
        <w:t>2025-12-02</w:t>
      </w:r>
    </w:p>
    <w:p w:rsidR="000463FC" w:rsidRDefault="00000000">
      <w:pPr>
        <w:pStyle w:val="FirstParagraph"/>
      </w:pPr>
      <w:r>
        <w:t>#setup the environment</w:t>
      </w:r>
    </w:p>
    <w:p w:rsidR="000463FC" w:rsidRDefault="00000000">
      <w:pPr>
        <w:pStyle w:val="BodyText"/>
      </w:pPr>
      <w:r>
        <w:t>#set up data</w:t>
      </w:r>
    </w:p>
    <w:p w:rsidR="000463FC" w:rsidRDefault="00000000">
      <w:pPr>
        <w:pStyle w:val="BodyText"/>
      </w:pPr>
      <w:r>
        <w:t>Abstract: This cross-sectional study aimed to explore the relationship between lifestyle behaviors and arthritis among Malian women aged 15 and older. Data were analysed using descriptive and binary logistic regression methods. Results indicated that older age, being in a poorer or wealthier quintile, mobile phone ownership, and performing breathing exercises were associated with higher odds of having arthritis.</w:t>
      </w:r>
    </w:p>
    <w:p w:rsidR="000463FC" w:rsidRDefault="00000000">
      <w:pPr>
        <w:pStyle w:val="Heading2"/>
      </w:pPr>
      <w:bookmarkStart w:id="0" w:name="table-1-description-of-study-variables"/>
      <w:r>
        <w:t>Table 1: Description of study variables:</w:t>
      </w:r>
    </w:p>
    <w:tbl>
      <w:tblPr>
        <w:tblStyle w:val="Table"/>
        <w:tblW w:w="5000" w:type="pct"/>
        <w:tblLayout w:type="fixed"/>
        <w:tblLook w:val="0020" w:firstRow="1" w:lastRow="0" w:firstColumn="0" w:lastColumn="0" w:noHBand="0" w:noVBand="0"/>
      </w:tblPr>
      <w:tblGrid>
        <w:gridCol w:w="1872"/>
        <w:gridCol w:w="7488"/>
      </w:tblGrid>
      <w:tr w:rsidR="000463FC" w:rsidTr="000463FC">
        <w:trPr>
          <w:cnfStyle w:val="100000000000" w:firstRow="1" w:lastRow="0" w:firstColumn="0" w:lastColumn="0" w:oddVBand="0" w:evenVBand="0" w:oddHBand="0" w:evenHBand="0" w:firstRowFirstColumn="0" w:firstRowLastColumn="0" w:lastRowFirstColumn="0" w:lastRowLastColumn="0"/>
          <w:tblHeader/>
        </w:trPr>
        <w:tc>
          <w:tcPr>
            <w:tcW w:w="1584" w:type="dxa"/>
          </w:tcPr>
          <w:p w:rsidR="000463FC" w:rsidRDefault="00000000">
            <w:pPr>
              <w:pStyle w:val="Compact"/>
            </w:pPr>
            <w:r>
              <w:t>variable</w:t>
            </w:r>
          </w:p>
        </w:tc>
        <w:tc>
          <w:tcPr>
            <w:tcW w:w="6336" w:type="dxa"/>
          </w:tcPr>
          <w:p w:rsidR="000463FC" w:rsidRDefault="00000000">
            <w:pPr>
              <w:pStyle w:val="Compact"/>
            </w:pPr>
            <w:r>
              <w:t>levels</w:t>
            </w:r>
          </w:p>
        </w:tc>
      </w:tr>
      <w:tr w:rsidR="000463FC">
        <w:tc>
          <w:tcPr>
            <w:tcW w:w="1584" w:type="dxa"/>
          </w:tcPr>
          <w:p w:rsidR="000463FC" w:rsidRDefault="00000000">
            <w:pPr>
              <w:pStyle w:val="Compact"/>
            </w:pPr>
            <w:r>
              <w:t>arthritis</w:t>
            </w:r>
          </w:p>
        </w:tc>
        <w:tc>
          <w:tcPr>
            <w:tcW w:w="6336" w:type="dxa"/>
          </w:tcPr>
          <w:p w:rsidR="000463FC" w:rsidRDefault="00000000">
            <w:pPr>
              <w:pStyle w:val="Compact"/>
            </w:pPr>
            <w:r>
              <w:t>No , Yes</w:t>
            </w:r>
          </w:p>
        </w:tc>
      </w:tr>
      <w:tr w:rsidR="000463FC">
        <w:tc>
          <w:tcPr>
            <w:tcW w:w="1584" w:type="dxa"/>
          </w:tcPr>
          <w:p w:rsidR="000463FC" w:rsidRDefault="00000000">
            <w:pPr>
              <w:pStyle w:val="Compact"/>
            </w:pPr>
            <w:r>
              <w:t>age_grp5</w:t>
            </w:r>
          </w:p>
        </w:tc>
        <w:tc>
          <w:tcPr>
            <w:tcW w:w="6336" w:type="dxa"/>
          </w:tcPr>
          <w:p w:rsidR="000463FC" w:rsidRDefault="00000000">
            <w:pPr>
              <w:pStyle w:val="Compact"/>
            </w:pPr>
            <w:r>
              <w:t>15-19, 20-24, 25-29, 30-34, 35-39, 40-44, 45-49, 50-54, 55-59, 60-64</w:t>
            </w:r>
          </w:p>
        </w:tc>
      </w:tr>
      <w:tr w:rsidR="000463FC">
        <w:tc>
          <w:tcPr>
            <w:tcW w:w="1584" w:type="dxa"/>
          </w:tcPr>
          <w:p w:rsidR="000463FC" w:rsidRDefault="00000000">
            <w:pPr>
              <w:pStyle w:val="Compact"/>
            </w:pPr>
            <w:r>
              <w:t>residence_type</w:t>
            </w:r>
          </w:p>
        </w:tc>
        <w:tc>
          <w:tcPr>
            <w:tcW w:w="6336" w:type="dxa"/>
          </w:tcPr>
          <w:p w:rsidR="000463FC" w:rsidRDefault="00000000">
            <w:pPr>
              <w:pStyle w:val="Compact"/>
            </w:pPr>
            <w:r>
              <w:t>Rural, Urban</w:t>
            </w:r>
          </w:p>
        </w:tc>
      </w:tr>
      <w:tr w:rsidR="000463FC">
        <w:tc>
          <w:tcPr>
            <w:tcW w:w="1584" w:type="dxa"/>
          </w:tcPr>
          <w:p w:rsidR="000463FC" w:rsidRDefault="00000000">
            <w:pPr>
              <w:pStyle w:val="Compact"/>
            </w:pPr>
            <w:r>
              <w:t>edu_level</w:t>
            </w:r>
          </w:p>
        </w:tc>
        <w:tc>
          <w:tcPr>
            <w:tcW w:w="6336" w:type="dxa"/>
          </w:tcPr>
          <w:p w:rsidR="000463FC" w:rsidRDefault="00000000">
            <w:pPr>
              <w:pStyle w:val="Compact"/>
            </w:pPr>
            <w:r>
              <w:t>Higher , No education, Primary , Secondary</w:t>
            </w:r>
          </w:p>
        </w:tc>
      </w:tr>
      <w:tr w:rsidR="000463FC">
        <w:tc>
          <w:tcPr>
            <w:tcW w:w="1584" w:type="dxa"/>
          </w:tcPr>
          <w:p w:rsidR="000463FC" w:rsidRDefault="00000000">
            <w:pPr>
              <w:pStyle w:val="Compact"/>
            </w:pPr>
            <w:r>
              <w:t>mobile</w:t>
            </w:r>
          </w:p>
        </w:tc>
        <w:tc>
          <w:tcPr>
            <w:tcW w:w="6336" w:type="dxa"/>
          </w:tcPr>
          <w:p w:rsidR="000463FC" w:rsidRDefault="00000000">
            <w:pPr>
              <w:pStyle w:val="Compact"/>
            </w:pPr>
            <w:r>
              <w:t>No , Yes</w:t>
            </w:r>
          </w:p>
        </w:tc>
      </w:tr>
      <w:tr w:rsidR="000463FC">
        <w:tc>
          <w:tcPr>
            <w:tcW w:w="1584" w:type="dxa"/>
          </w:tcPr>
          <w:p w:rsidR="000463FC" w:rsidRDefault="00000000">
            <w:pPr>
              <w:pStyle w:val="Compact"/>
            </w:pPr>
            <w:r>
              <w:t>internet_use</w:t>
            </w:r>
          </w:p>
        </w:tc>
        <w:tc>
          <w:tcPr>
            <w:tcW w:w="6336" w:type="dxa"/>
          </w:tcPr>
          <w:p w:rsidR="000463FC" w:rsidRDefault="00000000">
            <w:pPr>
              <w:pStyle w:val="Compact"/>
            </w:pPr>
            <w:r>
              <w:t>Never , Yes, before last 12 months, Yes, last 12 months</w:t>
            </w:r>
          </w:p>
        </w:tc>
      </w:tr>
      <w:tr w:rsidR="000463FC">
        <w:tc>
          <w:tcPr>
            <w:tcW w:w="1584" w:type="dxa"/>
          </w:tcPr>
          <w:p w:rsidR="000463FC" w:rsidRDefault="00000000">
            <w:pPr>
              <w:pStyle w:val="Compact"/>
            </w:pPr>
            <w:r>
              <w:t>wealth_idx</w:t>
            </w:r>
          </w:p>
        </w:tc>
        <w:tc>
          <w:tcPr>
            <w:tcW w:w="6336" w:type="dxa"/>
          </w:tcPr>
          <w:p w:rsidR="000463FC" w:rsidRDefault="00000000">
            <w:pPr>
              <w:pStyle w:val="Compact"/>
            </w:pPr>
            <w:r>
              <w:t>Middle , Poorer , Poorest, Richer , Richest</w:t>
            </w:r>
          </w:p>
        </w:tc>
      </w:tr>
      <w:tr w:rsidR="000463FC">
        <w:tc>
          <w:tcPr>
            <w:tcW w:w="1584" w:type="dxa"/>
          </w:tcPr>
          <w:p w:rsidR="000463FC" w:rsidRDefault="00000000">
            <w:pPr>
              <w:pStyle w:val="Compact"/>
            </w:pPr>
            <w:r>
              <w:t>smokes</w:t>
            </w:r>
          </w:p>
        </w:tc>
        <w:tc>
          <w:tcPr>
            <w:tcW w:w="6336" w:type="dxa"/>
          </w:tcPr>
          <w:p w:rsidR="000463FC" w:rsidRDefault="00000000">
            <w:pPr>
              <w:pStyle w:val="Compact"/>
            </w:pPr>
            <w:r>
              <w:t>, No , Yes</w:t>
            </w:r>
          </w:p>
        </w:tc>
      </w:tr>
      <w:tr w:rsidR="000463FC">
        <w:tc>
          <w:tcPr>
            <w:tcW w:w="1584" w:type="dxa"/>
          </w:tcPr>
          <w:p w:rsidR="000463FC" w:rsidRDefault="00000000">
            <w:pPr>
              <w:pStyle w:val="Compact"/>
            </w:pPr>
            <w:r>
              <w:t>breathing_exercise</w:t>
            </w:r>
          </w:p>
        </w:tc>
        <w:tc>
          <w:tcPr>
            <w:tcW w:w="6336" w:type="dxa"/>
          </w:tcPr>
          <w:p w:rsidR="000463FC" w:rsidRDefault="00000000">
            <w:pPr>
              <w:pStyle w:val="Compact"/>
            </w:pPr>
            <w:r>
              <w:t>No , Yes</w:t>
            </w:r>
          </w:p>
        </w:tc>
      </w:tr>
    </w:tbl>
    <w:p w:rsidR="000463FC" w:rsidRDefault="00000000">
      <w:pPr>
        <w:pStyle w:val="Heading2"/>
      </w:pPr>
      <w:bookmarkStart w:id="1" w:name="table-2-descriptive-statistics"/>
      <w:bookmarkEnd w:id="0"/>
      <w:r>
        <w:lastRenderedPageBreak/>
        <w:t>Table 2: Descriptive statistics</w:t>
      </w:r>
    </w:p>
    <w:tbl>
      <w:tblPr>
        <w:tblStyle w:val="Table"/>
        <w:tblW w:w="0" w:type="auto"/>
        <w:jc w:val="center"/>
        <w:tblCellMar>
          <w:left w:w="60" w:type="dxa"/>
          <w:right w:w="60" w:type="dxa"/>
        </w:tblCellMar>
        <w:tblLook w:val="0000" w:firstRow="0" w:lastRow="0" w:firstColumn="0" w:lastColumn="0" w:noHBand="0" w:noVBand="0"/>
      </w:tblPr>
      <w:tblGrid>
        <w:gridCol w:w="2458"/>
        <w:gridCol w:w="677"/>
        <w:gridCol w:w="1696"/>
        <w:gridCol w:w="1443"/>
        <w:gridCol w:w="805"/>
      </w:tblGrid>
      <w:tr w:rsidR="000463FC" w:rsidTr="000463FC">
        <w:trPr>
          <w:cantSplit/>
          <w:tblHeader/>
          <w:jc w:val="center"/>
        </w:trPr>
        <w:tc>
          <w:tcPr>
            <w:tcW w:w="0" w:type="auto"/>
            <w:tcBorders>
              <w:top w:val="single" w:sz="16" w:space="0" w:color="D3D3D3"/>
              <w:left w:val="single" w:sz="0" w:space="0" w:color="D3D3D3"/>
              <w:bottom w:val="single" w:sz="16" w:space="0" w:color="D3D3D3"/>
            </w:tcBorders>
          </w:tcPr>
          <w:p w:rsidR="000463FC" w:rsidRDefault="00000000">
            <w:pPr>
              <w:keepNext/>
              <w:spacing w:after="60"/>
            </w:pPr>
            <w:r>
              <w:rPr>
                <w:rFonts w:ascii="Calibri" w:hAnsi="Calibri"/>
                <w:b/>
                <w:sz w:val="20"/>
              </w:rPr>
              <w:t>Variable</w:t>
            </w:r>
          </w:p>
        </w:tc>
        <w:tc>
          <w:tcPr>
            <w:tcW w:w="0" w:type="auto"/>
            <w:tcBorders>
              <w:top w:val="single" w:sz="16" w:space="0" w:color="D3D3D3"/>
              <w:bottom w:val="single" w:sz="16" w:space="0" w:color="D3D3D3"/>
            </w:tcBorders>
          </w:tcPr>
          <w:p w:rsidR="000463FC" w:rsidRDefault="00000000">
            <w:pPr>
              <w:keepNext/>
              <w:spacing w:after="60"/>
              <w:jc w:val="center"/>
            </w:pPr>
            <w:r>
              <w:rPr>
                <w:rFonts w:ascii="Calibri" w:hAnsi="Calibri"/>
                <w:b/>
                <w:sz w:val="20"/>
              </w:rPr>
              <w:t>N</w:t>
            </w:r>
          </w:p>
        </w:tc>
        <w:tc>
          <w:tcPr>
            <w:tcW w:w="0" w:type="auto"/>
            <w:tcBorders>
              <w:top w:val="single" w:sz="16" w:space="0" w:color="D3D3D3"/>
              <w:bottom w:val="single" w:sz="16" w:space="0" w:color="D3D3D3"/>
            </w:tcBorders>
          </w:tcPr>
          <w:p w:rsidR="000463FC" w:rsidRDefault="00000000">
            <w:pPr>
              <w:keepNext/>
              <w:spacing w:after="60"/>
              <w:jc w:val="center"/>
            </w:pPr>
            <w:r>
              <w:rPr>
                <w:rFonts w:ascii="Calibri" w:hAnsi="Calibri"/>
                <w:b/>
                <w:sz w:val="20"/>
              </w:rPr>
              <w:t>No</w:t>
            </w:r>
            <w:r>
              <w:rPr>
                <w:rFonts w:ascii="Calibri" w:hAnsi="Calibri"/>
                <w:sz w:val="20"/>
              </w:rPr>
              <w:t xml:space="preserve"> N = 19,125</w:t>
            </w:r>
            <w:r>
              <w:rPr>
                <w:rFonts w:ascii="Calibri" w:hAnsi="Calibri"/>
                <w:i/>
                <w:sz w:val="20"/>
                <w:vertAlign w:val="superscript"/>
              </w:rPr>
              <w:t>1</w:t>
            </w:r>
          </w:p>
        </w:tc>
        <w:tc>
          <w:tcPr>
            <w:tcW w:w="0" w:type="auto"/>
            <w:tcBorders>
              <w:top w:val="single" w:sz="16" w:space="0" w:color="D3D3D3"/>
              <w:bottom w:val="single" w:sz="16" w:space="0" w:color="D3D3D3"/>
            </w:tcBorders>
          </w:tcPr>
          <w:p w:rsidR="000463FC" w:rsidRDefault="00000000">
            <w:pPr>
              <w:keepNext/>
              <w:spacing w:after="60"/>
              <w:jc w:val="center"/>
            </w:pPr>
            <w:r>
              <w:rPr>
                <w:rFonts w:ascii="Calibri" w:hAnsi="Calibri"/>
                <w:b/>
                <w:sz w:val="20"/>
              </w:rPr>
              <w:t>Yes</w:t>
            </w:r>
            <w:r>
              <w:rPr>
                <w:rFonts w:ascii="Calibri" w:hAnsi="Calibri"/>
                <w:sz w:val="20"/>
              </w:rPr>
              <w:t xml:space="preserve"> N = 1,229</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rsidR="000463FC" w:rsidRDefault="00000000">
            <w:pPr>
              <w:keepNext/>
              <w:spacing w:after="60"/>
              <w:jc w:val="center"/>
            </w:pPr>
            <w:r>
              <w:rPr>
                <w:rFonts w:ascii="Calibri" w:hAnsi="Calibri"/>
                <w:b/>
                <w:sz w:val="20"/>
              </w:rPr>
              <w:t>p-value</w:t>
            </w:r>
            <w:r>
              <w:rPr>
                <w:rFonts w:ascii="Calibri" w:hAnsi="Calibri"/>
                <w:i/>
                <w:sz w:val="20"/>
                <w:vertAlign w:val="superscript"/>
              </w:rPr>
              <w:t>2</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b/>
                <w:sz w:val="20"/>
              </w:rPr>
              <w:t>age_grp5</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20,354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15-19</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3,892.00 (20.35%)</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43.00 (3.50%)</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20-24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3,283.00 (17.17%)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62.00 (5.04%)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25-29</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2,777.00 (14.52%)</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76.00 (6.18%)</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30-34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2,298.00 (12.02%)</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98.00 (7.97%)</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35-39</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1,885.00 (9.86%)</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110.00 (8.95%)</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40-44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1,426.00 (7.46%)</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132.00 (10.74%)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45-49</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1,003.00 (5.24%)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117.00 (9.52%)</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50-54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1,205.00 (6.30%)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252.00 (20.50%)</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55-59</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709.00 (3.71%)</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174.00 (14.16%)</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60-64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647.00 (3.38%)</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165.00 (13.43%)</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b/>
                <w:sz w:val="20"/>
              </w:rPr>
              <w:t>residence_type</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20,354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0.8</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Rural</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13,706.00 (71.67%)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877.00 (71.36%)</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Urban</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5,419.00 (28.33%)</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352.00 (28.64%)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b/>
                <w:sz w:val="20"/>
              </w:rPr>
              <w:t>edu_level</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20,354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Higher</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497.00 (2.60%)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18.00 (1.46%)</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No education</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11,656.00 (60.95%)</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873.00 (71.03%)</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Primary</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2,849.00 (14.90%)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169.00 (13.75%)</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Secondary</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4,123.00 (21.56%)</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169.00 (13.75%)</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b/>
                <w:sz w:val="20"/>
              </w:rPr>
              <w:t>wealth_idx</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20,354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0.10</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Middle</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4,079.00 (21.33%)</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226.00 (18.39%)</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Poorer</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3,547.00 (18.55%)</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249.00 (20.26%)</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Poorest</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3,444.00 (18.01%)</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217.00 (17.66%)</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Richer</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4,594.00 (24.02%)</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314.00 (25.55%)</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Richest</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3,461.00 (18.10%)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223.00 (18.14%)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b/>
                <w:sz w:val="20"/>
              </w:rPr>
              <w:t>mobile</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20,354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11,755.00 (61.46%)</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812.00 (66.07%)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b/>
                <w:sz w:val="20"/>
              </w:rPr>
              <w:t>internet_use</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20,354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Never</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11,965.00 (62.56%)</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842.00 (68.51%)</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Yes, before last 12 months</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508.00 (2.66%)</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14.00 (1.14%)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Yes, last 12 months</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6,652.00 (34.78%)</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373.00 (30.35%)</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b/>
                <w:sz w:val="20"/>
              </w:rPr>
              <w:t>smokes</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20,354</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2,561.00 (13.39%)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591.00 (48.09%)</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16,433.00 (85.92%)</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622.00 (50.61%)</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131.00 (0.68%)</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16.00 (1.30%)</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b/>
                <w:sz w:val="20"/>
              </w:rPr>
              <w:lastRenderedPageBreak/>
              <w:t>breathing_exercise</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20,354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585.00 (3.06%)</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25.00 (2.03%)</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0.041</w:t>
            </w:r>
          </w:p>
        </w:tc>
      </w:tr>
      <w:tr w:rsidR="000463FC" w:rsidTr="000463FC">
        <w:trPr>
          <w:cantSplit/>
          <w:jc w:val="center"/>
        </w:trPr>
        <w:tc>
          <w:tcPr>
            <w:tcW w:w="0" w:type="auto"/>
            <w:gridSpan w:val="5"/>
          </w:tcPr>
          <w:p w:rsidR="000463FC" w:rsidRDefault="00000000">
            <w:pPr>
              <w:keepNext/>
              <w:spacing w:after="60"/>
            </w:pPr>
            <w:r>
              <w:rPr>
                <w:rFonts w:ascii="Calibri" w:hAnsi="Calibri"/>
                <w:i/>
                <w:sz w:val="20"/>
                <w:vertAlign w:val="superscript"/>
              </w:rPr>
              <w:t>1</w:t>
            </w:r>
            <w:r>
              <w:rPr>
                <w:rFonts w:ascii="Calibri" w:hAnsi="Calibri"/>
                <w:sz w:val="20"/>
              </w:rPr>
              <w:t>n (%)</w:t>
            </w:r>
          </w:p>
        </w:tc>
      </w:tr>
      <w:tr w:rsidR="000463FC" w:rsidTr="000463FC">
        <w:trPr>
          <w:cantSplit/>
          <w:jc w:val="center"/>
        </w:trPr>
        <w:tc>
          <w:tcPr>
            <w:tcW w:w="0" w:type="auto"/>
            <w:gridSpan w:val="5"/>
          </w:tcPr>
          <w:p w:rsidR="000463FC" w:rsidRDefault="00000000">
            <w:pPr>
              <w:keepNext/>
              <w:spacing w:after="60"/>
            </w:pPr>
            <w:r>
              <w:rPr>
                <w:rFonts w:ascii="Calibri" w:hAnsi="Calibri"/>
                <w:i/>
                <w:sz w:val="20"/>
                <w:vertAlign w:val="superscript"/>
              </w:rPr>
              <w:t>2</w:t>
            </w:r>
            <w:r>
              <w:rPr>
                <w:rFonts w:ascii="Calibri" w:hAnsi="Calibri"/>
                <w:sz w:val="20"/>
              </w:rPr>
              <w:t>Pearson's Chi-squared test</w:t>
            </w:r>
          </w:p>
        </w:tc>
      </w:tr>
    </w:tbl>
    <w:p w:rsidR="000463FC" w:rsidRDefault="00000000">
      <w:pPr>
        <w:pStyle w:val="FirstParagraph"/>
      </w:pPr>
      <w:r>
        <w:t>Table 2 shows that a greater percentage of women with arthritis are aged 50-54 (20.50%) and 60-64 (13.43%) compared to women without arthritis.</w:t>
      </w:r>
    </w:p>
    <w:p w:rsidR="000463FC" w:rsidRDefault="00000000">
      <w:pPr>
        <w:pStyle w:val="BodyText"/>
      </w:pPr>
      <w:r>
        <w:t>A higher percentage of women with arthritis have no education (71.03%) compared to women without arthritis (60.95%), while women with primary or secondary education have slightly lower percentages of arthritis.</w:t>
      </w:r>
    </w:p>
    <w:p w:rsidR="000463FC" w:rsidRDefault="00000000">
      <w:pPr>
        <w:pStyle w:val="BodyText"/>
      </w:pPr>
      <w:r>
        <w:t>Women from poorer (20.26%) and the poorest households (17.66%) have higher percentages of arthritis compared to women from middle (18.39%) and richer (25.55%) households.</w:t>
      </w:r>
    </w:p>
    <w:p w:rsidR="000463FC" w:rsidRDefault="00000000">
      <w:pPr>
        <w:pStyle w:val="BodyText"/>
      </w:pPr>
      <w:r>
        <w:t>A higher percentage of women with arthritis use mobile phones (66.07%) than those without (61.46%).</w:t>
      </w:r>
    </w:p>
    <w:p w:rsidR="000463FC" w:rsidRDefault="00000000">
      <w:pPr>
        <w:pStyle w:val="BodyText"/>
      </w:pPr>
      <w:r>
        <w:t>lastly, a higher percentage of women with arthritis smoke (48.09%) compared to women without arthritis (13.39%).</w:t>
      </w:r>
    </w:p>
    <w:p w:rsidR="000463FC" w:rsidRDefault="00000000">
      <w:pPr>
        <w:pStyle w:val="BodyText"/>
      </w:pPr>
      <w:r>
        <w:t>Fewer women with arthritis engage in breathing exercises (2.03%) compared to women without arthritis (3.06%).</w:t>
      </w:r>
    </w:p>
    <w:p w:rsidR="000463FC" w:rsidRDefault="00000000">
      <w:pPr>
        <w:pStyle w:val="Heading2"/>
      </w:pPr>
      <w:bookmarkStart w:id="2" w:name="table-3-binary-regression-analysis"/>
      <w:bookmarkEnd w:id="1"/>
      <w:r>
        <w:lastRenderedPageBreak/>
        <w:t>Table 3: Binary regression analysis</w:t>
      </w:r>
    </w:p>
    <w:tbl>
      <w:tblPr>
        <w:tblStyle w:val="Table"/>
        <w:tblW w:w="0" w:type="auto"/>
        <w:jc w:val="center"/>
        <w:tblCellMar>
          <w:left w:w="60" w:type="dxa"/>
          <w:right w:w="60" w:type="dxa"/>
        </w:tblCellMar>
        <w:tblLook w:val="0000" w:firstRow="0" w:lastRow="0" w:firstColumn="0" w:lastColumn="0" w:noHBand="0" w:noVBand="0"/>
      </w:tblPr>
      <w:tblGrid>
        <w:gridCol w:w="2458"/>
        <w:gridCol w:w="475"/>
        <w:gridCol w:w="925"/>
        <w:gridCol w:w="740"/>
      </w:tblGrid>
      <w:tr w:rsidR="000463FC" w:rsidTr="000463FC">
        <w:trPr>
          <w:cantSplit/>
          <w:tblHeader/>
          <w:jc w:val="center"/>
        </w:trPr>
        <w:tc>
          <w:tcPr>
            <w:tcW w:w="0" w:type="auto"/>
            <w:tcBorders>
              <w:top w:val="single" w:sz="16" w:space="0" w:color="D3D3D3"/>
              <w:left w:val="single" w:sz="0" w:space="0" w:color="D3D3D3"/>
              <w:bottom w:val="single" w:sz="16" w:space="0" w:color="D3D3D3"/>
            </w:tcBorders>
          </w:tcPr>
          <w:p w:rsidR="000463FC"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rsidR="000463FC" w:rsidRDefault="00000000">
            <w:pPr>
              <w:keepNext/>
              <w:spacing w:after="60"/>
              <w:jc w:val="center"/>
            </w:pPr>
            <w:r>
              <w:rPr>
                <w:rFonts w:ascii="Calibri" w:hAnsi="Calibri"/>
                <w:b/>
                <w:sz w:val="20"/>
              </w:rPr>
              <w:t>OR</w:t>
            </w:r>
            <w:r>
              <w:rPr>
                <w:rFonts w:ascii="Calibri" w:hAnsi="Calibri"/>
                <w:i/>
                <w:sz w:val="20"/>
                <w:vertAlign w:val="superscript"/>
              </w:rPr>
              <w:t>1</w:t>
            </w:r>
          </w:p>
        </w:tc>
        <w:tc>
          <w:tcPr>
            <w:tcW w:w="0" w:type="auto"/>
            <w:tcBorders>
              <w:top w:val="single" w:sz="16" w:space="0" w:color="D3D3D3"/>
              <w:bottom w:val="single" w:sz="16" w:space="0" w:color="D3D3D3"/>
            </w:tcBorders>
          </w:tcPr>
          <w:p w:rsidR="000463FC" w:rsidRDefault="00000000">
            <w:pPr>
              <w:keepNext/>
              <w:spacing w:after="60"/>
              <w:jc w:val="center"/>
            </w:pPr>
            <w:r>
              <w:rPr>
                <w:rFonts w:ascii="Calibri" w:hAnsi="Calibri"/>
                <w:b/>
                <w:sz w:val="20"/>
              </w:rPr>
              <w:t>95% CI</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rsidR="000463FC" w:rsidRDefault="00000000">
            <w:pPr>
              <w:keepNext/>
              <w:spacing w:after="60"/>
              <w:jc w:val="center"/>
            </w:pPr>
            <w:r>
              <w:rPr>
                <w:rFonts w:ascii="Calibri" w:hAnsi="Calibri"/>
                <w:b/>
                <w:sz w:val="20"/>
              </w:rPr>
              <w:t>p-value</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age_grp5</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15-19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20-24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1.78</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1.20, 2.67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0.004</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25-29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2.68</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1.83, 3.96</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30-34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4.29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2.98, 6.29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35-39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6.02</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4.19, 8.80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40-44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9.76</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6.84, 14.2</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45-49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12.1</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8.40, 17.7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50-54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7.75</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4.21, 15.1</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55-59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9.14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4.92, 17.9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60-64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9.67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5.21, 18.9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residence_type</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Rural</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Urban</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1.14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0.98, 1.33</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0.084</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edu_level</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Higher</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No education</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1.30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0.80, 2.23</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0.3</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Primary</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1.02, 2.90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0.052</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Secondary</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1.47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0.91, 2.53</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0.14</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wealth_idx</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Middle</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Poorer</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1.07, 1.57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0.009</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Poorest</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1.11</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0.91, 1.35</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0.3</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Richer</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1.31</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1.09, 1.57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0.004</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Richest</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1.30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1.05, 1.60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0.014</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mobile</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1.20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1.04, 1.39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0.011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internet_use</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Never</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Yes, before last 12 months</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0.60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0.33, 1.00</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0.070</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Yes, last 12 months</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1.14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0.97, 1.34</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0.12</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smokes</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smokes</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0.20, 0.59</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&lt;0.001</w:t>
            </w: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breathing_exercise</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lastRenderedPageBreak/>
              <w:t>    No</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rsidR="000463FC" w:rsidRDefault="000463FC">
            <w:pPr>
              <w:keepNext/>
              <w:spacing w:after="60"/>
              <w:jc w:val="center"/>
            </w:pPr>
          </w:p>
        </w:tc>
      </w:tr>
      <w:tr w:rsidR="000463FC" w:rsidTr="000463FC">
        <w:trPr>
          <w:cantSplit/>
          <w:jc w:val="center"/>
        </w:trPr>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1.05, 2.55</w:t>
            </w:r>
          </w:p>
        </w:tc>
        <w:tc>
          <w:tcPr>
            <w:tcW w:w="0" w:type="auto"/>
            <w:tcBorders>
              <w:top w:val="single" w:sz="0" w:space="0" w:color="D3D3D3"/>
              <w:left w:val="single" w:sz="0" w:space="0" w:color="D3D3D3"/>
              <w:bottom w:val="single" w:sz="0" w:space="0" w:color="D3D3D3"/>
              <w:right w:val="single" w:sz="0" w:space="0" w:color="D3D3D3"/>
            </w:tcBorders>
          </w:tcPr>
          <w:p w:rsidR="000463FC" w:rsidRDefault="00000000">
            <w:pPr>
              <w:keepNext/>
              <w:spacing w:after="60"/>
              <w:jc w:val="center"/>
            </w:pPr>
            <w:r>
              <w:rPr>
                <w:rFonts w:ascii="Calibri" w:hAnsi="Calibri"/>
                <w:sz w:val="20"/>
              </w:rPr>
              <w:t>0.024</w:t>
            </w:r>
          </w:p>
        </w:tc>
      </w:tr>
      <w:tr w:rsidR="000463FC" w:rsidTr="000463FC">
        <w:trPr>
          <w:cantSplit/>
          <w:jc w:val="center"/>
        </w:trPr>
        <w:tc>
          <w:tcPr>
            <w:tcW w:w="0" w:type="auto"/>
            <w:gridSpan w:val="4"/>
          </w:tcPr>
          <w:p w:rsidR="000463FC" w:rsidRDefault="00000000">
            <w:pPr>
              <w:keepNext/>
              <w:spacing w:after="60"/>
            </w:pPr>
            <w:r>
              <w:rPr>
                <w:rFonts w:ascii="Calibri" w:hAnsi="Calibri"/>
                <w:i/>
                <w:sz w:val="20"/>
                <w:vertAlign w:val="superscript"/>
              </w:rPr>
              <w:t>1</w:t>
            </w:r>
            <w:r>
              <w:rPr>
                <w:rFonts w:ascii="Calibri" w:hAnsi="Calibri"/>
                <w:sz w:val="20"/>
              </w:rPr>
              <w:t>OR = Odds Ratio, CI = Confidence Interval</w:t>
            </w:r>
          </w:p>
        </w:tc>
      </w:tr>
    </w:tbl>
    <w:p w:rsidR="000463FC" w:rsidRDefault="00000000">
      <w:pPr>
        <w:pStyle w:val="FirstParagraph"/>
      </w:pPr>
      <w:r>
        <w:t>As shown in Table 3, the odds of having arthritis significantly increased with age. For instance, women aged 45-49 had 12.1 times the odds of arthritis compared to the youngest group of women aged 15-19 (OR=12.1, 95% CI: 8.40–17.7). Compared to women from middle-income households, those from poorer (OR=1.29, 95% CI: 1.07–1.57), richer (OR=1.31, 95% CI: 1.09–1.57), and richest households (OR=1.30, 95% CI: 1.05–1.60) had significantly higher odds of having arthritis. Women who use mobile phones had 1.20 times higher odds of arthritis compared to non-users (OR=1.20, 95% CI: 1.04–1.39). Not smoking was associated with significantly lower odds of arthritis (OR=0.33, 95% CI: 0.20–0.59). Additionally, women who engage in breathing exercises had 1.67 times the odds of arthritis compared to those who do not (OR=1.67, 95% CI: 1.05–2.55).</w:t>
      </w:r>
      <w:bookmarkEnd w:id="2"/>
    </w:p>
    <w:sectPr w:rsidR="000463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A84DB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57191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FC"/>
    <w:rsid w:val="000463FC"/>
    <w:rsid w:val="008D0EE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docId w15:val="{4D38E031-F408-5E42-A430-B9846AA68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Relationship between lifestyle behavious and arthritis among women aged 15 years and above in Mali: a cross-sectional study</dc:title>
  <dc:creator>FSS 2025</dc:creator>
  <cp:keywords/>
  <cp:lastModifiedBy>Microsoft Office User</cp:lastModifiedBy>
  <cp:revision>2</cp:revision>
  <dcterms:created xsi:type="dcterms:W3CDTF">2025-12-02T17:38:00Z</dcterms:created>
  <dcterms:modified xsi:type="dcterms:W3CDTF">2025-12-02T17:38:00Z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2025-12-02</vt:lpwstr>
  </property>
  <property fmtid="{D5CDD505-2E9C-101B-9397-08002B2CF9AE}" pid="3" name="output">
    <vt:lpwstr>word_document</vt:lpwstr>
  </property>
</Properties>
</file>