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ec-referencia"/>
    <w:p>
      <w:pPr>
        <w:pStyle w:val="Heading1"/>
      </w:pPr>
      <w:r>
        <w:t xml:space="preserve">Referencia metodológica</w:t>
      </w:r>
    </w:p>
    <w:p>
      <w:pPr>
        <w:pStyle w:val="FirstParagraph"/>
      </w:pPr>
      <w:r>
        <w:rPr>
          <w:i/>
          <w:iCs/>
        </w:rPr>
        <w:t xml:space="preserve">Herramienta 1 · Detalle metodológico por indicador · Versión del 26 de octubre de 2026</w:t>
      </w:r>
    </w:p>
    <w:p>
      <w:pPr>
        <w:pStyle w:val="BodyText"/>
      </w:pPr>
      <w:r>
        <w:t xml:space="preserve">Este capítulo reúne, en un solo lugar, la referencia metodológica que necesita para preparar sus datos o configurar la</w:t>
      </w:r>
      <w:r>
        <w:t xml:space="preserve"> </w:t>
      </w:r>
      <w:hyperlink r:id="rId9">
        <w:r>
          <w:rPr>
            <w:rStyle w:val="Hyperlink"/>
          </w:rPr>
          <w:t xml:space="preserve">aplicación de cálculo</w:t>
        </w:r>
      </w:hyperlink>
      <w:r>
        <w:t xml:space="preserve"> </w:t>
      </w:r>
      <w:r>
        <w:t xml:space="preserve">(Herramienta 3). Se recomienda tenerlo a mano junto con el</w:t>
      </w:r>
      <w:r>
        <w:t xml:space="preserve"> </w:t>
      </w:r>
      <w:hyperlink r:id="rId10">
        <w:r>
          <w:rPr>
            <w:rStyle w:val="Hyperlink"/>
          </w:rPr>
          <w:t xml:space="preserve">Manual</w:t>
        </w:r>
      </w:hyperlink>
      <w:r>
        <w:t xml:space="preserve">: mientras el manual indica los pasos a seguir, esta referencia aporta el detalle metodológico específico de cada indicador.</w:t>
      </w:r>
    </w:p>
    <w:p>
      <w:pPr>
        <w:pStyle w:val="Compact"/>
        <w:numPr>
          <w:ilvl w:val="0"/>
          <w:numId w:val="100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Parte 1</w:t>
      </w:r>
      <w:r>
        <w:t xml:space="preserve"> </w:t>
      </w:r>
      <w:r>
        <w:t xml:space="preserve">explica los conceptos generales: enfoques de evaluación, línea base, estadístico anual, medida de dispersión, interpretación y categorías AVP.</w:t>
      </w:r>
    </w:p>
    <w:p>
      <w:pPr>
        <w:pStyle w:val="Compact"/>
        <w:numPr>
          <w:ilvl w:val="0"/>
          <w:numId w:val="100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Parte 2</w:t>
      </w:r>
      <w:r>
        <w:t xml:space="preserve"> </w:t>
      </w:r>
      <w:r>
        <w:t xml:space="preserve">le da los valores exactos para su indicador específico.</w:t>
      </w:r>
    </w:p>
    <w:bookmarkStart w:id="22" w:name="sec-parte1"/>
    <w:p>
      <w:pPr>
        <w:pStyle w:val="Heading2"/>
      </w:pPr>
      <w:r>
        <w:t xml:space="preserve">Parte 1 · Tabla de referencia general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C:\quarto\share\formats\docx\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Todo esto se contempla y automatiza en la aplicación de cálculo (Herramienta 3), que le recomendamos usar para aplicar a sus datos.</w:t>
            </w:r>
          </w:p>
          <w:p/>
        </w:tc>
      </w:tr>
    </w:tbl>
    <w:bookmarkStart w:id="14" w:name="dos-enfoques-de-evaluación"/>
    <w:p>
      <w:pPr>
        <w:pStyle w:val="Heading3"/>
      </w:pPr>
      <w:r>
        <w:t xml:space="preserve">1. Dos enfoques de evaluación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Enfoque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Ámbito de Variación Permisible (AVP)</w:t>
            </w:r>
          </w:p>
        </w:tc>
        <w:tc>
          <w:tcPr/>
          <w:p>
            <w:pPr>
              <w:pStyle w:val="Compact"/>
            </w:pPr>
            <w:r>
              <w:t xml:space="preserve">Herramienta de alerta temprana: compara el valor anual del indicador contra percentiles (P10, P25, P50, P75) calculados sobre una línea base histórica. Se usa cuando hay una línea base representativa de 5 o 10 años. Útil para indicadores con alta variabilidad y distribuciones no normales.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Modelos Aditivos Generalizados Mixtos (GAMM)</w:t>
            </w:r>
          </w:p>
        </w:tc>
        <w:tc>
          <w:tcPr/>
          <w:p>
            <w:pPr>
              <w:pStyle w:val="Compact"/>
            </w:pPr>
            <w:r>
              <w:t xml:space="preserve">Análisis de tendencia a largo plazo. Se aplica a indicadores con series &gt;10 años y ≥30-40 eventos de monitoreo, complementando el AVP.</w:t>
            </w:r>
          </w:p>
        </w:tc>
      </w:tr>
    </w:tbl>
    <w:bookmarkEnd w:id="14"/>
    <w:bookmarkStart w:id="15" w:name="duración-de-la-línea-base-y-réplicas"/>
    <w:p>
      <w:pPr>
        <w:pStyle w:val="Heading3"/>
      </w:pPr>
      <w:r>
        <w:t xml:space="preserve">2. Duración de la línea base y réplicas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Línea base de 5 años</w:t>
            </w:r>
          </w:p>
        </w:tc>
        <w:tc>
          <w:tcPr/>
          <w:p>
            <w:pPr>
              <w:pStyle w:val="Compact"/>
            </w:pPr>
            <w:r>
              <w:t xml:space="preserve">Para indicadores/especies con ≥20 eventos de monitoreo por año dentro de los primeros 5 años.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Línea base de 10 años</w:t>
            </w:r>
          </w:p>
        </w:tc>
        <w:tc>
          <w:tcPr/>
          <w:p>
            <w:pPr>
              <w:pStyle w:val="Compact"/>
            </w:pPr>
            <w:r>
              <w:t xml:space="preserve">Cuando no se alcanza el mínimo de 20 eventos de monitoreo por año en 5 años pero sí hay ≥10 años de datos (típico de indicadores de baja frecuencia, ej. 1 evento por temporada: anidación de tortugas marinas).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 no se alcanza ningún umbral</w:t>
            </w:r>
          </w:p>
        </w:tc>
        <w:tc>
          <w:tcPr/>
          <w:p>
            <w:pPr>
              <w:pStyle w:val="Compact"/>
            </w:pPr>
            <w:r>
              <w:t xml:space="preserve">Se mantiene el cálculo del indicador anual simple hasta alcanzar el umbral mínimo requerido para construir la línea base.</w:t>
            </w:r>
          </w:p>
        </w:tc>
      </w:tr>
    </w:tbl>
    <w:bookmarkEnd w:id="15"/>
    <w:bookmarkStart w:id="16" w:name="elección-de-estadístico-anual"/>
    <w:p>
      <w:pPr>
        <w:pStyle w:val="Heading3"/>
      </w:pPr>
      <w:r>
        <w:t xml:space="preserve">3. Elección de estadístico anual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Estadístico</w:t>
            </w:r>
          </w:p>
        </w:tc>
        <w:tc>
          <w:tcPr/>
          <w:p>
            <w:pPr>
              <w:pStyle w:val="Compact"/>
            </w:pPr>
            <w:r>
              <w:t xml:space="preserve">Cuándo se usa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Mediana anual</w:t>
            </w:r>
          </w:p>
        </w:tc>
        <w:tc>
          <w:tcPr/>
          <w:p>
            <w:pPr>
              <w:pStyle w:val="Compact"/>
            </w:pPr>
            <w:r>
              <w:t xml:space="preserve">Indicadores con alta variabilidad natural, outliers frecuentes o distribuciones sesgadas (censos visuales, CPUE, BPUE, BRUVS, DOV).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Promedio anual</w:t>
            </w:r>
          </w:p>
        </w:tc>
        <w:tc>
          <w:tcPr/>
          <w:p>
            <w:pPr>
              <w:pStyle w:val="Compact"/>
            </w:pPr>
            <w:r>
              <w:t xml:space="preserve">Indicadores biométricos con variabilidad más estable (longitud, talla, peso).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Estimación / valor directo anual o por temporada</w:t>
            </w:r>
          </w:p>
        </w:tc>
        <w:tc>
          <w:tcPr/>
          <w:p>
            <w:pPr>
              <w:pStyle w:val="Compact"/>
            </w:pPr>
            <w:r>
              <w:t xml:space="preserve">Conteos únicos por temporada o salidas de modelos poblacionales (nidos de tortugas, hembras anidadoras, tamaño poblacional por CMR).</w:t>
            </w:r>
          </w:p>
        </w:tc>
      </w:tr>
    </w:tbl>
    <w:bookmarkEnd w:id="16"/>
    <w:bookmarkStart w:id="17" w:name="medida-de-dispersión"/>
    <w:p>
      <w:pPr>
        <w:pStyle w:val="Heading3"/>
      </w:pPr>
      <w:r>
        <w:t xml:space="preserve">4. Medida de dispersión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Estadístico anual</w:t>
            </w:r>
          </w:p>
        </w:tc>
        <w:tc>
          <w:tcPr/>
          <w:p>
            <w:pPr>
              <w:pStyle w:val="Compact"/>
            </w:pPr>
            <w:r>
              <w:t xml:space="preserve">Medida de dispersión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Mediana anual</w:t>
            </w:r>
          </w:p>
        </w:tc>
        <w:tc>
          <w:tcPr/>
          <w:p>
            <w:pPr>
              <w:pStyle w:val="Compact"/>
            </w:pPr>
            <w:r>
              <w:t xml:space="preserve">Rango intercuartílico (RIC): P75 − P25 de las réplicas del año.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Promedio anual</w:t>
            </w:r>
          </w:p>
        </w:tc>
        <w:tc>
          <w:tcPr/>
          <w:p>
            <w:pPr>
              <w:pStyle w:val="Compact"/>
            </w:pPr>
            <w:r>
              <w:t xml:space="preserve">Desviación estándar (DE) de las réplicas del año.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 directo (sumatoria o valor único anual)</w:t>
            </w:r>
          </w:p>
        </w:tc>
        <w:tc>
          <w:tcPr/>
          <w:p>
            <w:pPr>
              <w:pStyle w:val="Compact"/>
            </w:pPr>
            <w:r>
              <w:t xml:space="preserve">No aplica: hay un solo valor por año, por lo que la dispersión se reporta como 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Salidas de modelos de captura-marca-recaptura</w:t>
            </w:r>
          </w:p>
        </w:tc>
        <w:tc>
          <w:tcPr/>
          <w:p>
            <w:pPr>
              <w:pStyle w:val="Compact"/>
            </w:pPr>
            <w:r>
              <w:t xml:space="preserve">Intervalo de confianza del 95 % (IC95) estimado por el propio modelo.</w:t>
            </w:r>
          </w:p>
        </w:tc>
      </w:tr>
    </w:tbl>
    <w:bookmarkEnd w:id="17"/>
    <w:bookmarkStart w:id="18" w:name="sec-interpretacion"/>
    <w:p>
      <w:pPr>
        <w:pStyle w:val="Heading3"/>
      </w:pPr>
      <w:r>
        <w:t xml:space="preserve">5. Tipos de interpretación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Interpretación A</w:t>
            </w:r>
          </w:p>
        </w:tc>
        <w:tc>
          <w:tcPr/>
          <w:p>
            <w:pPr>
              <w:pStyle w:val="Compact"/>
            </w:pPr>
            <w:r>
              <w:t xml:space="preserve">Valores altos = condición favorable; valores bajos = alerta/deterioro. Aplica a la mayoría de los indicadores del Plan.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Interpretación B</w:t>
            </w:r>
          </w:p>
        </w:tc>
        <w:tc>
          <w:tcPr/>
          <w:p>
            <w:pPr>
              <w:pStyle w:val="Compact"/>
            </w:pPr>
            <w:r>
              <w:t xml:space="preserve">Valores altos = condición desfavorable (presión/impacto/riesgo); la lógica del semáforo se invierte.</w:t>
            </w:r>
          </w:p>
        </w:tc>
      </w:tr>
    </w:tbl>
    <w:bookmarkEnd w:id="18"/>
    <w:bookmarkStart w:id="19" w:name="categorías-de-evaluación-avp"/>
    <w:p>
      <w:pPr>
        <w:pStyle w:val="Heading3"/>
      </w:pPr>
      <w:r>
        <w:t xml:space="preserve">6. Categorías de evaluación AVP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pPr>
              <w:jc w:val="center"/>
              <w:spacing w:before="200"/>
              <w:pStyle w:val="ImageCaption"/>
            </w:pPr>
          </w:p>
          <w:tbl>
            <w:tblPr>
              <w:tblStyle w:val="Table"/>
              <w:tblW w:type="pct" w:w="4900"/>
              <w:tblLayout w:type="fixed"/>
              <w:tblLook w:firstRow="1" w:lastRow="0" w:firstColumn="0" w:lastColumn="0" w:noHBand="0" w:noVBand="0" w:val="0020"/>
            </w:tblPr>
            <w:tblGrid>
              <w:gridCol w:w="3880"/>
              <w:gridCol w:w="3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Percentil (interpretación A)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Designación AVP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≤ P10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Crítico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P10 &lt; valor ≤ P25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Alerta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P25 &lt; valor ≤ P50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Estable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P50 &lt; valor ≤ P75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Bueno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&gt; P75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Muy bueno</w:t>
                  </w:r>
                </w:p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2500"/>
        <w:tblLayout w:type="fixed"/>
        <w:tblLook w:firstRow="0" w:lastRow="0" w:firstColumn="0" w:lastColumn="0" w:noHBand="0" w:noVBand="0" w:val="0000"/>
      </w:tblPr>
      <w:tblGrid>
        <w:gridCol w:w="3960"/>
      </w:tblGrid>
      <w:tr>
        <w:tc>
          <w:tcPr/>
          <w:p>
            <w:pPr>
              <w:pStyle w:val="FirstParagraph"/>
            </w:pPr>
            <w:pPr>
              <w:jc w:val="center"/>
              <w:spacing w:before="200"/>
              <w:pStyle w:val="ImageCaption"/>
            </w:pPr>
          </w:p>
          <w:tbl>
            <w:tblPr>
              <w:tblStyle w:val="Table"/>
              <w:tblW w:type="pct" w:w="4900"/>
              <w:tblLayout w:type="fixed"/>
              <w:tblLook w:firstRow="1" w:lastRow="0" w:firstColumn="0" w:lastColumn="0" w:noHBand="0" w:noVBand="0" w:val="0020"/>
            </w:tblPr>
            <w:tblGrid>
              <w:gridCol w:w="3880"/>
              <w:gridCol w:w="3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Percentil (interpretación B)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Designación AVP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&gt; P75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Crítico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P51 - P75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Alerta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P26 - P50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Estable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P11 - P25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Bueno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≤ P10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Muy bueno</w:t>
                  </w:r>
                </w:p>
              </w:tc>
            </w:tr>
          </w:tbl>
          <w:p/>
        </w:tc>
      </w:tr>
    </w:tbl>
    <w:bookmarkEnd w:id="19"/>
    <w:bookmarkStart w:id="20" w:name="excepción-metodológica"/>
    <w:p>
      <w:pPr>
        <w:pStyle w:val="Heading3"/>
      </w:pPr>
      <w:r>
        <w:t xml:space="preserve">7. Excepción metodológica</w:t>
      </w:r>
    </w:p>
    <w:p>
      <w:pPr>
        <w:pStyle w:val="FirstParagraph"/>
      </w:pPr>
      <w:r>
        <w:t xml:space="preserve">Los indicadores basados en foto-identificación con modelos de</w:t>
      </w:r>
      <w:r>
        <w:t xml:space="preserve"> </w:t>
      </w:r>
      <w:r>
        <w:rPr>
          <w:b/>
          <w:bCs/>
        </w:rPr>
        <w:t xml:space="preserve">Captura-Marca-Recaptura</w:t>
      </w:r>
      <w:r>
        <w:t xml:space="preserve"> </w:t>
      </w:r>
      <w:r>
        <w:t xml:space="preserve">propios (ej. tamaño poblacional de tiburón ballena, abundancia por DPS de ballena jorobada) NO usan AVP ni GAMM: cuentan con sus propios modelos poblacionales (Cormack-Jolly-Seber, modelos de espacio de estados, CKMR) que ya estiman tamaño poblacional y tendencia.</w:t>
      </w:r>
    </w:p>
    <w:p>
      <w:pPr>
        <w:pStyle w:val="BodyText"/>
      </w:pPr>
      <w:r>
        <w:t xml:space="preserve">Comparaciones entre poblaciones no son posibles (ballenas, entre otros).</w:t>
      </w:r>
    </w:p>
    <w:bookmarkEnd w:id="20"/>
    <w:bookmarkStart w:id="21" w:name="unidades-poblacionales-y-etapas-de-vida"/>
    <w:p>
      <w:pPr>
        <w:pStyle w:val="Heading3"/>
      </w:pPr>
      <w:r>
        <w:t xml:space="preserve">8. Unidades poblacionales y etapas de vida</w:t>
      </w:r>
    </w:p>
    <w:p>
      <w:pPr>
        <w:pStyle w:val="FirstParagraph"/>
      </w:pPr>
      <w:r>
        <w:t xml:space="preserve">Los indicadores de especies con unidades poblacionales definidas (por ejemplo, las poblaciones diferenciadas de ballena jorobada) solo se comparan dentro de su propia población. Estas unidades, geográficas o de individuos, se definen con expertos. Para algunas especies también se separa el uso de hábitat según la etapa de vida (juveniles o adultos).</w:t>
      </w:r>
    </w:p>
    <w:bookmarkEnd w:id="21"/>
    <w:bookmarkEnd w:id="22"/>
    <w:bookmarkStart w:id="29" w:name="sec-parte2"/>
    <w:p>
      <w:pPr>
        <w:pStyle w:val="Heading2"/>
      </w:pPr>
      <w:r>
        <w:t xml:space="preserve">Parte 2 · Lista de detalles metodológicos por indicador</w:t>
      </w:r>
    </w:p>
    <w:p>
      <w:pPr>
        <w:pStyle w:val="FirstParagraph"/>
      </w:pPr>
      <w:r>
        <w:t xml:space="preserve">Busque su especie y el código de su indicador en las tablas siguientes para conocer los valores exactos que le corresponden. También puede usar el buscador (arriba a la izquierda) con el código, por ejemplo</w:t>
      </w:r>
      <w:r>
        <w:t xml:space="preserve"> </w:t>
      </w:r>
      <w:r>
        <w:rPr>
          <w:i/>
          <w:iCs/>
        </w:rPr>
        <w:t xml:space="preserve">SLE-05</w:t>
      </w:r>
      <w:r>
        <w:t xml:space="preserve">. La columna</w:t>
      </w:r>
      <w:r>
        <w:t xml:space="preserve"> </w:t>
      </w:r>
      <w:r>
        <w:rPr>
          <w:i/>
          <w:iCs/>
        </w:rPr>
        <w:t xml:space="preserve">Interpretación</w:t>
      </w:r>
      <w:r>
        <w:t xml:space="preserve"> </w:t>
      </w:r>
      <w:r>
        <w:t xml:space="preserve">se explica en la</w:t>
      </w:r>
      <w:r>
        <w:t xml:space="preserve"> </w:t>
      </w:r>
      <w:hyperlink w:anchor="sec-interpretacion">
        <w:r>
          <w:rPr>
            <w:rStyle w:val="Hyperlink"/>
          </w:rPr>
          <w:t xml:space="preserve">Parte 1, sección 5</w:t>
        </w:r>
      </w:hyperlink>
      <w:r>
        <w:t xml:space="preserve">.</w:t>
      </w:r>
    </w:p>
    <w:bookmarkStart w:id="23" w:name="tiburón-martillo"/>
    <w:p>
      <w:pPr>
        <w:pStyle w:val="Heading3"/>
      </w:pPr>
      <w:r>
        <w:t xml:space="preserve">Tiburón martillo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1742"/>
        <w:gridCol w:w="1425"/>
        <w:gridCol w:w="1108"/>
        <w:gridCol w:w="1425"/>
        <w:gridCol w:w="633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Indicador · técnica</w:t>
            </w:r>
          </w:p>
        </w:tc>
        <w:tc>
          <w:tcPr/>
          <w:p>
            <w:pPr>
              <w:pStyle w:val="Compact"/>
            </w:pPr>
            <w:r>
              <w:t xml:space="preserve">Variables de esfuerzo</w:t>
            </w:r>
          </w:p>
        </w:tc>
        <w:tc>
          <w:tcPr/>
          <w:p>
            <w:pPr>
              <w:pStyle w:val="Compact"/>
            </w:pPr>
            <w:r>
              <w:t xml:space="preserve">Estadístico anual</w:t>
            </w:r>
          </w:p>
        </w:tc>
        <w:tc>
          <w:tcPr/>
          <w:p>
            <w:pPr>
              <w:pStyle w:val="Compact"/>
            </w:pPr>
            <w:r>
              <w:t xml:space="preserve">Medida de dispersión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  <w:tc>
          <w:tcPr/>
          <w:p>
            <w:pPr>
              <w:pStyle w:val="Compact"/>
            </w:pPr>
            <w:r>
              <w:t xml:space="preserve">Línea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SLE-01</w:t>
            </w:r>
          </w:p>
        </w:tc>
        <w:tc>
          <w:tcPr/>
          <w:p>
            <w:pPr>
              <w:pStyle w:val="Compact"/>
            </w:pPr>
            <w:r>
              <w:t xml:space="preserve">Abundancia relativa pelágica · BRUVS</w:t>
            </w:r>
          </w:p>
        </w:tc>
        <w:tc>
          <w:tcPr/>
          <w:p>
            <w:pPr>
              <w:pStyle w:val="Compact"/>
            </w:pPr>
            <w:r>
              <w:t xml:space="preserve">horas de grabación (hr)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Rango intercuartílico (P75 − P25)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SLE-02</w:t>
            </w:r>
          </w:p>
        </w:tc>
        <w:tc>
          <w:tcPr/>
          <w:p>
            <w:pPr>
              <w:pStyle w:val="Compact"/>
            </w:pPr>
            <w:r>
              <w:t xml:space="preserve">Abundancia relativa bentónica · BRUVS</w:t>
            </w:r>
          </w:p>
        </w:tc>
        <w:tc>
          <w:tcPr/>
          <w:p>
            <w:pPr>
              <w:pStyle w:val="Compact"/>
            </w:pPr>
            <w:r>
              <w:t xml:space="preserve">horas de grabación (hr)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Rango intercuartílico (P75 − P25)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SLE-03</w:t>
            </w:r>
          </w:p>
        </w:tc>
        <w:tc>
          <w:tcPr/>
          <w:p>
            <w:pPr>
              <w:pStyle w:val="Compact"/>
            </w:pPr>
            <w:r>
              <w:t xml:space="preserve">Densidad poblacional · DOV</w:t>
            </w:r>
          </w:p>
        </w:tc>
        <w:tc>
          <w:tcPr/>
          <w:p>
            <w:pPr>
              <w:pStyle w:val="Compact"/>
            </w:pPr>
            <w:r>
              <w:t xml:space="preserve">área muestreada (m²/ha)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Rango intercuartílico (P75 − P25)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SLE-04</w:t>
            </w:r>
          </w:p>
        </w:tc>
        <w:tc>
          <w:tcPr/>
          <w:p>
            <w:pPr>
              <w:pStyle w:val="Compact"/>
            </w:pPr>
            <w:r>
              <w:t xml:space="preserve">Longitud total promedio · BRUVS</w:t>
            </w:r>
          </w:p>
        </w:tc>
        <w:tc>
          <w:tcPr/>
          <w:p>
            <w:pPr>
              <w:pStyle w:val="Compact"/>
            </w:pPr>
            <w:r>
              <w:t xml:space="preserve"># individuos medidos</w:t>
            </w:r>
          </w:p>
        </w:tc>
        <w:tc>
          <w:tcPr/>
          <w:p>
            <w:pPr>
              <w:pStyle w:val="Compact"/>
            </w:pPr>
            <w:r>
              <w:t xml:space="preserve">Promedio</w:t>
            </w:r>
          </w:p>
        </w:tc>
        <w:tc>
          <w:tcPr/>
          <w:p>
            <w:pPr>
              <w:pStyle w:val="Compact"/>
            </w:pPr>
            <w:r>
              <w:t xml:space="preserve">Desviación estándar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SLE-05</w:t>
            </w:r>
          </w:p>
        </w:tc>
        <w:tc>
          <w:tcPr/>
          <w:p>
            <w:pPr>
              <w:pStyle w:val="Compact"/>
            </w:pPr>
            <w:r>
              <w:t xml:space="preserve">SPUE · Buceo</w:t>
            </w:r>
          </w:p>
        </w:tc>
        <w:tc>
          <w:tcPr/>
          <w:p>
            <w:pPr>
              <w:pStyle w:val="Compact"/>
            </w:pPr>
            <w:r>
              <w:t xml:space="preserve"># inmersiones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Rango intercuartílico (P75 − P25)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SLE-06</w:t>
            </w:r>
          </w:p>
        </w:tc>
        <w:tc>
          <w:tcPr/>
          <w:p>
            <w:pPr>
              <w:pStyle w:val="Compact"/>
            </w:pPr>
            <w:r>
              <w:t xml:space="preserve">CPUE · Pesca científica palangre fondo</w:t>
            </w:r>
          </w:p>
        </w:tc>
        <w:tc>
          <w:tcPr/>
          <w:p>
            <w:pPr>
              <w:pStyle w:val="Compact"/>
            </w:pPr>
            <w:r>
              <w:t xml:space="preserve">anzuelos × horas (u otra unidad)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Rango intercuartílico (P75 − P25)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SLE-07</w:t>
            </w:r>
          </w:p>
        </w:tc>
        <w:tc>
          <w:tcPr/>
          <w:p>
            <w:pPr>
              <w:pStyle w:val="Compact"/>
            </w:pPr>
            <w:r>
              <w:t xml:space="preserve">BPUE · Pesca cerco</w:t>
            </w:r>
          </w:p>
        </w:tc>
        <w:tc>
          <w:tcPr/>
          <w:p>
            <w:pPr>
              <w:pStyle w:val="Compact"/>
            </w:pPr>
            <w:r>
              <w:t xml:space="preserve"># sets (lances)</w:t>
            </w:r>
          </w:p>
        </w:tc>
        <w:tc>
          <w:tcPr/>
          <w:p>
            <w:pPr>
              <w:pStyle w:val="Compact"/>
            </w:pPr>
            <w:r>
              <w:t xml:space="preserve">Valor directo</w:t>
            </w:r>
          </w:p>
        </w:tc>
        <w:tc>
          <w:tcPr/>
          <w:p>
            <w:pPr>
              <w:pStyle w:val="Compact"/>
            </w:pPr>
            <w:r>
              <w:t xml:space="preserve">Desviación estándar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SLE-08</w:t>
            </w:r>
          </w:p>
        </w:tc>
        <w:tc>
          <w:tcPr/>
          <w:p>
            <w:pPr>
              <w:pStyle w:val="Compact"/>
            </w:pPr>
            <w:r>
              <w:t xml:space="preserve">Abundancia relativa · Cámaras sin carnada</w:t>
            </w:r>
          </w:p>
        </w:tc>
        <w:tc>
          <w:tcPr/>
          <w:p>
            <w:pPr>
              <w:pStyle w:val="Compact"/>
            </w:pPr>
            <w:r>
              <w:t xml:space="preserve">horas de grabación (hr)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Rango intercuartílico (P75 − P25)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</w:tbl>
    <w:bookmarkEnd w:id="23"/>
    <w:bookmarkStart w:id="24" w:name="tiburón-ballena"/>
    <w:p>
      <w:pPr>
        <w:pStyle w:val="Heading3"/>
      </w:pPr>
      <w:r>
        <w:t xml:space="preserve">Tiburón ballena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1742"/>
        <w:gridCol w:w="1425"/>
        <w:gridCol w:w="1108"/>
        <w:gridCol w:w="1425"/>
        <w:gridCol w:w="633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Indicador · técnica</w:t>
            </w:r>
          </w:p>
        </w:tc>
        <w:tc>
          <w:tcPr/>
          <w:p>
            <w:pPr>
              <w:pStyle w:val="Compact"/>
            </w:pPr>
            <w:r>
              <w:t xml:space="preserve">Variables de esfuerzo</w:t>
            </w:r>
          </w:p>
        </w:tc>
        <w:tc>
          <w:tcPr/>
          <w:p>
            <w:pPr>
              <w:pStyle w:val="Compact"/>
            </w:pPr>
            <w:r>
              <w:t xml:space="preserve">Estadístico anual</w:t>
            </w:r>
          </w:p>
        </w:tc>
        <w:tc>
          <w:tcPr/>
          <w:p>
            <w:pPr>
              <w:pStyle w:val="Compact"/>
            </w:pPr>
            <w:r>
              <w:t xml:space="preserve">Medida de dispersión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  <w:tc>
          <w:tcPr/>
          <w:p>
            <w:pPr>
              <w:pStyle w:val="Compact"/>
            </w:pPr>
            <w:r>
              <w:t xml:space="preserve">Línea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RTY-01</w:t>
            </w:r>
          </w:p>
        </w:tc>
        <w:tc>
          <w:tcPr/>
          <w:p>
            <w:pPr>
              <w:pStyle w:val="Compact"/>
            </w:pPr>
            <w:r>
              <w:t xml:space="preserve">Tamaño poblacional · Foto-ID acuática</w:t>
            </w:r>
          </w:p>
        </w:tc>
        <w:tc>
          <w:tcPr/>
          <w:p>
            <w:pPr>
              <w:pStyle w:val="Compact"/>
            </w:pPr>
            <w:r>
              <w:t xml:space="preserve">historia de captura + #fotos/#días</w:t>
            </w:r>
          </w:p>
        </w:tc>
        <w:tc>
          <w:tcPr/>
          <w:p>
            <w:pPr>
              <w:pStyle w:val="Compact"/>
            </w:pPr>
            <w:r>
              <w:t xml:space="preserve">Valor directo (salida del modelo CMR)</w:t>
            </w:r>
          </w:p>
        </w:tc>
        <w:tc>
          <w:tcPr/>
          <w:p>
            <w:pPr>
              <w:pStyle w:val="Compact"/>
            </w:pPr>
            <w:r>
              <w:t xml:space="preserve">Intervalo de confianza 95 %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No aplica (modelo poblacional propio)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RTY-02</w:t>
            </w:r>
          </w:p>
        </w:tc>
        <w:tc>
          <w:tcPr/>
          <w:p>
            <w:pPr>
              <w:pStyle w:val="Compact"/>
            </w:pPr>
            <w:r>
              <w:t xml:space="preserve">Tamaño poblacional (genético) · Buceo</w:t>
            </w:r>
          </w:p>
        </w:tc>
        <w:tc>
          <w:tcPr/>
          <w:p>
            <w:pPr>
              <w:pStyle w:val="Compact"/>
            </w:pPr>
            <w:r>
              <w:t xml:space="preserve">perfiles genéticos / muestras de tejido</w:t>
            </w:r>
          </w:p>
        </w:tc>
        <w:tc>
          <w:tcPr/>
          <w:p>
            <w:pPr>
              <w:pStyle w:val="Compact"/>
            </w:pPr>
            <w:r>
              <w:t xml:space="preserve">Valor directo (salida del modelo)</w:t>
            </w:r>
          </w:p>
        </w:tc>
        <w:tc>
          <w:tcPr/>
          <w:p>
            <w:pPr>
              <w:pStyle w:val="Compact"/>
            </w:pPr>
            <w:r>
              <w:t xml:space="preserve">Intervalo de confianza 95 %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No aplica (modelo poblacional propio)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RTY-03</w:t>
            </w:r>
          </w:p>
        </w:tc>
        <w:tc>
          <w:tcPr/>
          <w:p>
            <w:pPr>
              <w:pStyle w:val="Compact"/>
            </w:pPr>
            <w:r>
              <w:t xml:space="preserve">SPUE · Buceo</w:t>
            </w:r>
          </w:p>
        </w:tc>
        <w:tc>
          <w:tcPr/>
          <w:p>
            <w:pPr>
              <w:pStyle w:val="Compact"/>
            </w:pPr>
            <w:r>
              <w:t xml:space="preserve"># inmersiones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Rango intercuartílico (P75 − P25)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RTY-04</w:t>
            </w:r>
          </w:p>
        </w:tc>
        <w:tc>
          <w:tcPr/>
          <w:p>
            <w:pPr>
              <w:pStyle w:val="Compact"/>
            </w:pPr>
            <w:r>
              <w:t xml:space="preserve">Varamientos · Evidencias varamientos</w:t>
            </w:r>
          </w:p>
        </w:tc>
        <w:tc>
          <w:tcPr/>
          <w:p>
            <w:pPr>
              <w:pStyle w:val="Compact"/>
            </w:pPr>
            <w:r>
              <w:t xml:space="preserve">año</w:t>
            </w:r>
          </w:p>
        </w:tc>
        <w:tc>
          <w:tcPr/>
          <w:p>
            <w:pPr>
              <w:pStyle w:val="Compact"/>
            </w:pPr>
            <w:r>
              <w:t xml:space="preserve">Valor directo (conteo anual)</w:t>
            </w:r>
          </w:p>
        </w:tc>
        <w:tc>
          <w:tcPr/>
          <w:p>
            <w:pPr>
              <w:pStyle w:val="Compact"/>
            </w:pPr>
            <w:r>
              <w:t xml:space="preserve">No aplica (NA)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10 años (baja frecuencia de eventos)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RTY-05</w:t>
            </w:r>
          </w:p>
        </w:tc>
        <w:tc>
          <w:tcPr/>
          <w:p>
            <w:pPr>
              <w:pStyle w:val="Compact"/>
            </w:pPr>
            <w:r>
              <w:t xml:space="preserve">Densidad poblacional · Drones</w:t>
            </w:r>
          </w:p>
        </w:tc>
        <w:tc>
          <w:tcPr/>
          <w:p>
            <w:pPr>
              <w:pStyle w:val="Compact"/>
            </w:pPr>
            <w:r>
              <w:t xml:space="preserve">km² muestreados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Rango intercuartílico (P75 − P25)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RTY-06</w:t>
            </w:r>
          </w:p>
        </w:tc>
        <w:tc>
          <w:tcPr/>
          <w:p>
            <w:pPr>
              <w:pStyle w:val="Compact"/>
            </w:pPr>
            <w:r>
              <w:t xml:space="preserve">N° de interacciones · Pesca cerco</w:t>
            </w:r>
          </w:p>
        </w:tc>
        <w:tc>
          <w:tcPr/>
          <w:p>
            <w:pPr>
              <w:pStyle w:val="Compact"/>
            </w:pPr>
            <w:r>
              <w:t xml:space="preserve"># sets y/o # embarcaciones (según definición)</w:t>
            </w:r>
          </w:p>
        </w:tc>
        <w:tc>
          <w:tcPr/>
          <w:p>
            <w:pPr>
              <w:pStyle w:val="Compact"/>
            </w:pPr>
            <w:r>
              <w:t xml:space="preserve">Valor directo</w:t>
            </w:r>
          </w:p>
        </w:tc>
        <w:tc>
          <w:tcPr/>
          <w:p>
            <w:pPr>
              <w:pStyle w:val="Compact"/>
            </w:pPr>
            <w:r>
              <w:t xml:space="preserve">Desviación estándar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</w:tbl>
    <w:bookmarkEnd w:id="24"/>
    <w:bookmarkStart w:id="25" w:name="tortuga-verde"/>
    <w:p>
      <w:pPr>
        <w:pStyle w:val="Heading3"/>
      </w:pPr>
      <w:r>
        <w:t xml:space="preserve">Tortuga verde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1742"/>
        <w:gridCol w:w="1425"/>
        <w:gridCol w:w="1108"/>
        <w:gridCol w:w="1425"/>
        <w:gridCol w:w="633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Indicador · técnica</w:t>
            </w:r>
          </w:p>
        </w:tc>
        <w:tc>
          <w:tcPr/>
          <w:p>
            <w:pPr>
              <w:pStyle w:val="Compact"/>
            </w:pPr>
            <w:r>
              <w:t xml:space="preserve">Variables de esfuerzo</w:t>
            </w:r>
          </w:p>
        </w:tc>
        <w:tc>
          <w:tcPr/>
          <w:p>
            <w:pPr>
              <w:pStyle w:val="Compact"/>
            </w:pPr>
            <w:r>
              <w:t xml:space="preserve">Estadístico anual</w:t>
            </w:r>
          </w:p>
        </w:tc>
        <w:tc>
          <w:tcPr/>
          <w:p>
            <w:pPr>
              <w:pStyle w:val="Compact"/>
            </w:pPr>
            <w:r>
              <w:t xml:space="preserve">Medida de dispersión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  <w:tc>
          <w:tcPr/>
          <w:p>
            <w:pPr>
              <w:pStyle w:val="Compact"/>
            </w:pPr>
            <w:r>
              <w:t xml:space="preserve">Línea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CMA-01</w:t>
            </w:r>
          </w:p>
        </w:tc>
        <w:tc>
          <w:tcPr/>
          <w:p>
            <w:pPr>
              <w:pStyle w:val="Compact"/>
            </w:pPr>
            <w:r>
              <w:t xml:space="preserve">N° de hembras · Monitoreo playa</w:t>
            </w:r>
          </w:p>
        </w:tc>
        <w:tc>
          <w:tcPr/>
          <w:p>
            <w:pPr>
              <w:pStyle w:val="Compact"/>
            </w:pPr>
            <w:r>
              <w:t xml:space="preserve">implícito; establecer un mínimo, ej. noches/km patrullados</w:t>
            </w:r>
          </w:p>
        </w:tc>
        <w:tc>
          <w:tcPr/>
          <w:p>
            <w:pPr>
              <w:pStyle w:val="Compact"/>
            </w:pPr>
            <w:r>
              <w:t xml:space="preserve">Valor directo (por temporada)</w:t>
            </w:r>
          </w:p>
        </w:tc>
        <w:tc>
          <w:tcPr/>
          <w:p>
            <w:pPr>
              <w:pStyle w:val="Compact"/>
            </w:pPr>
            <w:r>
              <w:t xml:space="preserve">No aplica (NA)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10 años (1 evento de monitoreo por temporada)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CMA-02</w:t>
            </w:r>
          </w:p>
        </w:tc>
        <w:tc>
          <w:tcPr/>
          <w:p>
            <w:pPr>
              <w:pStyle w:val="Compact"/>
            </w:pPr>
            <w:r>
              <w:t xml:space="preserve">N° de nidos · Monitoreo playa</w:t>
            </w:r>
          </w:p>
        </w:tc>
        <w:tc>
          <w:tcPr/>
          <w:p>
            <w:pPr>
              <w:pStyle w:val="Compact"/>
            </w:pPr>
            <w:r>
              <w:t xml:space="preserve">implícito; establecer un mínimo, ej. noches/km patrullados</w:t>
            </w:r>
          </w:p>
        </w:tc>
        <w:tc>
          <w:tcPr/>
          <w:p>
            <w:pPr>
              <w:pStyle w:val="Compact"/>
            </w:pPr>
            <w:r>
              <w:t xml:space="preserve">Valor directo (por temporada)</w:t>
            </w:r>
          </w:p>
        </w:tc>
        <w:tc>
          <w:tcPr/>
          <w:p>
            <w:pPr>
              <w:pStyle w:val="Compact"/>
            </w:pPr>
            <w:r>
              <w:t xml:space="preserve">No aplica (NA)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10 años (1 evento de monitoreo por temporada)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CMA-03</w:t>
            </w:r>
          </w:p>
        </w:tc>
        <w:tc>
          <w:tcPr/>
          <w:p>
            <w:pPr>
              <w:pStyle w:val="Compact"/>
            </w:pPr>
            <w:r>
              <w:t xml:space="preserve">N° de nidadas · Monitoreo playa</w:t>
            </w:r>
          </w:p>
        </w:tc>
        <w:tc>
          <w:tcPr/>
          <w:p>
            <w:pPr>
              <w:pStyle w:val="Compact"/>
            </w:pPr>
            <w:r>
              <w:t xml:space="preserve">implícito; establecer un mínimo, ej. noches/km patrullados</w:t>
            </w:r>
          </w:p>
        </w:tc>
        <w:tc>
          <w:tcPr/>
          <w:p>
            <w:pPr>
              <w:pStyle w:val="Compact"/>
            </w:pPr>
            <w:r>
              <w:t xml:space="preserve">Valor directo (por temporada)</w:t>
            </w:r>
          </w:p>
        </w:tc>
        <w:tc>
          <w:tcPr/>
          <w:p>
            <w:pPr>
              <w:pStyle w:val="Compact"/>
            </w:pPr>
            <w:r>
              <w:t xml:space="preserve">No aplica (NA)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10 años (1 evento de monitoreo por temporada)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CMA-04</w:t>
            </w:r>
          </w:p>
        </w:tc>
        <w:tc>
          <w:tcPr/>
          <w:p>
            <w:pPr>
              <w:pStyle w:val="Compact"/>
            </w:pPr>
            <w:r>
              <w:t xml:space="preserve">Tasa de crecimiento · Monitoreo playa; Captura en agua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  <w:tc>
          <w:tcPr/>
          <w:p>
            <w:pPr>
              <w:pStyle w:val="Compact"/>
            </w:pPr>
            <w:r>
              <w:t xml:space="preserve">Promedio</w:t>
            </w:r>
          </w:p>
        </w:tc>
        <w:tc>
          <w:tcPr/>
          <w:p>
            <w:pPr>
              <w:pStyle w:val="Compact"/>
            </w:pPr>
            <w:r>
              <w:t xml:space="preserve">Desviación estándar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10 años (según diseño metodológico del indicador)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CMA-05</w:t>
            </w:r>
          </w:p>
        </w:tc>
        <w:tc>
          <w:tcPr/>
          <w:p>
            <w:pPr>
              <w:pStyle w:val="Compact"/>
            </w:pPr>
            <w:r>
              <w:t xml:space="preserve">SPUE · Buceo</w:t>
            </w:r>
          </w:p>
        </w:tc>
        <w:tc>
          <w:tcPr/>
          <w:p>
            <w:pPr>
              <w:pStyle w:val="Compact"/>
            </w:pPr>
            <w:r>
              <w:t xml:space="preserve"># inmersiones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Rango intercuartílico (P75 − P25)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CMA-06</w:t>
            </w:r>
          </w:p>
        </w:tc>
        <w:tc>
          <w:tcPr/>
          <w:p>
            <w:pPr>
              <w:pStyle w:val="Compact"/>
            </w:pPr>
            <w:r>
              <w:t xml:space="preserve">BPUE · Pesca cerco</w:t>
            </w:r>
          </w:p>
        </w:tc>
        <w:tc>
          <w:tcPr/>
          <w:p>
            <w:pPr>
              <w:pStyle w:val="Compact"/>
            </w:pPr>
            <w:r>
              <w:t xml:space="preserve"># sets (lances)</w:t>
            </w:r>
          </w:p>
        </w:tc>
        <w:tc>
          <w:tcPr/>
          <w:p>
            <w:pPr>
              <w:pStyle w:val="Compact"/>
            </w:pPr>
            <w:r>
              <w:t xml:space="preserve">Valor directo</w:t>
            </w:r>
          </w:p>
        </w:tc>
        <w:tc>
          <w:tcPr/>
          <w:p>
            <w:pPr>
              <w:pStyle w:val="Compact"/>
            </w:pPr>
            <w:r>
              <w:t xml:space="preserve">Desviación estándar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</w:tbl>
    <w:bookmarkEnd w:id="25"/>
    <w:bookmarkStart w:id="26" w:name="bacalao-de-galápagos"/>
    <w:p>
      <w:pPr>
        <w:pStyle w:val="Heading3"/>
      </w:pPr>
      <w:r>
        <w:t xml:space="preserve">Bacalao de Galápagos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1742"/>
        <w:gridCol w:w="1425"/>
        <w:gridCol w:w="1108"/>
        <w:gridCol w:w="1425"/>
        <w:gridCol w:w="633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Indicador · técnica</w:t>
            </w:r>
          </w:p>
        </w:tc>
        <w:tc>
          <w:tcPr/>
          <w:p>
            <w:pPr>
              <w:pStyle w:val="Compact"/>
            </w:pPr>
            <w:r>
              <w:t xml:space="preserve">Variables de esfuerzo</w:t>
            </w:r>
          </w:p>
        </w:tc>
        <w:tc>
          <w:tcPr/>
          <w:p>
            <w:pPr>
              <w:pStyle w:val="Compact"/>
            </w:pPr>
            <w:r>
              <w:t xml:space="preserve">Estadístico anual</w:t>
            </w:r>
          </w:p>
        </w:tc>
        <w:tc>
          <w:tcPr/>
          <w:p>
            <w:pPr>
              <w:pStyle w:val="Compact"/>
            </w:pPr>
            <w:r>
              <w:t xml:space="preserve">Medida de dispersión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  <w:tc>
          <w:tcPr/>
          <w:p>
            <w:pPr>
              <w:pStyle w:val="Compact"/>
            </w:pPr>
            <w:r>
              <w:t xml:space="preserve">Línea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MOL-01</w:t>
            </w:r>
          </w:p>
        </w:tc>
        <w:tc>
          <w:tcPr/>
          <w:p>
            <w:pPr>
              <w:pStyle w:val="Compact"/>
            </w:pPr>
            <w:r>
              <w:t xml:space="preserve">SPUE · Buceo</w:t>
            </w:r>
          </w:p>
        </w:tc>
        <w:tc>
          <w:tcPr/>
          <w:p>
            <w:pPr>
              <w:pStyle w:val="Compact"/>
            </w:pPr>
            <w:r>
              <w:t xml:space="preserve"># inmersiones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Rango intercuartílico (P75 − P25)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MOL-02</w:t>
            </w:r>
          </w:p>
        </w:tc>
        <w:tc>
          <w:tcPr/>
          <w:p>
            <w:pPr>
              <w:pStyle w:val="Compact"/>
            </w:pPr>
            <w:r>
              <w:t xml:space="preserve">Densidad poblacional · Buceo</w:t>
            </w:r>
          </w:p>
        </w:tc>
        <w:tc>
          <w:tcPr/>
          <w:p>
            <w:pPr>
              <w:pStyle w:val="Compact"/>
            </w:pPr>
            <w:r>
              <w:t xml:space="preserve">área/longitud de transecto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Rango intercuartílico (P75 − P25)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MOL-03</w:t>
            </w:r>
          </w:p>
        </w:tc>
        <w:tc>
          <w:tcPr/>
          <w:p>
            <w:pPr>
              <w:pStyle w:val="Compact"/>
            </w:pPr>
            <w:r>
              <w:t xml:space="preserve">Abundancia relativa bentónica · BRUVS</w:t>
            </w:r>
          </w:p>
        </w:tc>
        <w:tc>
          <w:tcPr/>
          <w:p>
            <w:pPr>
              <w:pStyle w:val="Compact"/>
            </w:pPr>
            <w:r>
              <w:t xml:space="preserve">horas de grabación (hr)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Rango intercuartílico (P75 − P25)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MOL-04</w:t>
            </w:r>
          </w:p>
        </w:tc>
        <w:tc>
          <w:tcPr/>
          <w:p>
            <w:pPr>
              <w:pStyle w:val="Compact"/>
            </w:pPr>
            <w:r>
              <w:t xml:space="preserve">Abundancia relativa · Desembarques</w:t>
            </w:r>
          </w:p>
        </w:tc>
        <w:tc>
          <w:tcPr/>
          <w:p>
            <w:pPr>
              <w:pStyle w:val="Compact"/>
            </w:pPr>
            <w:r>
              <w:t xml:space="preserve">pescador×día; viajes×días, lances u otra unidad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Rango intercuartílico (P75 − P25)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MOL-05</w:t>
            </w:r>
          </w:p>
        </w:tc>
        <w:tc>
          <w:tcPr/>
          <w:p>
            <w:pPr>
              <w:pStyle w:val="Compact"/>
            </w:pPr>
            <w:r>
              <w:t xml:space="preserve">Longitud total promedio · BRUVS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  <w:tc>
          <w:tcPr/>
          <w:p>
            <w:pPr>
              <w:pStyle w:val="Compact"/>
            </w:pPr>
            <w:r>
              <w:t xml:space="preserve">Promedio</w:t>
            </w:r>
          </w:p>
        </w:tc>
        <w:tc>
          <w:tcPr/>
          <w:p>
            <w:pPr>
              <w:pStyle w:val="Compact"/>
            </w:pPr>
            <w:r>
              <w:t xml:space="preserve">Desviación estándar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</w:tbl>
    <w:bookmarkEnd w:id="26"/>
    <w:bookmarkStart w:id="27" w:name="ballena-jorobada"/>
    <w:p>
      <w:pPr>
        <w:pStyle w:val="Heading3"/>
      </w:pPr>
      <w:r>
        <w:t xml:space="preserve">Ballena jorobada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1742"/>
        <w:gridCol w:w="1425"/>
        <w:gridCol w:w="1108"/>
        <w:gridCol w:w="1425"/>
        <w:gridCol w:w="633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Indicador · técnica</w:t>
            </w:r>
          </w:p>
        </w:tc>
        <w:tc>
          <w:tcPr/>
          <w:p>
            <w:pPr>
              <w:pStyle w:val="Compact"/>
            </w:pPr>
            <w:r>
              <w:t xml:space="preserve">Variables de esfuerzo</w:t>
            </w:r>
          </w:p>
        </w:tc>
        <w:tc>
          <w:tcPr/>
          <w:p>
            <w:pPr>
              <w:pStyle w:val="Compact"/>
            </w:pPr>
            <w:r>
              <w:t xml:space="preserve">Estadístico anual</w:t>
            </w:r>
          </w:p>
        </w:tc>
        <w:tc>
          <w:tcPr/>
          <w:p>
            <w:pPr>
              <w:pStyle w:val="Compact"/>
            </w:pPr>
            <w:r>
              <w:t xml:space="preserve">Medida de dispersión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  <w:tc>
          <w:tcPr/>
          <w:p>
            <w:pPr>
              <w:pStyle w:val="Compact"/>
            </w:pPr>
            <w:r>
              <w:t xml:space="preserve">Línea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MNO-01</w:t>
            </w:r>
          </w:p>
        </w:tc>
        <w:tc>
          <w:tcPr/>
          <w:p>
            <w:pPr>
              <w:pStyle w:val="Compact"/>
            </w:pPr>
            <w:r>
              <w:t xml:space="preserve">Abundancia · Foto-ID (avistamiento desde embarcación)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  <w:tc>
          <w:tcPr/>
          <w:p>
            <w:pPr>
              <w:pStyle w:val="Compact"/>
            </w:pPr>
            <w:r>
              <w:t xml:space="preserve">Valor directo (salida del modelo CMR)</w:t>
            </w:r>
          </w:p>
        </w:tc>
        <w:tc>
          <w:tcPr/>
          <w:p>
            <w:pPr>
              <w:pStyle w:val="Compact"/>
            </w:pPr>
            <w:r>
              <w:t xml:space="preserve">Intervalo de confianza 95 %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No aplica (modelo poblacional propio)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MNO-02</w:t>
            </w:r>
          </w:p>
        </w:tc>
        <w:tc>
          <w:tcPr/>
          <w:p>
            <w:pPr>
              <w:pStyle w:val="Compact"/>
            </w:pPr>
            <w:r>
              <w:t xml:space="preserve">Abundancia · Foto-ID (avistamiento desde embarcación)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  <w:tc>
          <w:tcPr/>
          <w:p>
            <w:pPr>
              <w:pStyle w:val="Compact"/>
            </w:pPr>
            <w:r>
              <w:t xml:space="preserve">Valor directo (salida del modelo CMR)</w:t>
            </w:r>
          </w:p>
        </w:tc>
        <w:tc>
          <w:tcPr/>
          <w:p>
            <w:pPr>
              <w:pStyle w:val="Compact"/>
            </w:pPr>
            <w:r>
              <w:t xml:space="preserve">Intervalo de confianza 95 %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No aplica (modelo poblacional propio)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MNO-03</w:t>
            </w:r>
          </w:p>
        </w:tc>
        <w:tc>
          <w:tcPr/>
          <w:p>
            <w:pPr>
              <w:pStyle w:val="Compact"/>
            </w:pPr>
            <w:r>
              <w:t xml:space="preserve">Abundancia · Foto-ID (avistamiento desde embarcación)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  <w:tc>
          <w:tcPr/>
          <w:p>
            <w:pPr>
              <w:pStyle w:val="Compact"/>
            </w:pPr>
            <w:r>
              <w:t xml:space="preserve">Valor directo (salida del modelo CMR)</w:t>
            </w:r>
          </w:p>
        </w:tc>
        <w:tc>
          <w:tcPr/>
          <w:p>
            <w:pPr>
              <w:pStyle w:val="Compact"/>
            </w:pPr>
            <w:r>
              <w:t xml:space="preserve">Intervalo de confianza 95 %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No aplica (modelo poblacional propio)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MNO-04</w:t>
            </w:r>
          </w:p>
        </w:tc>
        <w:tc>
          <w:tcPr/>
          <w:p>
            <w:pPr>
              <w:pStyle w:val="Compact"/>
            </w:pPr>
            <w:r>
              <w:t xml:space="preserve">Abundancia relativa · Conteo en bote turístico</w:t>
            </w:r>
          </w:p>
        </w:tc>
        <w:tc>
          <w:tcPr/>
          <w:p>
            <w:pPr>
              <w:pStyle w:val="Compact"/>
            </w:pPr>
            <w:r>
              <w:t xml:space="preserve">horas (hr)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Rango intercuartílico (P75 − P25)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</w:tbl>
    <w:bookmarkEnd w:id="27"/>
    <w:bookmarkStart w:id="28" w:name="atún-aleta-amarilla"/>
    <w:p>
      <w:pPr>
        <w:pStyle w:val="Heading3"/>
      </w:pPr>
      <w:r>
        <w:t xml:space="preserve">Atún aleta amarilla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1742"/>
        <w:gridCol w:w="1425"/>
        <w:gridCol w:w="1108"/>
        <w:gridCol w:w="1425"/>
        <w:gridCol w:w="633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Indicador · técnica</w:t>
            </w:r>
          </w:p>
        </w:tc>
        <w:tc>
          <w:tcPr/>
          <w:p>
            <w:pPr>
              <w:pStyle w:val="Compact"/>
            </w:pPr>
            <w:r>
              <w:t xml:space="preserve">Variables de esfuerzo</w:t>
            </w:r>
          </w:p>
        </w:tc>
        <w:tc>
          <w:tcPr/>
          <w:p>
            <w:pPr>
              <w:pStyle w:val="Compact"/>
            </w:pPr>
            <w:r>
              <w:t xml:space="preserve">Estadístico anual</w:t>
            </w:r>
          </w:p>
        </w:tc>
        <w:tc>
          <w:tcPr/>
          <w:p>
            <w:pPr>
              <w:pStyle w:val="Compact"/>
            </w:pPr>
            <w:r>
              <w:t xml:space="preserve">Medida de dispersión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  <w:tc>
          <w:tcPr/>
          <w:p>
            <w:pPr>
              <w:pStyle w:val="Compact"/>
            </w:pPr>
            <w:r>
              <w:t xml:space="preserve">Línea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THA-01</w:t>
            </w:r>
          </w:p>
        </w:tc>
        <w:tc>
          <w:tcPr/>
          <w:p>
            <w:pPr>
              <w:pStyle w:val="Compact"/>
            </w:pPr>
            <w:r>
              <w:t xml:space="preserve">Captura relativa · Pesca cerco</w:t>
            </w:r>
          </w:p>
        </w:tc>
        <w:tc>
          <w:tcPr/>
          <w:p>
            <w:pPr>
              <w:pStyle w:val="Compact"/>
            </w:pPr>
            <w:r>
              <w:t xml:space="preserve">(implícito)</w:t>
            </w:r>
          </w:p>
        </w:tc>
        <w:tc>
          <w:tcPr/>
          <w:p>
            <w:pPr>
              <w:pStyle w:val="Compact"/>
            </w:pPr>
            <w:r>
              <w:t xml:space="preserve">Valor directo anual</w:t>
            </w:r>
          </w:p>
        </w:tc>
        <w:tc>
          <w:tcPr/>
          <w:p>
            <w:pPr>
              <w:pStyle w:val="Compact"/>
            </w:pPr>
            <w:r>
              <w:t xml:space="preserve">Por definir</w:t>
            </w:r>
          </w:p>
        </w:tc>
        <w:tc>
          <w:tcPr/>
          <w:p>
            <w:pPr>
              <w:pStyle w:val="Compact"/>
            </w:pPr>
            <w:r>
              <w:t xml:space="preserve">Por definir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THA-02</w:t>
            </w:r>
          </w:p>
        </w:tc>
        <w:tc>
          <w:tcPr/>
          <w:p>
            <w:pPr>
              <w:pStyle w:val="Compact"/>
            </w:pPr>
            <w:r>
              <w:t xml:space="preserve">Captura relativa · Pesca cerco</w:t>
            </w:r>
          </w:p>
        </w:tc>
        <w:tc>
          <w:tcPr/>
          <w:p>
            <w:pPr>
              <w:pStyle w:val="Compact"/>
            </w:pPr>
            <w:r>
              <w:t xml:space="preserve">(implícito)</w:t>
            </w:r>
          </w:p>
        </w:tc>
        <w:tc>
          <w:tcPr/>
          <w:p>
            <w:pPr>
              <w:pStyle w:val="Compact"/>
            </w:pPr>
            <w:r>
              <w:t xml:space="preserve">Valor directo anual</w:t>
            </w:r>
          </w:p>
        </w:tc>
        <w:tc>
          <w:tcPr/>
          <w:p>
            <w:pPr>
              <w:pStyle w:val="Compact"/>
            </w:pPr>
            <w:r>
              <w:t xml:space="preserve">Por definir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THA-03</w:t>
            </w:r>
          </w:p>
        </w:tc>
        <w:tc>
          <w:tcPr/>
          <w:p>
            <w:pPr>
              <w:pStyle w:val="Compact"/>
            </w:pPr>
            <w:r>
              <w:t xml:space="preserve">Captura relativa · Pesca cerco</w:t>
            </w:r>
          </w:p>
        </w:tc>
        <w:tc>
          <w:tcPr/>
          <w:p>
            <w:pPr>
              <w:pStyle w:val="Compact"/>
            </w:pPr>
            <w:r>
              <w:t xml:space="preserve">(implícito)</w:t>
            </w:r>
          </w:p>
        </w:tc>
        <w:tc>
          <w:tcPr/>
          <w:p>
            <w:pPr>
              <w:pStyle w:val="Compact"/>
            </w:pPr>
            <w:r>
              <w:t xml:space="preserve">Valor directo anual</w:t>
            </w:r>
          </w:p>
        </w:tc>
        <w:tc>
          <w:tcPr/>
          <w:p>
            <w:pPr>
              <w:pStyle w:val="Compact"/>
            </w:pPr>
            <w:r>
              <w:t xml:space="preserve">Por definir</w:t>
            </w:r>
          </w:p>
        </w:tc>
        <w:tc>
          <w:tcPr/>
          <w:p>
            <w:pPr>
              <w:pStyle w:val="Compact"/>
            </w:pPr>
            <w:r>
              <w:t xml:space="preserve">Por definir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THA-04</w:t>
            </w:r>
          </w:p>
        </w:tc>
        <w:tc>
          <w:tcPr/>
          <w:p>
            <w:pPr>
              <w:pStyle w:val="Compact"/>
            </w:pPr>
            <w:r>
              <w:t xml:space="preserve">Captura por lance relativa · Pesca cerco</w:t>
            </w:r>
          </w:p>
        </w:tc>
        <w:tc>
          <w:tcPr/>
          <w:p>
            <w:pPr>
              <w:pStyle w:val="Compact"/>
            </w:pPr>
            <w:r>
              <w:t xml:space="preserve">set (embebido en la definición)</w:t>
            </w:r>
          </w:p>
        </w:tc>
        <w:tc>
          <w:tcPr/>
          <w:p>
            <w:pPr>
              <w:pStyle w:val="Compact"/>
            </w:pPr>
            <w:r>
              <w:t xml:space="preserve">Valor directo anual</w:t>
            </w:r>
          </w:p>
        </w:tc>
        <w:tc>
          <w:tcPr/>
          <w:p>
            <w:pPr>
              <w:pStyle w:val="Compact"/>
            </w:pPr>
            <w:r>
              <w:t xml:space="preserve">Por definir</w:t>
            </w:r>
          </w:p>
        </w:tc>
        <w:tc>
          <w:tcPr/>
          <w:p>
            <w:pPr>
              <w:pStyle w:val="Compact"/>
            </w:pPr>
            <w:r>
              <w:t xml:space="preserve">Por definir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THA-05</w:t>
            </w:r>
          </w:p>
        </w:tc>
        <w:tc>
          <w:tcPr/>
          <w:p>
            <w:pPr>
              <w:pStyle w:val="Compact"/>
            </w:pPr>
            <w:r>
              <w:t xml:space="preserve">Captura por lance relativa · Pesca cerco</w:t>
            </w:r>
          </w:p>
        </w:tc>
        <w:tc>
          <w:tcPr/>
          <w:p>
            <w:pPr>
              <w:pStyle w:val="Compact"/>
            </w:pPr>
            <w:r>
              <w:t xml:space="preserve">set (embebido en la definición)</w:t>
            </w:r>
          </w:p>
        </w:tc>
        <w:tc>
          <w:tcPr/>
          <w:p>
            <w:pPr>
              <w:pStyle w:val="Compact"/>
            </w:pPr>
            <w:r>
              <w:t xml:space="preserve">Valor directo anual</w:t>
            </w:r>
          </w:p>
        </w:tc>
        <w:tc>
          <w:tcPr/>
          <w:p>
            <w:pPr>
              <w:pStyle w:val="Compact"/>
            </w:pPr>
            <w:r>
              <w:t xml:space="preserve">Por definir</w:t>
            </w:r>
          </w:p>
        </w:tc>
        <w:tc>
          <w:tcPr/>
          <w:p>
            <w:pPr>
              <w:pStyle w:val="Compact"/>
            </w:pPr>
            <w:r>
              <w:t xml:space="preserve">Por definir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THA-06</w:t>
            </w:r>
          </w:p>
        </w:tc>
        <w:tc>
          <w:tcPr/>
          <w:p>
            <w:pPr>
              <w:pStyle w:val="Compact"/>
            </w:pPr>
            <w:r>
              <w:t xml:space="preserve">Captura por lance relativa · Pesca cerco</w:t>
            </w:r>
          </w:p>
        </w:tc>
        <w:tc>
          <w:tcPr/>
          <w:p>
            <w:pPr>
              <w:pStyle w:val="Compact"/>
            </w:pPr>
            <w:r>
              <w:t xml:space="preserve">set (embebido en la definición)</w:t>
            </w:r>
          </w:p>
        </w:tc>
        <w:tc>
          <w:tcPr/>
          <w:p>
            <w:pPr>
              <w:pStyle w:val="Compact"/>
            </w:pPr>
            <w:r>
              <w:t xml:space="preserve">Valor directo anual</w:t>
            </w:r>
          </w:p>
        </w:tc>
        <w:tc>
          <w:tcPr/>
          <w:p>
            <w:pPr>
              <w:pStyle w:val="Compact"/>
            </w:pPr>
            <w:r>
              <w:t xml:space="preserve">Por definir</w:t>
            </w:r>
          </w:p>
        </w:tc>
        <w:tc>
          <w:tcPr/>
          <w:p>
            <w:pPr>
              <w:pStyle w:val="Compact"/>
            </w:pPr>
            <w:r>
              <w:t xml:space="preserve">Por definir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THA-07</w:t>
            </w:r>
          </w:p>
        </w:tc>
        <w:tc>
          <w:tcPr/>
          <w:p>
            <w:pPr>
              <w:pStyle w:val="Compact"/>
            </w:pPr>
            <w:r>
              <w:t xml:space="preserve">Talla relativa · Pesca cerco</w:t>
            </w:r>
          </w:p>
        </w:tc>
        <w:tc>
          <w:tcPr/>
          <w:p>
            <w:pPr>
              <w:pStyle w:val="Compact"/>
            </w:pPr>
            <w:r>
              <w:t xml:space="preserve">(implícito)</w:t>
            </w:r>
          </w:p>
        </w:tc>
        <w:tc>
          <w:tcPr/>
          <w:p>
            <w:pPr>
              <w:pStyle w:val="Compact"/>
            </w:pPr>
            <w:r>
              <w:t xml:space="preserve">Valor directo anual</w:t>
            </w:r>
          </w:p>
        </w:tc>
        <w:tc>
          <w:tcPr/>
          <w:p>
            <w:pPr>
              <w:pStyle w:val="Compact"/>
            </w:pPr>
            <w:r>
              <w:t xml:space="preserve">Desviación estándar</w:t>
            </w:r>
          </w:p>
        </w:tc>
        <w:tc>
          <w:tcPr/>
          <w:p>
            <w:pPr>
              <w:pStyle w:val="Compact"/>
            </w:pPr>
            <w:r>
              <w:t xml:space="preserve">Por definir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THA-08</w:t>
            </w:r>
          </w:p>
        </w:tc>
        <w:tc>
          <w:tcPr/>
          <w:p>
            <w:pPr>
              <w:pStyle w:val="Compact"/>
            </w:pPr>
            <w:r>
              <w:t xml:space="preserve">Talla relativa · Pesca cerco</w:t>
            </w:r>
          </w:p>
        </w:tc>
        <w:tc>
          <w:tcPr/>
          <w:p>
            <w:pPr>
              <w:pStyle w:val="Compact"/>
            </w:pPr>
            <w:r>
              <w:t xml:space="preserve">(implícito)</w:t>
            </w:r>
          </w:p>
        </w:tc>
        <w:tc>
          <w:tcPr/>
          <w:p>
            <w:pPr>
              <w:pStyle w:val="Compact"/>
            </w:pPr>
            <w:r>
              <w:t xml:space="preserve">Valor directo anual</w:t>
            </w:r>
          </w:p>
        </w:tc>
        <w:tc>
          <w:tcPr/>
          <w:p>
            <w:pPr>
              <w:pStyle w:val="Compact"/>
            </w:pPr>
            <w:r>
              <w:t xml:space="preserve">Desviación estándar</w:t>
            </w:r>
          </w:p>
        </w:tc>
        <w:tc>
          <w:tcPr/>
          <w:p>
            <w:pPr>
              <w:pStyle w:val="Compact"/>
            </w:pPr>
            <w:r>
              <w:t xml:space="preserve">Por definir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THA-09</w:t>
            </w:r>
          </w:p>
        </w:tc>
        <w:tc>
          <w:tcPr/>
          <w:p>
            <w:pPr>
              <w:pStyle w:val="Compact"/>
            </w:pPr>
            <w:r>
              <w:t xml:space="preserve">Talla relativa · Pesca cerco</w:t>
            </w:r>
          </w:p>
        </w:tc>
        <w:tc>
          <w:tcPr/>
          <w:p>
            <w:pPr>
              <w:pStyle w:val="Compact"/>
            </w:pPr>
            <w:r>
              <w:t xml:space="preserve">(implícito)</w:t>
            </w:r>
          </w:p>
        </w:tc>
        <w:tc>
          <w:tcPr/>
          <w:p>
            <w:pPr>
              <w:pStyle w:val="Compact"/>
            </w:pPr>
            <w:r>
              <w:t xml:space="preserve">Valor directo anual</w:t>
            </w:r>
          </w:p>
        </w:tc>
        <w:tc>
          <w:tcPr/>
          <w:p>
            <w:pPr>
              <w:pStyle w:val="Compact"/>
            </w:pPr>
            <w:r>
              <w:t xml:space="preserve">Desviación estándar</w:t>
            </w:r>
          </w:p>
        </w:tc>
        <w:tc>
          <w:tcPr/>
          <w:p>
            <w:pPr>
              <w:pStyle w:val="Compact"/>
            </w:pPr>
            <w:r>
              <w:t xml:space="preserve">Por definir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THA-10</w:t>
            </w:r>
          </w:p>
        </w:tc>
        <w:tc>
          <w:tcPr/>
          <w:p>
            <w:pPr>
              <w:pStyle w:val="Compact"/>
            </w:pPr>
            <w:r>
              <w:t xml:space="preserve">Abundancia relativa · Desembarques</w:t>
            </w:r>
          </w:p>
        </w:tc>
        <w:tc>
          <w:tcPr/>
          <w:p>
            <w:pPr>
              <w:pStyle w:val="Compact"/>
            </w:pPr>
            <w:r>
              <w:t xml:space="preserve">pescador×día; viajes×días, lances u otra unidad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Rango intercuartílico (P75 − P25)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THA-11</w:t>
            </w:r>
          </w:p>
        </w:tc>
        <w:tc>
          <w:tcPr/>
          <w:p>
            <w:pPr>
              <w:pStyle w:val="Compact"/>
            </w:pPr>
            <w:r>
              <w:t xml:space="preserve">Abundancia relativa · BRUVS</w:t>
            </w:r>
          </w:p>
        </w:tc>
        <w:tc>
          <w:tcPr/>
          <w:p>
            <w:pPr>
              <w:pStyle w:val="Compact"/>
            </w:pPr>
            <w:r>
              <w:t xml:space="preserve">horas de grabación (hr)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Rango intercuartílico (P75 − P25)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</w:tbl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cs="Arial" w:eastAsia="Arial" w:hAnsi="Arial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color w:val="1F4E5F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color w:val="1F4E5F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color w:val="1F4E5F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i/>
      <w:iCs/>
      <w:color w:val="1F4E5F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Arial" w:hAnsi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Arial" w:hAnsi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cs="Arial" w:eastAsia="Arial" w:hAnsi="Arial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cs="Arial" w:eastAsia="Arial" w:hAnsi="Arial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cs="Arial" w:eastAsia="Arial" w:hAnsi="Arial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eastAsia="Arial" w:hAnsi="Arial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eastAsia="Arial" w:hAnsi="Arial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cs="Arial" w:eastAsia="Arial" w:hAnsi="Arial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cs="Arial" w:eastAsia="Arial" w:hAnsi="Arial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cs="Arial" w:eastAsia="Arial" w:hAnsi="Arial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cs="Arial" w:eastAsia="Arial" w:hAnsi="Arial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cs="Arial" w:eastAsia="Arial" w:hAnsi="Arial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https://datamanagement-mgrmr.github.io/pet-proveedores-datos/herramientas.html#sec-h3" TargetMode="External" /><Relationship Type="http://schemas.openxmlformats.org/officeDocument/2006/relationships/hyperlink" Id="rId10" Target="https://datamanagement-mgrmr.github.io/pet-proveedores-datos/manua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atamanagement-mgrmr.github.io/pet-proveedores-datos/herramientas.html#sec-h3" TargetMode="External" /><Relationship Type="http://schemas.openxmlformats.org/officeDocument/2006/relationships/hyperlink" Id="rId10" Target="https://datamanagement-mgrmr.github.io/pet-proveedores-datos/manua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2026-10-27T19:27:12Z</dcterms:created>
  <dcterms:modified xsi:type="dcterms:W3CDTF">2026-10-27T19:27:12Z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rossref">
    <vt:lpwstr/>
  </property>
  <property fmtid="{D5CDD505-2E9C-101B-9397-08002B2CF9AE}" pid="4" name="fig-cap-location">
    <vt:lpwstr>bottom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tio">
    <vt:lpwstr>https://datamanagement-mgrmr.github.io/pet-proveedores-datos/</vt:lpwstr>
  </property>
  <property fmtid="{D5CDD505-2E9C-101B-9397-08002B2CF9AE}" pid="10" name="toc-title">
    <vt:lpwstr>Tabla de contenidos</vt:lpwstr>
  </property>
</Properties>
</file>