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0.png" ContentType="image/png"/>
  <Override PartName="/word/media/rId50.png" ContentType="image/png"/>
  <Override PartName="/word/media/rId31.png" ContentType="image/png"/>
  <Override PartName="/word/media/rId26.png" ContentType="image/png"/>
  <Override PartName="/word/media/rId34.png" ContentType="image/png"/>
  <Override PartName="/word/media/rId43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ec-manual"/>
    <w:p>
      <w:pPr>
        <w:pStyle w:val="Heading1"/>
      </w:pPr>
      <w:r>
        <w:t xml:space="preserve">Manual para proveedores de datos</w:t>
      </w:r>
    </w:p>
    <w:p>
      <w:pPr>
        <w:pStyle w:val="FirstParagraph"/>
      </w:pPr>
      <w:r>
        <w:rPr>
          <w:i/>
          <w:iCs/>
        </w:rPr>
        <w:t xml:space="preserve">Pasos operativos · Versión del 27 de octubre de 2026</w:t>
      </w:r>
    </w:p>
    <w:p>
      <w:pPr>
        <w:pStyle w:val="BodyText"/>
      </w:pPr>
      <w:r>
        <w:t xml:space="preserve">Este manual resume, en pasos concretos, lo que debe hacer para entregarnos sus datos. Para el detalle completo de la metodología, consulte el Plan Regional de Monitoreo.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Tenga a mano la Referencia metodológica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Mientras este manual indica los pasos a seguir, la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Referencia metodológica</w:t>
              </w:r>
            </w:hyperlink>
            <w:r>
              <w:t xml:space="preserve"> </w:t>
            </w:r>
            <w:r>
              <w:t xml:space="preserve">(Herramienta 1) aporta el detalle metodológico específico de su indicador.</w:t>
            </w:r>
          </w:p>
        </w:tc>
      </w:tr>
    </w:tbl>
    <w:bookmarkStart w:id="30" w:name="etapa-1-antes-de-empezar"/>
    <w:p>
      <w:pPr>
        <w:pStyle w:val="Heading2"/>
      </w:pPr>
      <w:r>
        <w:t xml:space="preserve">Etapa 1 · Antes de empezar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Ubique la carpeta que MigraMar le compartió para entregar sus datos (su carpeta de recepción).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Decida su ruta: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 A: usted entrega datos crudos</w:t>
      </w:r>
      <w:r>
        <w:t xml:space="preserve"> </w:t>
      </w:r>
      <w:r>
        <w:t xml:space="preserve">(tal como los recolectó en campo, ya depurados y cumpliendo los requisitos del punto 4) y MigraMar calcula el indicador.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Ruta B: usted calcula su propio indicador</w:t>
      </w:r>
      <w:r>
        <w:t xml:space="preserve">, con la aplicación de cálculo que le facilita MigraMar o con su propio método, y entrega el resultado ya calculado.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Ruta A · datos crudos</w:t>
            </w:r>
          </w:p>
        </w:tc>
        <w:tc>
          <w:tcPr/>
          <w:p>
            <w:pPr>
              <w:pStyle w:val="Compact"/>
            </w:pPr>
            <w:r>
              <w:t xml:space="preserve">Ruta B · datos calculados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que entrega</w:t>
            </w:r>
          </w:p>
        </w:tc>
        <w:tc>
          <w:tcPr/>
          <w:p>
            <w:pPr>
              <w:pStyle w:val="Compact"/>
            </w:pPr>
            <w:r>
              <w:t xml:space="preserve">Datos crudos con columnas mínimas y filtradas para cada indicador (ver punto 4)</w:t>
            </w:r>
          </w:p>
        </w:tc>
        <w:tc>
          <w:tcPr/>
          <w:p>
            <w:pPr>
              <w:pStyle w:val="Compact"/>
            </w:pPr>
            <w:r>
              <w:t xml:space="preserve">Datos en formato de la Plantilla de datos calculados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Diccionario de columnas</w:t>
            </w:r>
          </w:p>
        </w:tc>
        <w:tc>
          <w:tcPr/>
          <w:p>
            <w:pPr>
              <w:pStyle w:val="Compact"/>
            </w:pPr>
            <w:r>
              <w:t xml:space="preserve">Sí, debe incluirlo (ver ejemplo en la Plantilla de datos)</w:t>
            </w:r>
          </w:p>
        </w:tc>
        <w:tc>
          <w:tcPr/>
          <w:p>
            <w:pPr>
              <w:pStyle w:val="Compact"/>
            </w:pPr>
            <w:r>
              <w:t xml:space="preserve">No es necesario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Debe usar la aplicación de cálculo (Herramienta 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calcula el indicador</w:t>
            </w:r>
          </w:p>
        </w:tc>
        <w:tc>
          <w:tcPr/>
          <w:p>
            <w:pPr>
              <w:pStyle w:val="Compact"/>
            </w:pPr>
            <w:r>
              <w:t xml:space="preserve">MigraMar, pero se generará un reporte que debe verificar antes de publicar en Marine Manager</w:t>
            </w:r>
          </w:p>
        </w:tc>
        <w:tc>
          <w:tcPr/>
          <w:p>
            <w:pPr>
              <w:pStyle w:val="Compact"/>
            </w:pPr>
            <w:r>
              <w:t xml:space="preserve">Usted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herramientas requiero revisar</w:t>
            </w:r>
          </w:p>
        </w:tc>
        <w:tc>
          <w:tcPr/>
          <w:p>
            <w:pPr>
              <w:pStyle w:val="Compact"/>
            </w:pPr>
            <w:r>
              <w:t xml:space="preserve">Herramientas 1, 2 y 4</w:t>
            </w:r>
          </w:p>
        </w:tc>
        <w:tc>
          <w:tcPr/>
          <w:p>
            <w:pPr>
              <w:pStyle w:val="Compact"/>
            </w:pPr>
            <w:r>
              <w:t xml:space="preserve">Herramientas 1, 2, 3 y 4</w:t>
            </w:r>
          </w:p>
        </w:tc>
      </w:tr>
    </w:tbl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Descargue de la</w:t>
      </w:r>
      <w:r>
        <w:t xml:space="preserve"> </w:t>
      </w:r>
      <w:hyperlink r:id="rId24">
        <w:r>
          <w:rPr>
            <w:rStyle w:val="Hyperlink"/>
          </w:rPr>
          <w:t xml:space="preserve">Caja de herramientas</w:t>
        </w:r>
      </w:hyperlink>
      <w:r>
        <w:t xml:space="preserve"> </w:t>
      </w:r>
      <w:r>
        <w:t xml:space="preserve">lo que le corresponda (</w:t>
      </w:r>
      <w:hyperlink w:anchor="fig-kit">
        <w:r>
          <w:rPr>
            <w:rStyle w:val="Hyperlink"/>
          </w:rPr>
          <w:t xml:space="preserve">Fig. 1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 1: Referencia metodológica.</w:t>
      </w:r>
      <w:r>
        <w:t xml:space="preserve"> </w:t>
      </w:r>
      <w:r>
        <w:t xml:space="preserve">Le dice qué especificaciones aplican a su indicador; la necesitará para completar sus datos y, si le corresponde, para configurar la aplicación de cálculo para su indicador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 2: Plantillas de datos.</w:t>
      </w:r>
      <w:r>
        <w:t xml:space="preserve"> </w:t>
      </w:r>
      <w:r>
        <w:t xml:space="preserve">Un solo Excel con las hojas diccionario_crudos, datos_crudos, diccionario_calculados y datos_calculados; útil para ambas rutas.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 3: Aplicación de cálculo.</w:t>
      </w:r>
      <w:r>
        <w:t xml:space="preserve"> </w:t>
      </w:r>
      <w:r>
        <w:t xml:space="preserve">Solo Ruta B. Si le interesa revisar la programación, puede</w:t>
      </w:r>
      <w:r>
        <w:t xml:space="preserve"> </w:t>
      </w:r>
      <w:hyperlink r:id="rId25">
        <w:r>
          <w:rPr>
            <w:rStyle w:val="Hyperlink"/>
          </w:rPr>
          <w:t xml:space="preserve">leer el código en R</w:t>
        </w:r>
      </w:hyperlink>
      <w:r>
        <w:t xml:space="preserve"> </w:t>
      </w:r>
      <w:r>
        <w:t xml:space="preserve">(opcional).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 4: Catálogo de vocabulario controlado.</w:t>
      </w:r>
      <w:r>
        <w:t xml:space="preserve"> </w:t>
      </w:r>
      <w:r>
        <w:t xml:space="preserve">Siempre (nombres exactos de especie, indicador y sitio).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kit"/>
          <w:p>
            <w:pPr>
              <w:pStyle w:val="Compact"/>
              <w:jc w:val="center"/>
            </w:pPr>
            <w:r>
              <w:drawing>
                <wp:inline>
                  <wp:extent cx="5334000" cy="233147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fig1_esquema-ki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1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Fig. 1: Qué trae el kit de herramientas: el Manual y las cuatro herramientas que lo acompañan.</w:t>
            </w:r>
          </w:p>
          <w:bookmarkEnd w:id="29"/>
        </w:tc>
      </w:tr>
    </w:tbl>
    <w:bookmarkEnd w:id="30"/>
    <w:bookmarkStart w:id="48" w:name="etapa-2-prepare-sus-datos"/>
    <w:p>
      <w:pPr>
        <w:pStyle w:val="Heading2"/>
      </w:pPr>
      <w:r>
        <w:t xml:space="preserve">Etapa 2 · Prepare sus datos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Prepare sus datos:</w:t>
      </w:r>
    </w:p>
    <w:p>
      <w:pPr>
        <w:pStyle w:val="Compact"/>
        <w:numPr>
          <w:ilvl w:val="0"/>
          <w:numId w:val="1003"/>
        </w:numPr>
      </w:pPr>
      <w:r>
        <w:t xml:space="preserve">Proveer todo su historial de datos en</w:t>
      </w:r>
      <w:r>
        <w:t xml:space="preserve"> </w:t>
      </w:r>
      <w:r>
        <w:rPr>
          <w:b/>
          <w:bCs/>
        </w:rPr>
        <w:t xml:space="preserve">un solo archivo por indicador y área de estudio acordado</w:t>
      </w:r>
      <w:r>
        <w:t xml:space="preserve">. Debe filtrar sus datos para incluir solamente los datos que fueron colectados año tras año de forma consistente y bajo un mismo estándar; por lo tanto, el archivo debe incluir solo el rango de años, las estaciones del año y los sitios acordados con MigraMar.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t xml:space="preserve">Revise su archivo antes de continuar, independientemente de si toma la Ruta A o B: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En resumen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 archivo por indicador y área · una fila por réplica · solo los años, sitios y época acordados.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Contenido del archivo</w:t>
      </w:r>
    </w:p>
    <w:p>
      <w:pPr>
        <w:pStyle w:val="Compact"/>
        <w:numPr>
          <w:ilvl w:val="0"/>
          <w:numId w:val="1004"/>
        </w:numPr>
      </w:pPr>
      <w:r>
        <w:t xml:space="preserve">Un solo archivo por indicador y área de estudio, sin filas de otras especies, indicadores o áreas.</w:t>
      </w:r>
    </w:p>
    <w:p>
      <w:pPr>
        <w:pStyle w:val="Compact"/>
        <w:numPr>
          <w:ilvl w:val="0"/>
          <w:numId w:val="1005"/>
        </w:numPr>
      </w:pPr>
      <w:r>
        <w:t xml:space="preserve">Una fila por réplica, incluidas las réplicas en que la especie no se observó (valor 0).</w:t>
      </w:r>
    </w:p>
    <w:p>
      <w:pPr>
        <w:pStyle w:val="Compact"/>
        <w:numPr>
          <w:ilvl w:val="0"/>
          <w:numId w:val="1006"/>
        </w:numPr>
      </w:pPr>
      <w:r>
        <w:t xml:space="preserve">Los datos de todos los años se tomaron con el mismo método, en los mismos sitios y en la misma época, como se acordó con MigraMar.</w:t>
      </w:r>
    </w:p>
    <w:p>
      <w:pPr>
        <w:pStyle w:val="Compact"/>
        <w:numPr>
          <w:ilvl w:val="0"/>
          <w:numId w:val="1007"/>
        </w:numPr>
      </w:pPr>
      <w:r>
        <w:t xml:space="preserve">Tiene el mínimo de réplicas por año que indica la Referencia metodológica (Herramienta 1) para su indicador.</w:t>
      </w:r>
    </w:p>
    <w:p>
      <w:pPr>
        <w:pStyle w:val="Compact"/>
        <w:numPr>
          <w:ilvl w:val="0"/>
          <w:numId w:val="1008"/>
        </w:numPr>
      </w:pPr>
      <w:r>
        <w:t xml:space="preserve">Están todas las columnas obligatorias (</w:t>
      </w:r>
      <w:hyperlink w:anchor="fig-columnas">
        <w:r>
          <w:rPr>
            <w:rStyle w:val="Hyperlink"/>
          </w:rPr>
          <w:t xml:space="preserve">Fig. 2</w:t>
        </w:r>
      </w:hyperlink>
      <w:r>
        <w:t xml:space="preserve"> </w:t>
      </w:r>
      <w:r>
        <w:t xml:space="preserve">y hoja diccionario_crudos de la Herramienta 2), incluidos los datos del proveedor: institución propietaria y punto de contacto. Si no los tiene en el archivo, puede escribirlos en la aplicación.</w:t>
      </w:r>
    </w:p>
    <w:p>
      <w:pPr>
        <w:pStyle w:val="FirstParagraph"/>
      </w:pPr>
      <w:r>
        <w:rPr>
          <w:b/>
          <w:bCs/>
        </w:rPr>
        <w:t xml:space="preserve">Formato</w:t>
      </w:r>
    </w:p>
    <w:p>
      <w:pPr>
        <w:pStyle w:val="Compact"/>
        <w:numPr>
          <w:ilvl w:val="0"/>
          <w:numId w:val="1009"/>
        </w:numPr>
      </w:pPr>
      <w:r>
        <w:t xml:space="preserve">Archivo .csv con una sola tabla y una sola fila de encabezado: sin celdas combinadas, filas de totales ni varias hojas.</w:t>
      </w:r>
    </w:p>
    <w:p>
      <w:pPr>
        <w:pStyle w:val="Compact"/>
        <w:numPr>
          <w:ilvl w:val="0"/>
          <w:numId w:val="1010"/>
        </w:numPr>
      </w:pPr>
      <w:r>
        <w:t xml:space="preserve">Decimales con punto, no con coma.</w:t>
      </w:r>
    </w:p>
    <w:p>
      <w:pPr>
        <w:pStyle w:val="Compact"/>
        <w:numPr>
          <w:ilvl w:val="0"/>
          <w:numId w:val="1011"/>
        </w:numPr>
      </w:pPr>
      <w:r>
        <w:t xml:space="preserve">Día, mes y año en columnas separadas.</w:t>
      </w:r>
    </w:p>
    <w:p>
      <w:pPr>
        <w:pStyle w:val="Compact"/>
        <w:numPr>
          <w:ilvl w:val="0"/>
          <w:numId w:val="1012"/>
        </w:numPr>
      </w:pPr>
      <w:r>
        <w:t xml:space="preserve">Nombres de especie, indicador y sitio escritos siempre igual y como en el Catálogo de vocabulario (Herramienta 4).</w:t>
      </w:r>
    </w:p>
    <w:p>
      <w:pPr>
        <w:pStyle w:val="FirstParagraph"/>
      </w:pPr>
      <w:r>
        <w:rPr>
          <w:b/>
          <w:bCs/>
        </w:rPr>
        <w:t xml:space="preserve">Valores</w:t>
      </w:r>
    </w:p>
    <w:p>
      <w:pPr>
        <w:pStyle w:val="Compact"/>
        <w:numPr>
          <w:ilvl w:val="0"/>
          <w:numId w:val="1013"/>
        </w:numPr>
      </w:pPr>
      <w:r>
        <w:t xml:space="preserve">Cada réplica tiene su esfuerzo registrado y mayor que 0, en los indicadores que aplique.</w:t>
      </w:r>
    </w:p>
    <w:p>
      <w:pPr>
        <w:pStyle w:val="Compact"/>
        <w:numPr>
          <w:ilvl w:val="0"/>
          <w:numId w:val="1014"/>
        </w:numPr>
      </w:pPr>
      <w:r>
        <w:t xml:space="preserve">Los valores están en las unidades que define el Plan y no hay valores imposibles.</w:t>
      </w:r>
    </w:p>
    <w:p>
      <w:pPr>
        <w:pStyle w:val="Compact"/>
        <w:numPr>
          <w:ilvl w:val="0"/>
          <w:numId w:val="1015"/>
        </w:numPr>
      </w:pPr>
      <w:r>
        <w:t xml:space="preserve">Una celda vacía significa</w:t>
      </w:r>
      <w:r>
        <w:t xml:space="preserve"> </w:t>
      </w:r>
      <w:r>
        <w:t xml:space="preserve">“sin dato”</w:t>
      </w:r>
      <w:r>
        <w:t xml:space="preserve">; un 0 significa que se muestreó y no se observó la especie.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columnas"/>
          <w:p>
            <w:pPr>
              <w:pStyle w:val="Compact"/>
              <w:jc w:val="center"/>
            </w:pPr>
            <w:r>
              <w:drawing>
                <wp:inline>
                  <wp:extent cx="5334000" cy="465724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fig2_correspondencia-columna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57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Fig. 2: Asegurando que tenga las columnas necesarias para estimar y evaluar su indicador.</w:t>
            </w:r>
          </w:p>
          <w:bookmarkEnd w:id="37"/>
        </w:tc>
      </w:tr>
    </w:tbl>
    <w:bookmarkStart w:id="38" w:name="sec-ruta-a"/>
    <w:p>
      <w:pPr>
        <w:pStyle w:val="Heading3"/>
      </w:pPr>
      <w:r>
        <w:t xml:space="preserve">6A. Si entrega datos crudos (Ruta A)</w:t>
      </w:r>
    </w:p>
    <w:p>
      <w:pPr>
        <w:pStyle w:val="Compact"/>
        <w:numPr>
          <w:ilvl w:val="0"/>
          <w:numId w:val="1016"/>
        </w:numPr>
      </w:pPr>
      <w:r>
        <w:t xml:space="preserve">Su archivo puede tener todas las columnas adicionales que usted maneje normalmente. Solo necesitamos que especifique cuáles corresponden a las mínimas esperadas de la hoja datos_crudos (Herramienta 2); para esto use la última columna de la hoja diccionario_crudos.</w:t>
      </w:r>
    </w:p>
    <w:p>
      <w:pPr>
        <w:pStyle w:val="Compact"/>
        <w:numPr>
          <w:ilvl w:val="0"/>
          <w:numId w:val="1016"/>
        </w:numPr>
      </w:pPr>
      <w:r>
        <w:t xml:space="preserve">Ya puede pasar a la Etapa 3: MigraMar calculará el indicador por usted.</w:t>
      </w:r>
    </w:p>
    <w:bookmarkEnd w:id="38"/>
    <w:bookmarkStart w:id="47" w:name="sec-ruta-b"/>
    <w:p>
      <w:pPr>
        <w:pStyle w:val="Heading3"/>
      </w:pPr>
      <w:r>
        <w:t xml:space="preserve">6B. Si calcula sus propios indicadores (Ruta B)</w:t>
      </w:r>
    </w:p>
    <w:p>
      <w:pPr>
        <w:pStyle w:val="FirstParagraph"/>
      </w:pPr>
      <w:r>
        <w:t xml:space="preserve">La aplicación permite:</w:t>
      </w:r>
    </w:p>
    <w:p>
      <w:pPr>
        <w:pStyle w:val="Compact"/>
        <w:numPr>
          <w:ilvl w:val="0"/>
          <w:numId w:val="1017"/>
        </w:numPr>
      </w:pPr>
      <w:r>
        <w:t xml:space="preserve">estimar el valor anual del indicador;</w:t>
      </w:r>
    </w:p>
    <w:p>
      <w:pPr>
        <w:pStyle w:val="Compact"/>
        <w:numPr>
          <w:ilvl w:val="0"/>
          <w:numId w:val="1017"/>
        </w:numPr>
      </w:pPr>
      <w:r>
        <w:t xml:space="preserve">evaluar el indicador respecto a la línea base, cuando aplique;</w:t>
      </w:r>
    </w:p>
    <w:p>
      <w:pPr>
        <w:pStyle w:val="Compact"/>
        <w:numPr>
          <w:ilvl w:val="0"/>
          <w:numId w:val="1017"/>
        </w:numPr>
      </w:pPr>
      <w:r>
        <w:t xml:space="preserve">generar un archivo .csv en el formato requerido para el Marine Manager de Global Fishing Watch;</w:t>
      </w:r>
    </w:p>
    <w:p>
      <w:pPr>
        <w:pStyle w:val="Compact"/>
        <w:numPr>
          <w:ilvl w:val="0"/>
          <w:numId w:val="1017"/>
        </w:numPr>
      </w:pPr>
      <w:r>
        <w:t xml:space="preserve">generar un reporte de revisión en PDF que muestra cómo se verá su indicador en Marine Manager.</w:t>
      </w:r>
    </w:p>
    <w:p>
      <w:pPr>
        <w:pStyle w:val="FirstParagraph"/>
      </w:pPr>
      <w:r>
        <w:rPr>
          <w:b/>
          <w:bCs/>
        </w:rPr>
        <w:t xml:space="preserve">Para usar la aplicación de cálculo que le facilita MigraMar (</w:t>
      </w:r>
      <w:hyperlink w:anchor="fig-app">
        <w:r>
          <w:rPr>
            <w:rStyle w:val="Hyperlink"/>
            <w:b/>
            <w:bCs/>
          </w:rPr>
          <w:t xml:space="preserve">Fig. 3</w:t>
        </w:r>
      </w:hyperlink>
      <w:r>
        <w:rPr>
          <w:b/>
          <w:bCs/>
        </w:rPr>
        <w:t xml:space="preserve">):</w:t>
      </w:r>
    </w:p>
    <w:p>
      <w:pPr>
        <w:pStyle w:val="BodyText"/>
      </w:pPr>
      <w:r>
        <w:rPr>
          <w:b/>
          <w:bCs/>
        </w:rPr>
        <w:t xml:space="preserve">i)</w:t>
      </w:r>
      <w:r>
        <w:t xml:space="preserve"> </w:t>
      </w:r>
      <w:r>
        <w:t xml:space="preserve">Abra la aplicación (Herramienta 3) de una de estas dos formas: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En línea, sin instalar nada (recomendado).</w:t>
      </w:r>
      <w:r>
        <w:t xml:space="preserve"> </w:t>
      </w:r>
      <w:r>
        <w:t xml:space="preserve">La aplicación corre dentro de su navegador: los archivos que cargue no se envían a ningún servidor. La primera vez tarda entre 30 y 60 segundos en abrir.</w:t>
      </w:r>
    </w:p>
    <w:p>
      <w:pPr>
        <w:numPr>
          <w:ilvl w:val="0"/>
          <w:numId w:val="1000"/>
        </w:numPr>
      </w:pPr>
      <w:hyperlink r:id="rId39">
        <w:r>
          <w:rPr>
            <w:rStyle w:val="Hyperlink"/>
          </w:rPr>
          <w:t xml:space="preserve">Abrir la aplicación en línea</w:t>
        </w:r>
      </w:hyperlink>
    </w:p>
    <w:p>
      <w:pPr>
        <w:numPr>
          <w:ilvl w:val="0"/>
          <w:numId w:val="1018"/>
        </w:numPr>
      </w:pPr>
      <w:r>
        <w:rPr>
          <w:b/>
          <w:bCs/>
        </w:rPr>
        <w:t xml:space="preserve">En RStudio.</w:t>
      </w:r>
      <w:r>
        <w:t xml:space="preserve"> </w:t>
      </w:r>
      <w:r>
        <w:t xml:space="preserve">Descargue el archivo app.R y el Catálogo de vocabulario desde</w:t>
      </w:r>
      <w:r>
        <w:t xml:space="preserve"> </w:t>
      </w:r>
      <w:hyperlink r:id="rId40">
        <w:r>
          <w:rPr>
            <w:rStyle w:val="Hyperlink"/>
          </w:rPr>
          <w:t xml:space="preserve">Herramientas</w:t>
        </w:r>
      </w:hyperlink>
      <w:r>
        <w:t xml:space="preserve">, guárdelos en una misma carpeta, abra app.R en RStudio y haga clic en</w:t>
      </w:r>
      <w:r>
        <w:t xml:space="preserve"> </w:t>
      </w:r>
      <w:r>
        <w:t xml:space="preserve">“Run App”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ii)</w:t>
      </w:r>
      <w:r>
        <w:t xml:space="preserve"> </w:t>
      </w:r>
      <w:r>
        <w:t xml:space="preserve">Paso 1 · Datos: cargue su archivo de datos crudos (.csv). Si quiere probar la aplicación antes de usar sus datos, puede usar el</w:t>
      </w:r>
      <w:r>
        <w:t xml:space="preserve"> </w:t>
      </w:r>
      <w:hyperlink r:id="rId41">
        <w:r>
          <w:rPr>
            <w:rStyle w:val="Hyperlink"/>
          </w:rPr>
          <w:t xml:space="preserve">archivo de ejemplo</w:t>
        </w:r>
      </w:hyperlink>
      <w:r>
        <w:t xml:space="preserve"> </w:t>
      </w:r>
      <w:r>
        <w:t xml:space="preserve">(datos ficticios).</w:t>
      </w:r>
    </w:p>
    <w:p>
      <w:pPr>
        <w:pStyle w:val="BodyText"/>
      </w:pPr>
      <w:r>
        <w:rPr>
          <w:b/>
          <w:bCs/>
        </w:rPr>
        <w:t xml:space="preserve">iii)</w:t>
      </w:r>
      <w:r>
        <w:t xml:space="preserve"> </w:t>
      </w:r>
      <w:r>
        <w:t xml:space="preserve">Pasos 2 y 3 · Columnas e Indicador: indique qué columna de su archivo corresponde a cada dato y complete las opciones de su indicador.</w:t>
      </w:r>
    </w:p>
    <w:p>
      <w:pPr>
        <w:pStyle w:val="Compact"/>
        <w:numPr>
          <w:ilvl w:val="0"/>
          <w:numId w:val="1019"/>
        </w:numPr>
      </w:pPr>
      <w:r>
        <w:t xml:space="preserve">Use la</w:t>
      </w:r>
      <w:r>
        <w:t xml:space="preserve"> </w:t>
      </w:r>
      <w:hyperlink r:id="rId42">
        <w:r>
          <w:rPr>
            <w:rStyle w:val="Hyperlink"/>
          </w:rPr>
          <w:t xml:space="preserve">Referencia metodológica</w:t>
        </w:r>
      </w:hyperlink>
      <w:r>
        <w:t xml:space="preserve"> </w:t>
      </w:r>
      <w:r>
        <w:t xml:space="preserve">(Parte 2 · Lista de detalles metodológicos por indicador) para saber qué estadístico anual usar (mediana, promedio o valor directo), cuántos años de línea base necesita indicar y las demás especificaciones correspondientes a su indicador.</w:t>
      </w:r>
    </w:p>
    <w:p>
      <w:pPr>
        <w:pStyle w:val="Compact"/>
        <w:numPr>
          <w:ilvl w:val="0"/>
          <w:numId w:val="1019"/>
        </w:numPr>
      </w:pPr>
      <w:r>
        <w:t xml:space="preserve">La especie, el indicador y el área se eligen de listas tomadas del Catálogo de vocabulario (Herramienta 4).</w:t>
      </w:r>
    </w:p>
    <w:p>
      <w:pPr>
        <w:pStyle w:val="FirstParagraph"/>
      </w:pPr>
      <w:r>
        <w:rPr>
          <w:b/>
          <w:bCs/>
        </w:rPr>
        <w:t xml:space="preserve">iv)</w:t>
      </w:r>
      <w:r>
        <w:t xml:space="preserve"> </w:t>
      </w:r>
      <w:r>
        <w:t xml:space="preserve">Paso 4 · Resultados: haga clic en</w:t>
      </w:r>
      <w:r>
        <w:t xml:space="preserve"> </w:t>
      </w:r>
      <w:r>
        <w:t xml:space="preserve">“Calcular indicador”</w:t>
      </w:r>
      <w:r>
        <w:t xml:space="preserve"> </w:t>
      </w:r>
      <w:r>
        <w:t xml:space="preserve">y revise los mensajes, el gráfico y las tablas.</w:t>
      </w:r>
    </w:p>
    <w:p>
      <w:pPr>
        <w:pStyle w:val="BodyText"/>
      </w:pPr>
      <w:r>
        <w:rPr>
          <w:b/>
          <w:bCs/>
        </w:rPr>
        <w:t xml:space="preserve">v)</w:t>
      </w:r>
      <w:r>
        <w:t xml:space="preserve"> </w:t>
      </w:r>
      <w:r>
        <w:t xml:space="preserve">Descargue el archivo .csv con sus resultados y el reporte de revisión en PDF. Revíselos y, si todo está bien, envíelos a MigraMar.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app"/>
          <w:p>
            <w:pPr>
              <w:pStyle w:val="Compact"/>
              <w:jc w:val="center"/>
            </w:pPr>
            <w:r>
              <w:drawing>
                <wp:inline>
                  <wp:extent cx="5334000" cy="362398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fig3_capturas-ap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Fig. 3: Los cuatro pasos de la aplicación de cálculo: 1 Datos, 2 Columnas, 3 Indicador y 4 Resultados.</w:t>
            </w:r>
          </w:p>
          <w:bookmarkEnd w:id="46"/>
        </w:tc>
      </w:tr>
    </w:tbl>
    <w:bookmarkEnd w:id="47"/>
    <w:bookmarkEnd w:id="48"/>
    <w:bookmarkStart w:id="49" w:name="etapa-3-nombre-y-organice-sus-archivos"/>
    <w:p>
      <w:pPr>
        <w:pStyle w:val="Heading2"/>
      </w:pPr>
      <w:r>
        <w:t xml:space="preserve">Etapa 3 · Nombre y organice sus archivos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Nombre su archivo de datos así:</w:t>
      </w:r>
    </w:p>
    <w:p>
      <w:pPr>
        <w:pStyle w:val="BlockText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[id-indicador]_[area]_[tipo]_[fecha-entrega].csv</w:t>
      </w:r>
    </w:p>
    <w:p>
      <w:pPr>
        <w:pStyle w:val="Block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CMA-04_quinta-playa_calculado_2026-07-01.csv</w:t>
      </w:r>
    </w:p>
    <w:p>
      <w:pPr>
        <w:pStyle w:val="BlockText"/>
      </w:pPr>
      <w:r>
        <w:rPr>
          <w:i/>
          <w:iCs/>
        </w:rPr>
        <w:t xml:space="preserve">tipo = crudo o calculado · fecha-entrega = AAAA-MM-DD · use los valores del Catálogo de vocabulario para escribir la especie, el código de indicador y el área de estudio.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Reúna el resto de lo que debe entregar, si aplica a su caso:</w:t>
      </w:r>
    </w:p>
    <w:p>
      <w:pPr>
        <w:pStyle w:val="Compact"/>
        <w:numPr>
          <w:ilvl w:val="0"/>
          <w:numId w:val="1020"/>
        </w:numPr>
      </w:pPr>
      <w:r>
        <w:t xml:space="preserve">Logo de su afiliación.</w:t>
      </w:r>
    </w:p>
    <w:p>
      <w:pPr>
        <w:pStyle w:val="Compact"/>
        <w:numPr>
          <w:ilvl w:val="0"/>
          <w:numId w:val="1020"/>
        </w:numPr>
      </w:pPr>
      <w:r>
        <w:t xml:space="preserve">Protocolos de campo o de procesamiento de datos (opcional, pero muy recomendado).</w:t>
      </w:r>
    </w:p>
    <w:p>
      <w:pPr>
        <w:pStyle w:val="Compact"/>
        <w:numPr>
          <w:ilvl w:val="0"/>
          <w:numId w:val="1020"/>
        </w:numPr>
      </w:pPr>
      <w:r>
        <w:t xml:space="preserve">Archivo shape o coordenadas del sitio de monitoreo.</w:t>
      </w:r>
    </w:p>
    <w:bookmarkEnd w:id="49"/>
    <w:bookmarkStart w:id="53" w:name="etapa-4-entregue"/>
    <w:p>
      <w:pPr>
        <w:pStyle w:val="Heading2"/>
      </w:pPr>
      <w:r>
        <w:t xml:space="preserve">Etapa 4 · Entregue</w:t>
      </w:r>
    </w:p>
    <w:p>
      <w:pPr>
        <w:pStyle w:val="FirstParagraph"/>
      </w:pPr>
      <w:r>
        <w:rPr>
          <w:b/>
          <w:bCs/>
        </w:rPr>
        <w:t xml:space="preserve">9.</w:t>
      </w:r>
      <w:r>
        <w:t xml:space="preserve"> </w:t>
      </w:r>
      <w:r>
        <w:t xml:space="preserve">Suba todo lo que preparó en la Etapa 3 a su carpeta de recepción.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Notifique por correo a MigraMar que subió sus archivos.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Espere el acuse de recibido. Si algo no cumple los estándares mínimos, se lo devolveremos indicando qué corregir.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¿Dudas?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Contáctenos: no dude en escribirnos si algún paso no le queda claro.</w:t>
            </w:r>
          </w:p>
        </w:tc>
      </w:tr>
    </w:tbl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eastAsia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4E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4E5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color w:val="1F4E5F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i/>
      <w:iCs/>
      <w:color w:val="1F4E5F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Arial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Arial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eastAsia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eastAsia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eastAsia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eastAsia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eastAsia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eastAsia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eastAsia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eastAsia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eastAsia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image" Target="media/rId26.png"/><Relationship Id="rId39" Type="http://schemas.openxmlformats.org/officeDocument/2006/relationships/hyperlink" Target="https://USUARIO.github.io/pet-proveedores-datos/app-web/index.html" TargetMode="External"/><Relationship Id="rId51" Type="http://schemas.openxmlformats.org/officeDocument/2006/relationships/customXml" Target="../customXml/item1.xml"/><Relationship Id="rId3" Type="http://schemas.openxmlformats.org/officeDocument/2006/relationships/settings" Target="settings.xml"/><Relationship Id="rId50" Type="http://schemas.openxmlformats.org/officeDocument/2006/relationships/image" Target="media/rId50.png"/><Relationship Id="rId34" Type="http://schemas.openxmlformats.org/officeDocument/2006/relationships/image" Target="media/rId34.png"/><Relationship Id="rId42" Type="http://schemas.openxmlformats.org/officeDocument/2006/relationships/hyperlink" Target="https://USUARIO.github.io/pet-proveedores-datos/referencia.html#sec-parte2" TargetMode="External"/><Relationship Id="rId7" Type="http://schemas.openxmlformats.org/officeDocument/2006/relationships/footnotes" Target="footnotes.xml"/><Relationship Id="rId25" Type="http://schemas.openxmlformats.org/officeDocument/2006/relationships/hyperlink" Target="https://USUARIO.github.io/pet-proveedores-datos/descargas/codigo-R_calculo-indicadores-sinGAMM.html" TargetMode="External"/><Relationship Id="rId2" Type="http://schemas.openxmlformats.org/officeDocument/2006/relationships/styles" Target="styles.xml"/><Relationship Id="rId20" Type="http://schemas.openxmlformats.org/officeDocument/2006/relationships/image" Target="media/rId20.png"/><Relationship Id="rId41" Type="http://schemas.openxmlformats.org/officeDocument/2006/relationships/hyperlink" Target="https://USUARIO.github.io/pet-proveedores-datos/descargas/ejemplo_ficticio_SLE-01_cocos_island.csv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hyperlink" Target="https://USUARIO.github.io/pet-proveedores-datos/herramientas.html" TargetMode="External"/><Relationship Id="rId40" Type="http://schemas.openxmlformats.org/officeDocument/2006/relationships/hyperlink" Target="https://USUARIO.github.io/pet-proveedores-datos/herramientas.html#sec-h3" TargetMode="External"/><Relationship Id="rId53" Type="http://schemas.openxmlformats.org/officeDocument/2006/relationships/customXml" Target="../customXml/item3.xml"/><Relationship Id="rId5" Type="http://schemas.openxmlformats.org/officeDocument/2006/relationships/fontTable" Target="fontTable.xml"/><Relationship Id="rId23" Type="http://schemas.openxmlformats.org/officeDocument/2006/relationships/hyperlink" Target="https://USUARIO.github.io/pet-proveedores-datos/referencia.html" TargetMode="External"/><Relationship Id="rId31" Type="http://schemas.openxmlformats.org/officeDocument/2006/relationships/image" Target="media/rId31.png"/><Relationship Id="rId52" Type="http://schemas.openxmlformats.org/officeDocument/2006/relationships/customXml" Target="../customXml/item2.xml"/><Relationship Id="rId4" Type="http://schemas.openxmlformats.org/officeDocument/2006/relationships/webSettings" Target="webSettings.xml"/><Relationship Id="rId43" Type="http://schemas.openxmlformats.org/officeDocument/2006/relationships/image" Target="media/rId43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USUARIO.github.io/pet-proveedores-datos/app-web/index.html" TargetMode="External" /><Relationship Type="http://schemas.openxmlformats.org/officeDocument/2006/relationships/hyperlink" Id="rId25" Target="https://USUARIO.github.io/pet-proveedores-datos/descargas/codigo-R_calculo-indicadores-sinGAMM.html" TargetMode="External" /><Relationship Type="http://schemas.openxmlformats.org/officeDocument/2006/relationships/hyperlink" Id="rId41" Target="https://USUARIO.github.io/pet-proveedores-datos/descargas/ejemplo_ficticio_SLE-01_cocos_island.csv" TargetMode="External" /><Relationship Type="http://schemas.openxmlformats.org/officeDocument/2006/relationships/hyperlink" Id="rId24" Target="https://USUARIO.github.io/pet-proveedores-datos/herramientas.html" TargetMode="External" /><Relationship Type="http://schemas.openxmlformats.org/officeDocument/2006/relationships/hyperlink" Id="rId40" Target="https://USUARIO.github.io/pet-proveedores-datos/herramientas.html#sec-h3" TargetMode="External" /><Relationship Type="http://schemas.openxmlformats.org/officeDocument/2006/relationships/hyperlink" Id="rId23" Target="https://USUARIO.github.io/pet-proveedores-datos/referencia.html" TargetMode="External" /><Relationship Type="http://schemas.openxmlformats.org/officeDocument/2006/relationships/hyperlink" Id="rId42" Target="https://USUARIO.github.io/pet-proveedores-datos/referencia.html#sec-parte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E02E21C83A9148902CA1A70CF30D2B" ma:contentTypeVersion="16" ma:contentTypeDescription="Create a new document." ma:contentTypeScope="" ma:versionID="1ac23a957c34e8b2e2f8d2cebbfcbd28">
  <xsd:schema xmlns:xsd="http://www.w3.org/2001/XMLSchema" xmlns:xs="http://www.w3.org/2001/XMLSchema" xmlns:p="http://schemas.microsoft.com/office/2006/metadata/properties" xmlns:ns2="b9dce83d-72ee-4293-97e6-e06b8df7add9" xmlns:ns3="afe6e3d9-18ce-4b1f-93b5-fcdc7ff53cf9" targetNamespace="http://schemas.microsoft.com/office/2006/metadata/properties" ma:root="true" ma:fieldsID="6232dc3ed41a186b55d58cc892e67c0c" ns2:_="" ns3:_="">
    <xsd:import namespace="b9dce83d-72ee-4293-97e6-e06b8df7add9"/>
    <xsd:import namespace="afe6e3d9-18ce-4b1f-93b5-fcdc7ff53cf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ce83d-72ee-4293-97e6-e06b8df7add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f4f4c5e-03e4-4e4c-a615-0302a68af7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6e3d9-18ce-4b1f-93b5-fcdc7ff53cf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8bf15cf-199b-4399-b990-0ae65e2bba22}" ma:internalName="TaxCatchAll" ma:showField="CatchAllData" ma:web="afe6e3d9-18ce-4b1f-93b5-fcdc7ff53c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e6e3d9-18ce-4b1f-93b5-fcdc7ff53cf9" xsi:nil="true"/>
    <lcf76f155ced4ddcb4097134ff3c332f xmlns="b9dce83d-72ee-4293-97e6-e06b8df7ad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13B659-6623-47BF-A197-0E584A7E0EE7}"/>
</file>

<file path=customXml/itemProps2.xml><?xml version="1.0" encoding="utf-8"?>
<ds:datastoreItem xmlns:ds="http://schemas.openxmlformats.org/officeDocument/2006/customXml" ds:itemID="{37DCAFBA-EC34-4850-AFF7-2CFDC6D9EF68}"/>
</file>

<file path=customXml/itemProps3.xml><?xml version="1.0" encoding="utf-8"?>
<ds:datastoreItem xmlns:ds="http://schemas.openxmlformats.org/officeDocument/2006/customXml" ds:itemID="{D4417E7C-32C5-41E3-A348-AA391255897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2026-10-27T17:28:15Z</dcterms:created>
  <dcterms:modified xsi:type="dcterms:W3CDTF">2026-10-27T17:28:15Z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rossref">
    <vt:lpwstr/>
  </property>
  <property fmtid="{D5CDD505-2E9C-101B-9397-08002B2CF9AE}" pid="4" name="fig-cap-location">
    <vt:lpwstr>bottom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tio">
    <vt:lpwstr>https://USUARIO.github.io/pet-proveedores-datos/</vt:lpwstr>
  </property>
  <property fmtid="{D5CDD505-2E9C-101B-9397-08002B2CF9AE}" pid="10" name="toc-title">
    <vt:lpwstr>Tabla de contenidos</vt:lpwstr>
  </property>
  <property fmtid="{D5CDD505-2E9C-101B-9397-08002B2CF9AE}" pid="11" name="ContentTypeId">
    <vt:lpwstr>0x01010001E02E21C83A9148902CA1A70CF30D2B</vt:lpwstr>
  </property>
</Properties>
</file>