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color w:val="000000"/>
          <w:rtl w:val="0"/>
        </w:rPr>
        <w:t xml:space="preserve">Sensitivity analysis and comparison with other (possibly frequentist) methods are optional, but desirable. Any important computer code (OpenBUGS or R) that you used should be carefully documented and included as an appendix.</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color w:val="000000"/>
          <w:sz w:val="28"/>
          <w:szCs w:val="28"/>
        </w:rPr>
      </w:pPr>
      <w:r w:rsidDel="00000000" w:rsidR="00000000" w:rsidRPr="00000000">
        <w:rPr>
          <w:b w:val="1"/>
          <w:color w:val="000000"/>
          <w:sz w:val="28"/>
          <w:szCs w:val="28"/>
          <w:rtl w:val="0"/>
        </w:rPr>
        <w:t xml:space="preserve">Further Exploration on Frequentist Approach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For normal Bayesian hierarchical model, we perform frequentist method on it. The maximum likelihood estimators (MLE) and confidence intervals are listed below:</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ab/>
        <w:tab/>
        <w:tab/>
        <w:tab/>
        <w:tab/>
        <w:tab/>
        <w:t xml:space="preserve"> μ</w:t>
      </w:r>
      <w:r w:rsidDel="00000000" w:rsidR="00000000" w:rsidRPr="00000000">
        <w:rPr>
          <w:color w:val="000000"/>
          <w:vertAlign w:val="subscript"/>
          <w:rtl w:val="0"/>
        </w:rPr>
        <w:t xml:space="preserve">i </w:t>
      </w:r>
      <w:r w:rsidDel="00000000" w:rsidR="00000000" w:rsidRPr="00000000">
        <w:rPr>
          <w:rFonts w:ascii="Gungsuh" w:cs="Gungsuh" w:eastAsia="Gungsuh" w:hAnsi="Gungsuh"/>
          <w:color w:val="000000"/>
          <w:rtl w:val="0"/>
        </w:rPr>
        <w:t xml:space="preserve">≈ X</w:t>
      </w:r>
      <w:r w:rsidDel="00000000" w:rsidR="00000000" w:rsidRPr="00000000">
        <w:rPr>
          <w:color w:val="000000"/>
          <w:vertAlign w:val="subscript"/>
          <w:rtl w:val="0"/>
        </w:rPr>
        <w:t xml:space="preserve">i</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color w:val="000000"/>
          <w:vertAlign w:val="subscript"/>
        </w:rPr>
      </w:pPr>
      <w:r w:rsidDel="00000000" w:rsidR="00000000" w:rsidRPr="00000000">
        <w:rPr>
          <w:color w:val="000000"/>
          <w:rtl w:val="0"/>
        </w:rPr>
        <w:t xml:space="preserve">μ</w:t>
      </w:r>
      <w:r w:rsidDel="00000000" w:rsidR="00000000" w:rsidRPr="00000000">
        <w:rPr>
          <w:color w:val="000000"/>
          <w:vertAlign w:val="subscript"/>
          <w:rtl w:val="0"/>
        </w:rPr>
        <w:t xml:space="preserve">ij</w:t>
      </w:r>
      <w:r w:rsidDel="00000000" w:rsidR="00000000" w:rsidRPr="00000000">
        <w:rPr>
          <w:rFonts w:ascii="Gungsuh" w:cs="Gungsuh" w:eastAsia="Gungsuh" w:hAnsi="Gungsuh"/>
          <w:color w:val="000000"/>
          <w:rtl w:val="0"/>
        </w:rPr>
        <w:t xml:space="preserve"> ≈ X</w:t>
      </w:r>
      <w:r w:rsidDel="00000000" w:rsidR="00000000" w:rsidRPr="00000000">
        <w:rPr>
          <w:color w:val="000000"/>
          <w:vertAlign w:val="subscript"/>
          <w:rtl w:val="0"/>
        </w:rPr>
        <w:t xml:space="preserve">ij</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color w:val="000000"/>
        </w:rPr>
      </w:pPr>
      <w:r w:rsidDel="00000000" w:rsidR="00000000" w:rsidRPr="00000000">
        <w:rPr>
          <w:color w:val="000000"/>
          <w:rtl w:val="0"/>
        </w:rPr>
        <w:t xml:space="preserve">σ</w:t>
      </w:r>
      <w:r w:rsidDel="00000000" w:rsidR="00000000" w:rsidRPr="00000000">
        <w:rPr>
          <w:color w:val="000000"/>
          <w:vertAlign w:val="superscript"/>
          <w:rtl w:val="0"/>
        </w:rPr>
        <w:t xml:space="preserve">2</w:t>
      </w:r>
      <w:r w:rsidDel="00000000" w:rsidR="00000000" w:rsidRPr="00000000">
        <w:rPr>
          <w:color w:val="000000"/>
          <w:vertAlign w:val="subscript"/>
          <w:rtl w:val="0"/>
        </w:rPr>
        <w:t xml:space="preserve">i </w:t>
      </w:r>
      <w:r w:rsidDel="00000000" w:rsidR="00000000" w:rsidRPr="00000000">
        <w:rPr>
          <w:rFonts w:ascii="Gungsuh" w:cs="Gungsuh" w:eastAsia="Gungsuh" w:hAnsi="Gungsuh"/>
          <w:color w:val="000000"/>
          <w:rtl w:val="0"/>
        </w:rPr>
        <w:t xml:space="preserve">≈ S</w:t>
      </w:r>
      <w:r w:rsidDel="00000000" w:rsidR="00000000" w:rsidRPr="00000000">
        <w:rPr>
          <w:color w:val="000000"/>
          <w:vertAlign w:val="superscript"/>
          <w:rtl w:val="0"/>
        </w:rPr>
        <w:t xml:space="preserve">2</w:t>
      </w:r>
      <w:r w:rsidDel="00000000" w:rsidR="00000000" w:rsidRPr="00000000">
        <w:rPr>
          <w:color w:val="000000"/>
          <w:vertAlign w:val="subscript"/>
          <w:rtl w:val="0"/>
        </w:rPr>
        <w:t xml:space="preserve">i</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color w:val="000000"/>
          <w:vertAlign w:val="subscript"/>
        </w:rPr>
      </w:pPr>
      <w:r w:rsidDel="00000000" w:rsidR="00000000" w:rsidRPr="00000000">
        <w:rPr>
          <w:color w:val="000000"/>
          <w:rtl w:val="0"/>
        </w:rPr>
        <w:t xml:space="preserve">σ</w:t>
      </w:r>
      <w:r w:rsidDel="00000000" w:rsidR="00000000" w:rsidRPr="00000000">
        <w:rPr>
          <w:color w:val="000000"/>
          <w:vertAlign w:val="superscript"/>
          <w:rtl w:val="0"/>
        </w:rPr>
        <w:t xml:space="preserve">2</w:t>
      </w:r>
      <w:r w:rsidDel="00000000" w:rsidR="00000000" w:rsidRPr="00000000">
        <w:rPr>
          <w:color w:val="000000"/>
          <w:vertAlign w:val="subscript"/>
          <w:rtl w:val="0"/>
        </w:rPr>
        <w:t xml:space="preserve">ij </w:t>
      </w:r>
      <w:r w:rsidDel="00000000" w:rsidR="00000000" w:rsidRPr="00000000">
        <w:rPr>
          <w:rFonts w:ascii="Gungsuh" w:cs="Gungsuh" w:eastAsia="Gungsuh" w:hAnsi="Gungsuh"/>
          <w:color w:val="000000"/>
          <w:rtl w:val="0"/>
        </w:rPr>
        <w:t xml:space="preserve">≈ S</w:t>
      </w:r>
      <w:r w:rsidDel="00000000" w:rsidR="00000000" w:rsidRPr="00000000">
        <w:rPr>
          <w:color w:val="000000"/>
          <w:vertAlign w:val="superscript"/>
          <w:rtl w:val="0"/>
        </w:rPr>
        <w:t xml:space="preserve">2</w:t>
      </w:r>
      <w:r w:rsidDel="00000000" w:rsidR="00000000" w:rsidRPr="00000000">
        <w:rPr>
          <w:color w:val="000000"/>
          <w:vertAlign w:val="subscript"/>
          <w:rtl w:val="0"/>
        </w:rPr>
        <w:t xml:space="preserve">ij</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center" w:pos="4680"/>
        </w:tabs>
        <w:contextualSpacing w:val="0"/>
        <w:rPr>
          <w:color w:val="000000"/>
        </w:rPr>
      </w:pPr>
      <w:r w:rsidDel="00000000" w:rsidR="00000000" w:rsidRPr="00000000">
        <w:rPr>
          <w:color w:val="000000"/>
          <w:rtl w:val="0"/>
        </w:rPr>
        <w:t xml:space="preserve">Confidence interval of μ</w:t>
      </w:r>
      <w:r w:rsidDel="00000000" w:rsidR="00000000" w:rsidRPr="00000000">
        <w:rPr>
          <w:color w:val="000000"/>
          <w:vertAlign w:val="subscript"/>
          <w:rtl w:val="0"/>
        </w:rPr>
        <w:t xml:space="preserve">ij</w:t>
      </w:r>
      <w:r w:rsidDel="00000000" w:rsidR="00000000" w:rsidRPr="00000000">
        <w:rPr>
          <w:color w:val="000000"/>
          <w:rtl w:val="0"/>
        </w:rPr>
        <w:t xml:space="preserve">:                   (μ</w:t>
      </w:r>
      <w:r w:rsidDel="00000000" w:rsidR="00000000" w:rsidRPr="00000000">
        <w:rPr>
          <w:color w:val="000000"/>
          <w:vertAlign w:val="subscript"/>
          <w:rtl w:val="0"/>
        </w:rPr>
        <w:t xml:space="preserve">ij</w:t>
      </w:r>
      <m:oMath>
        <m:r>
          <w:rPr>
            <w:rFonts w:ascii="Cambria" w:cs="Cambria" w:eastAsia="Cambria" w:hAnsi="Cambria"/>
            <w:color w:val="000000"/>
          </w:rPr>
          <m:t xml:space="preserve"> - Z</m:t>
        </m:r>
        <m:f>
          <m:fPr>
            <m:ctrlPr>
              <w:rPr>
                <w:rFonts w:ascii="Cambria" w:cs="Cambria" w:eastAsia="Cambria" w:hAnsi="Cambria"/>
                <w:color w:val="000000"/>
              </w:rPr>
            </m:ctrlPr>
          </m:fPr>
          <m:num>
            <m:r>
              <w:rPr>
                <w:rFonts w:ascii="Cambria" w:cs="Cambria" w:eastAsia="Cambria" w:hAnsi="Cambria"/>
                <w:color w:val="000000"/>
              </w:rPr>
              <m:t xml:space="preserve">σ</m:t>
            </m:r>
          </m:num>
          <m:den>
            <m:rad>
              <m:radPr>
                <m:degHide m:val="1"/>
                <m:ctrlPr>
                  <w:rPr>
                    <w:rFonts w:ascii="Cambria" w:cs="Cambria" w:eastAsia="Cambria" w:hAnsi="Cambria"/>
                    <w:color w:val="000000"/>
                  </w:rPr>
                </m:ctrlPr>
              </m:radPr>
              <m:e>
                <m:r>
                  <w:rPr>
                    <w:rFonts w:ascii="Cambria" w:cs="Cambria" w:eastAsia="Cambria" w:hAnsi="Cambria"/>
                    <w:color w:val="000000"/>
                  </w:rPr>
                  <m:t xml:space="preserve">n</m:t>
                </m:r>
              </m:e>
            </m:rad>
          </m:den>
        </m:f>
        <m:r>
          <w:rPr>
            <w:rFonts w:ascii="Cambria" w:cs="Cambria" w:eastAsia="Cambria" w:hAnsi="Cambria"/>
            <w:color w:val="000000"/>
          </w:rPr>
          <m:t xml:space="preserve"> </m:t>
        </m:r>
      </m:oMath>
      <w:r w:rsidDel="00000000" w:rsidR="00000000" w:rsidRPr="00000000">
        <w:rPr>
          <w:color w:val="000000"/>
          <w:rtl w:val="0"/>
        </w:rPr>
        <w:t xml:space="preserve">, μ</w:t>
      </w:r>
      <w:r w:rsidDel="00000000" w:rsidR="00000000" w:rsidRPr="00000000">
        <w:rPr>
          <w:color w:val="000000"/>
          <w:vertAlign w:val="subscript"/>
          <w:rtl w:val="0"/>
        </w:rPr>
        <w:t xml:space="preserve">ij</w:t>
      </w:r>
      <w:r w:rsidDel="00000000" w:rsidR="00000000" w:rsidRPr="00000000">
        <w:rPr>
          <w:color w:val="000000"/>
          <w:rtl w:val="0"/>
        </w:rPr>
        <w:t xml:space="preserve"> +</w:t>
      </w:r>
      <m:oMath>
        <m:r>
          <w:rPr>
            <w:rFonts w:ascii="Cambria" w:cs="Cambria" w:eastAsia="Cambria" w:hAnsi="Cambria"/>
            <w:color w:val="000000"/>
          </w:rPr>
          <m:t xml:space="preserve"> Z</m:t>
        </m:r>
        <m:f>
          <m:fPr>
            <m:ctrlPr>
              <w:rPr>
                <w:rFonts w:ascii="Cambria" w:cs="Cambria" w:eastAsia="Cambria" w:hAnsi="Cambria"/>
                <w:color w:val="000000"/>
              </w:rPr>
            </m:ctrlPr>
          </m:fPr>
          <m:num>
            <m:r>
              <w:rPr>
                <w:rFonts w:ascii="Cambria" w:cs="Cambria" w:eastAsia="Cambria" w:hAnsi="Cambria"/>
                <w:color w:val="000000"/>
              </w:rPr>
              <m:t xml:space="preserve">σ</m:t>
            </m:r>
          </m:num>
          <m:den>
            <m:rad>
              <m:radPr>
                <m:degHide m:val="1"/>
                <m:ctrlPr>
                  <w:rPr>
                    <w:rFonts w:ascii="Cambria" w:cs="Cambria" w:eastAsia="Cambria" w:hAnsi="Cambria"/>
                    <w:color w:val="000000"/>
                  </w:rPr>
                </m:ctrlPr>
              </m:radPr>
              <m:e>
                <m:r>
                  <w:rPr>
                    <w:rFonts w:ascii="Cambria" w:cs="Cambria" w:eastAsia="Cambria" w:hAnsi="Cambria"/>
                    <w:color w:val="000000"/>
                  </w:rPr>
                  <m:t xml:space="preserve">n</m:t>
                </m:r>
              </m:e>
            </m:rad>
          </m:den>
        </m:f>
      </m:oMath>
      <w:r w:rsidDel="00000000" w:rsidR="00000000" w:rsidRPr="00000000">
        <w:rPr>
          <w:color w:val="000000"/>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vertAlign w:val="subscript"/>
        </w:rPr>
      </w:pPr>
      <w:r w:rsidDel="00000000" w:rsidR="00000000" w:rsidRPr="00000000">
        <w:rPr>
          <w:color w:val="000000"/>
          <w:rtl w:val="0"/>
        </w:rPr>
        <w:t xml:space="preserve">Confidence interval of σ</w:t>
      </w:r>
      <w:r w:rsidDel="00000000" w:rsidR="00000000" w:rsidRPr="00000000">
        <w:rPr>
          <w:color w:val="000000"/>
          <w:vertAlign w:val="superscript"/>
          <w:rtl w:val="0"/>
        </w:rPr>
        <w:t xml:space="preserve">2</w:t>
      </w:r>
      <w:r w:rsidDel="00000000" w:rsidR="00000000" w:rsidRPr="00000000">
        <w:rPr>
          <w:color w:val="000000"/>
          <w:vertAlign w:val="subscript"/>
          <w:rtl w:val="0"/>
        </w:rPr>
        <w:t xml:space="preserve">ij</w:t>
      </w:r>
      <w:r w:rsidDel="00000000" w:rsidR="00000000" w:rsidRPr="00000000">
        <w:rPr>
          <w:color w:val="000000"/>
          <w:rtl w:val="0"/>
        </w:rPr>
        <w:t xml:space="preserve">:                  (</w:t>
      </w:r>
      <m:oMath>
        <m:f>
          <m:fPr>
            <m:ctrlPr>
              <w:rPr>
                <w:rFonts w:ascii="Cambria" w:cs="Cambria" w:eastAsia="Cambria" w:hAnsi="Cambria"/>
                <w:color w:val="000000"/>
              </w:rPr>
            </m:ctrlPr>
          </m:fPr>
          <m:num>
            <m:r>
              <w:rPr/>
              <m:t xml:space="preserve">(</m:t>
            </m:r>
            <m:r>
              <w:rPr>
                <w:rFonts w:ascii="Cambria" w:cs="Cambria" w:eastAsia="Cambria" w:hAnsi="Cambria"/>
                <w:color w:val="000000"/>
              </w:rPr>
              <m:t xml:space="preserve">n-1</m:t>
            </m:r>
            <m:r>
              <w:rPr/>
              <m:t xml:space="preserve">)</m:t>
            </m:r>
          </m:num>
          <m:den>
            <m:r>
              <w:rPr>
                <w:rFonts w:ascii="Cambria" w:cs="Cambria" w:eastAsia="Cambria" w:hAnsi="Cambria"/>
                <w:color w:val="000000"/>
              </w:rPr>
              <m:t xml:space="preserve">χ</m:t>
            </m:r>
            <m:sSub>
              <m:sSubPr>
                <m:ctrlPr>
                  <w:rPr>
                    <w:rFonts w:ascii="Cambria" w:cs="Cambria" w:eastAsia="Cambria" w:hAnsi="Cambria"/>
                    <w:color w:val="000000"/>
                  </w:rPr>
                </m:ctrlPr>
              </m:sSubPr>
              <m:e>
                <m:r>
                  <w:rPr>
                    <w:rFonts w:ascii="Cambria" w:cs="Cambria" w:eastAsia="Cambria" w:hAnsi="Cambria"/>
                    <w:color w:val="000000"/>
                  </w:rPr>
                  <m:t xml:space="preserve">2</m:t>
                </m:r>
              </m:e>
              <m:sub>
                <m:r>
                  <w:rPr>
                    <w:rFonts w:ascii="Cambria" w:cs="Cambria" w:eastAsia="Cambria" w:hAnsi="Cambria"/>
                    <w:color w:val="000000"/>
                  </w:rPr>
                  <m:t xml:space="preserve">(1-</m:t>
                </m:r>
                <m:f>
                  <m:fPr>
                    <m:ctrlPr>
                      <w:rPr>
                        <w:rFonts w:ascii="Cambria" w:cs="Cambria" w:eastAsia="Cambria" w:hAnsi="Cambria"/>
                        <w:color w:val="000000"/>
                      </w:rPr>
                    </m:ctrlPr>
                  </m:fPr>
                  <m:num>
                    <m:r>
                      <w:rPr>
                        <w:rFonts w:ascii="Cambria" w:cs="Cambria" w:eastAsia="Cambria" w:hAnsi="Cambria"/>
                        <w:color w:val="000000"/>
                      </w:rPr>
                      <m:t xml:space="preserve">α</m:t>
                    </m:r>
                  </m:num>
                  <m:den>
                    <m:r>
                      <w:rPr>
                        <w:rFonts w:ascii="Cambria" w:cs="Cambria" w:eastAsia="Cambria" w:hAnsi="Cambria"/>
                        <w:color w:val="000000"/>
                      </w:rPr>
                      <m:t xml:space="preserve">2</m:t>
                    </m:r>
                  </m:den>
                </m:f>
                <m:r>
                  <w:rPr>
                    <w:rFonts w:ascii="Cambria" w:cs="Cambria" w:eastAsia="Cambria" w:hAnsi="Cambria"/>
                    <w:color w:val="000000"/>
                  </w:rPr>
                  <m:t xml:space="preserve">)</m:t>
                </m:r>
              </m:sub>
            </m:sSub>
          </m:den>
        </m:f>
      </m:oMath>
      <w:r w:rsidDel="00000000" w:rsidR="00000000" w:rsidRPr="00000000">
        <w:rPr>
          <w:color w:val="000000"/>
          <w:rtl w:val="0"/>
        </w:rPr>
        <w:t xml:space="preserve"> S</w:t>
      </w:r>
      <w:r w:rsidDel="00000000" w:rsidR="00000000" w:rsidRPr="00000000">
        <w:rPr>
          <w:color w:val="000000"/>
          <w:vertAlign w:val="superscript"/>
          <w:rtl w:val="0"/>
        </w:rPr>
        <w:t xml:space="preserve">2</w:t>
      </w:r>
      <w:r w:rsidDel="00000000" w:rsidR="00000000" w:rsidRPr="00000000">
        <w:rPr>
          <w:color w:val="000000"/>
          <w:vertAlign w:val="subscript"/>
          <w:rtl w:val="0"/>
        </w:rPr>
        <w:t xml:space="preserve">ij </w:t>
      </w:r>
      <m:oMath/>
      <w:r w:rsidDel="00000000" w:rsidR="00000000" w:rsidRPr="00000000">
        <w:rPr>
          <w:color w:val="000000"/>
          <w:rtl w:val="0"/>
        </w:rPr>
        <w:t xml:space="preserve">, </w:t>
      </w:r>
      <m:oMath>
        <m:f>
          <m:fPr>
            <m:ctrlPr>
              <w:rPr>
                <w:rFonts w:ascii="Cambria" w:cs="Cambria" w:eastAsia="Cambria" w:hAnsi="Cambria"/>
                <w:color w:val="000000"/>
              </w:rPr>
            </m:ctrlPr>
          </m:fPr>
          <m:num>
            <m:r>
              <w:rPr/>
              <m:t xml:space="preserve">(</m:t>
            </m:r>
            <m:r>
              <w:rPr>
                <w:rFonts w:ascii="Cambria" w:cs="Cambria" w:eastAsia="Cambria" w:hAnsi="Cambria"/>
                <w:color w:val="000000"/>
              </w:rPr>
              <m:t xml:space="preserve">n-1</m:t>
            </m:r>
            <m:r>
              <w:rPr/>
              <m:t xml:space="preserve">)</m:t>
            </m:r>
          </m:num>
          <m:den>
            <m:r>
              <w:rPr>
                <w:rFonts w:ascii="Cambria" w:cs="Cambria" w:eastAsia="Cambria" w:hAnsi="Cambria"/>
                <w:color w:val="000000"/>
              </w:rPr>
              <m:t xml:space="preserve">χ</m:t>
            </m:r>
            <m:sSub>
              <m:sSubPr>
                <m:ctrlPr>
                  <w:rPr>
                    <w:rFonts w:ascii="Cambria" w:cs="Cambria" w:eastAsia="Cambria" w:hAnsi="Cambria"/>
                    <w:color w:val="000000"/>
                  </w:rPr>
                </m:ctrlPr>
              </m:sSubPr>
              <m:e>
                <m:r>
                  <w:rPr>
                    <w:rFonts w:ascii="Cambria" w:cs="Cambria" w:eastAsia="Cambria" w:hAnsi="Cambria"/>
                    <w:color w:val="000000"/>
                  </w:rPr>
                  <m:t xml:space="preserve">2</m:t>
                </m:r>
              </m:e>
              <m:sub>
                <m:r>
                  <w:rPr>
                    <w:rFonts w:ascii="Cambria" w:cs="Cambria" w:eastAsia="Cambria" w:hAnsi="Cambria"/>
                    <w:color w:val="000000"/>
                  </w:rPr>
                  <m:t xml:space="preserve">(</m:t>
                </m:r>
                <m:f>
                  <m:fPr>
                    <m:ctrlPr>
                      <w:rPr>
                        <w:rFonts w:ascii="Cambria" w:cs="Cambria" w:eastAsia="Cambria" w:hAnsi="Cambria"/>
                        <w:color w:val="000000"/>
                      </w:rPr>
                    </m:ctrlPr>
                  </m:fPr>
                  <m:num>
                    <m:r>
                      <w:rPr>
                        <w:rFonts w:ascii="Cambria" w:cs="Cambria" w:eastAsia="Cambria" w:hAnsi="Cambria"/>
                        <w:color w:val="000000"/>
                      </w:rPr>
                      <m:t xml:space="preserve">α</m:t>
                    </m:r>
                  </m:num>
                  <m:den>
                    <m:r>
                      <w:rPr>
                        <w:rFonts w:ascii="Cambria" w:cs="Cambria" w:eastAsia="Cambria" w:hAnsi="Cambria"/>
                        <w:color w:val="000000"/>
                      </w:rPr>
                      <m:t xml:space="preserve">2</m:t>
                    </m:r>
                  </m:den>
                </m:f>
                <m:r>
                  <w:rPr>
                    <w:rFonts w:ascii="Cambria" w:cs="Cambria" w:eastAsia="Cambria" w:hAnsi="Cambria"/>
                    <w:color w:val="000000"/>
                  </w:rPr>
                  <m:t xml:space="preserve">)</m:t>
                </m:r>
              </m:sub>
            </m:sSub>
          </m:den>
        </m:f>
      </m:oMath>
      <w:r w:rsidDel="00000000" w:rsidR="00000000" w:rsidRPr="00000000">
        <w:rPr>
          <w:color w:val="000000"/>
          <w:rtl w:val="0"/>
        </w:rPr>
        <w:t xml:space="preserve"> S</w:t>
      </w:r>
      <w:r w:rsidDel="00000000" w:rsidR="00000000" w:rsidRPr="00000000">
        <w:rPr>
          <w:color w:val="000000"/>
          <w:vertAlign w:val="superscript"/>
          <w:rtl w:val="0"/>
        </w:rPr>
        <w:t xml:space="preserve">2</w:t>
      </w:r>
      <w:r w:rsidDel="00000000" w:rsidR="00000000" w:rsidRPr="00000000">
        <w:rPr>
          <w:color w:val="000000"/>
          <w:vertAlign w:val="subscript"/>
          <w:rtl w:val="0"/>
        </w:rPr>
        <w:t xml:space="preserve">ij</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center" w:pos="4680"/>
        </w:tabs>
        <w:contextualSpacing w:val="0"/>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center" w:pos="4680"/>
        </w:tabs>
        <w:contextualSpacing w:val="0"/>
        <w:rPr>
          <w:color w:val="000000"/>
        </w:rPr>
      </w:pPr>
      <w:r w:rsidDel="00000000" w:rsidR="00000000" w:rsidRPr="00000000">
        <w:rPr>
          <w:color w:val="000000"/>
          <w:rtl w:val="0"/>
        </w:rPr>
        <w:t xml:space="preserve">where</w:t>
      </w:r>
      <w:r w:rsidDel="00000000" w:rsidR="00000000" w:rsidRPr="00000000">
        <w:rPr>
          <w:rtl w:val="0"/>
        </w:rPr>
        <w:t xml:space="preserve"> </w:t>
      </w:r>
      <w:r w:rsidDel="00000000" w:rsidR="00000000" w:rsidRPr="00000000">
        <w:rPr>
          <w:color w:val="000000"/>
          <w:rtl w:val="0"/>
        </w:rPr>
        <w:t xml:space="preserve">z</w:t>
      </w:r>
      <w:r w:rsidDel="00000000" w:rsidR="00000000" w:rsidRPr="00000000">
        <w:rPr>
          <w:rtl w:val="0"/>
        </w:rPr>
        <w:t xml:space="preserve"> </w:t>
      </w:r>
      <w:r w:rsidDel="00000000" w:rsidR="00000000" w:rsidRPr="00000000">
        <w:rPr>
          <w:color w:val="000000"/>
          <w:rtl w:val="0"/>
        </w:rPr>
        <w:t xml:space="preserve">is the upper (1-</w:t>
      </w:r>
      <w:r w:rsidDel="00000000" w:rsidR="00000000" w:rsidRPr="00000000">
        <w:rPr>
          <w:rtl w:val="0"/>
        </w:rPr>
        <w:t xml:space="preserve"> </w:t>
      </w:r>
      <w:r w:rsidDel="00000000" w:rsidR="00000000" w:rsidRPr="00000000">
        <w:rPr>
          <w:color w:val="000000"/>
          <w:rtl w:val="0"/>
        </w:rPr>
        <w:t xml:space="preserve">α)/2 = 1.96 critical value for the standard normal distribution, α = 95%.</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color w:val="000000"/>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0" distT="0" distL="0" distR="0">
            <wp:extent cx="3289128" cy="368636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89128" cy="368636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color w:val="000000"/>
        </w:rPr>
      </w:pPr>
      <w:r w:rsidDel="00000000" w:rsidR="00000000" w:rsidRPr="00000000">
        <w:rPr>
          <w:b w:val="1"/>
          <w:color w:val="000000"/>
          <w:rtl w:val="0"/>
        </w:rPr>
        <w:t xml:space="preserve">Table 3. </w:t>
      </w:r>
      <w:r w:rsidDel="00000000" w:rsidR="00000000" w:rsidRPr="00000000">
        <w:rPr>
          <w:color w:val="000000"/>
          <w:rtl w:val="0"/>
        </w:rPr>
        <w:t xml:space="preserve">Frequentist approach results of μ</w:t>
      </w:r>
      <w:r w:rsidDel="00000000" w:rsidR="00000000" w:rsidRPr="00000000">
        <w:rPr>
          <w:color w:val="000000"/>
          <w:vertAlign w:val="subscript"/>
          <w:rtl w:val="0"/>
        </w:rPr>
        <w:t xml:space="preserve">ij</w:t>
      </w:r>
      <w:r w:rsidDel="00000000" w:rsidR="00000000" w:rsidRPr="00000000">
        <w:rPr>
          <w:color w:val="000000"/>
          <w:rtl w:val="0"/>
        </w:rPr>
        <w:t xml:space="preserve"> in each division and team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Compared with the results of</w:t>
      </w:r>
      <w:r w:rsidDel="00000000" w:rsidR="00000000" w:rsidRPr="00000000">
        <w:rPr>
          <w:color w:val="000000"/>
          <w:rtl w:val="0"/>
        </w:rPr>
        <w:t xml:space="preserve"> normal Bayesian hierarchical model in Table 1, the differences between two μ</w:t>
      </w:r>
      <w:r w:rsidDel="00000000" w:rsidR="00000000" w:rsidRPr="00000000">
        <w:rPr>
          <w:color w:val="000000"/>
          <w:vertAlign w:val="subscript"/>
          <w:rtl w:val="0"/>
        </w:rPr>
        <w:t xml:space="preserve">ij </w:t>
      </w:r>
      <w:r w:rsidDel="00000000" w:rsidR="00000000" w:rsidRPr="00000000">
        <w:rPr>
          <w:rtl w:val="0"/>
        </w:rPr>
        <w:t xml:space="preserve">estimators are consistently small. And all the confidence intervals of frequentist method are wider than these of </w:t>
      </w:r>
      <w:r w:rsidDel="00000000" w:rsidR="00000000" w:rsidRPr="00000000">
        <w:rPr>
          <w:color w:val="000000"/>
          <w:rtl w:val="0"/>
        </w:rPr>
        <w:t xml:space="preserve">normal Bayesian hierarchical model. Large variance shows that the players have different average levels in each team.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5"/>
        <w:gridCol w:w="1335"/>
        <w:gridCol w:w="1336"/>
        <w:gridCol w:w="1336"/>
        <w:gridCol w:w="1336"/>
        <w:gridCol w:w="1336"/>
        <w:gridCol w:w="1336"/>
        <w:tblGridChange w:id="0">
          <w:tblGrid>
            <w:gridCol w:w="1335"/>
            <w:gridCol w:w="1335"/>
            <w:gridCol w:w="1336"/>
            <w:gridCol w:w="1336"/>
            <w:gridCol w:w="1336"/>
            <w:gridCol w:w="1336"/>
            <w:gridCol w:w="1336"/>
          </w:tblGrid>
        </w:tblGridChange>
      </w:tblGrid>
      <w:tr>
        <w:tc>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Methods</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Atlantic</w:t>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Central</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Northwest</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Pacific</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Southeast</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Southwest</w:t>
            </w:r>
          </w:p>
        </w:tc>
      </w:tr>
      <w:tr>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Frequentist</w:t>
            </w:r>
            <w:r w:rsidDel="00000000" w:rsidR="00000000" w:rsidRPr="00000000">
              <w:rPr>
                <w:rtl w:val="0"/>
              </w:rPr>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8.88</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8.78</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8.43</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8.68</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8.28</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8.81</w:t>
            </w:r>
          </w:p>
        </w:tc>
      </w:tr>
      <w:tr>
        <w:trPr>
          <w:trHeight w:val="260" w:hRule="atLeast"/>
        </w:trPr>
        <w:tc>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Bayesian</w:t>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8.635</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8.716</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8.708</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8.656</w:t>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8.58</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8.619</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color w:val="000000"/>
          <w:vertAlign w:val="subscript"/>
        </w:rPr>
      </w:pPr>
      <w:r w:rsidDel="00000000" w:rsidR="00000000" w:rsidRPr="00000000">
        <w:rPr>
          <w:b w:val="1"/>
          <w:color w:val="000000"/>
          <w:rtl w:val="0"/>
        </w:rPr>
        <w:t xml:space="preserve">Table 4. </w:t>
      </w:r>
      <w:r w:rsidDel="00000000" w:rsidR="00000000" w:rsidRPr="00000000">
        <w:rPr>
          <w:color w:val="000000"/>
          <w:rtl w:val="0"/>
        </w:rPr>
        <w:t xml:space="preserve">Comparison between Frequentist and Bayesian approaches for μ</w:t>
      </w:r>
      <w:r w:rsidDel="00000000" w:rsidR="00000000" w:rsidRPr="00000000">
        <w:rPr>
          <w:color w:val="000000"/>
          <w:vertAlign w:val="subscript"/>
          <w:rtl w:val="0"/>
        </w:rPr>
        <w:t xml:space="preserve">i</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Both the frequentist and Bayesian methods results for μ</w:t>
      </w:r>
      <w:r w:rsidDel="00000000" w:rsidR="00000000" w:rsidRPr="00000000">
        <w:rPr>
          <w:color w:val="000000"/>
          <w:vertAlign w:val="subscript"/>
          <w:rtl w:val="0"/>
        </w:rPr>
        <w:t xml:space="preserve">i </w:t>
      </w:r>
      <w:r w:rsidDel="00000000" w:rsidR="00000000" w:rsidRPr="00000000">
        <w:rPr>
          <w:color w:val="000000"/>
          <w:rtl w:val="0"/>
        </w:rPr>
        <w:t xml:space="preserve">are approximately 8.5 and difference between each pair is very small. That indicates that results of Bayesian model seems good and the differences of Players’ Points Per Game (PPG) between different divisions are small. Players in each division have close average levels.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
        <w:tblW w:w="981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2790"/>
        <w:gridCol w:w="2970"/>
        <w:gridCol w:w="2700"/>
        <w:tblGridChange w:id="0">
          <w:tblGrid>
            <w:gridCol w:w="1350"/>
            <w:gridCol w:w="2790"/>
            <w:gridCol w:w="2970"/>
            <w:gridCol w:w="2700"/>
          </w:tblGrid>
        </w:tblGridChange>
      </w:tblGrid>
      <w:tr>
        <w:trPr>
          <w:trHeight w:val="520" w:hRule="atLeast"/>
        </w:trPr>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color w:val="000000"/>
              </w:rPr>
            </w:pPr>
            <w:r w:rsidDel="00000000" w:rsidR="00000000" w:rsidRPr="00000000">
              <w:rPr>
                <w:color w:val="000000"/>
                <w:rtl w:val="0"/>
              </w:rPr>
              <w:t xml:space="preserve">Methods</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color w:val="000000"/>
              </w:rPr>
            </w:pPr>
            <w:r w:rsidDel="00000000" w:rsidR="00000000" w:rsidRPr="00000000">
              <w:rPr>
                <w:color w:val="000000"/>
                <w:rtl w:val="0"/>
              </w:rPr>
              <w:t xml:space="preserve">σ</w:t>
            </w:r>
            <w:r w:rsidDel="00000000" w:rsidR="00000000" w:rsidRPr="00000000">
              <w:rPr>
                <w:color w:val="000000"/>
                <w:vertAlign w:val="subscript"/>
                <w:rtl w:val="0"/>
              </w:rPr>
              <w:t xml:space="preserve">A</w:t>
            </w:r>
            <w:r w:rsidDel="00000000" w:rsidR="00000000" w:rsidRPr="00000000">
              <w:rPr>
                <w:color w:val="000000"/>
                <w:vertAlign w:val="superscript"/>
                <w:rtl w:val="0"/>
              </w:rPr>
              <w:t xml:space="preserve">2</w:t>
            </w:r>
            <w:r w:rsidDel="00000000" w:rsidR="00000000" w:rsidRPr="00000000">
              <w:rPr>
                <w:color w:val="000000"/>
                <w:vertAlign w:val="subscript"/>
                <w:rtl w:val="0"/>
              </w:rPr>
              <w:t xml:space="preserve"> </w:t>
            </w:r>
            <w:r w:rsidDel="00000000" w:rsidR="00000000" w:rsidRPr="00000000">
              <w:rPr>
                <w:color w:val="000000"/>
                <w:rtl w:val="0"/>
              </w:rPr>
              <w:t xml:space="preserve">(Between Division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color w:val="000000"/>
              </w:rPr>
            </w:pPr>
            <w:r w:rsidDel="00000000" w:rsidR="00000000" w:rsidRPr="00000000">
              <w:rPr>
                <w:color w:val="000000"/>
                <w:rtl w:val="0"/>
              </w:rPr>
              <w:t xml:space="preserve">Standard Deviation)</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color w:val="000000"/>
              </w:rPr>
            </w:pPr>
            <w:r w:rsidDel="00000000" w:rsidR="00000000" w:rsidRPr="00000000">
              <w:rPr>
                <w:color w:val="000000"/>
                <w:rtl w:val="0"/>
              </w:rPr>
              <w:t xml:space="preserve">σ</w:t>
            </w:r>
            <w:r w:rsidDel="00000000" w:rsidR="00000000" w:rsidRPr="00000000">
              <w:rPr>
                <w:color w:val="000000"/>
                <w:vertAlign w:val="subscript"/>
                <w:rtl w:val="0"/>
              </w:rPr>
              <w:t xml:space="preserve">B</w:t>
            </w:r>
            <w:r w:rsidDel="00000000" w:rsidR="00000000" w:rsidRPr="00000000">
              <w:rPr>
                <w:color w:val="000000"/>
                <w:vertAlign w:val="superscript"/>
                <w:rtl w:val="0"/>
              </w:rPr>
              <w:t xml:space="preserve">2</w:t>
            </w:r>
            <w:r w:rsidDel="00000000" w:rsidR="00000000" w:rsidRPr="00000000">
              <w:rPr>
                <w:color w:val="000000"/>
                <w:rtl w:val="0"/>
              </w:rPr>
              <w:t xml:space="preserve"> (Between Team Standard Deviation)</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color w:val="000000"/>
              </w:rPr>
            </w:pPr>
            <w:r w:rsidDel="00000000" w:rsidR="00000000" w:rsidRPr="00000000">
              <w:rPr>
                <w:color w:val="000000"/>
                <w:rtl w:val="0"/>
              </w:rPr>
              <w:t xml:space="preserve">σ</w:t>
            </w:r>
            <w:r w:rsidDel="00000000" w:rsidR="00000000" w:rsidRPr="00000000">
              <w:rPr>
                <w:color w:val="000000"/>
                <w:vertAlign w:val="subscript"/>
                <w:rtl w:val="0"/>
              </w:rPr>
              <w:t xml:space="preserve">C</w:t>
            </w:r>
            <w:r w:rsidDel="00000000" w:rsidR="00000000" w:rsidRPr="00000000">
              <w:rPr>
                <w:color w:val="000000"/>
                <w:vertAlign w:val="superscript"/>
                <w:rtl w:val="0"/>
              </w:rPr>
              <w:t xml:space="preserve">2</w:t>
            </w:r>
            <w:r w:rsidDel="00000000" w:rsidR="00000000" w:rsidRPr="00000000">
              <w:rPr>
                <w:color w:val="000000"/>
                <w:rtl w:val="0"/>
              </w:rPr>
              <w:t xml:space="preserve">(Inside Team Standard Deviation)</w:t>
            </w:r>
          </w:p>
        </w:tc>
      </w:tr>
      <w:tr>
        <w:trPr>
          <w:trHeight w:val="260" w:hRule="atLeast"/>
        </w:trPr>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color w:val="000000"/>
              </w:rPr>
            </w:pPr>
            <w:r w:rsidDel="00000000" w:rsidR="00000000" w:rsidRPr="00000000">
              <w:rPr>
                <w:color w:val="000000"/>
                <w:rtl w:val="0"/>
              </w:rPr>
              <w:t xml:space="preserve">Frequentist</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color w:val="000000"/>
              </w:rPr>
            </w:pPr>
            <w:r w:rsidDel="00000000" w:rsidR="00000000" w:rsidRPr="00000000">
              <w:rPr>
                <w:color w:val="000000"/>
                <w:rtl w:val="0"/>
              </w:rPr>
              <w:t xml:space="preserve">0.2472</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color w:val="000000"/>
              </w:rPr>
            </w:pPr>
            <w:r w:rsidDel="00000000" w:rsidR="00000000" w:rsidRPr="00000000">
              <w:rPr>
                <w:color w:val="000000"/>
                <w:rtl w:val="0"/>
              </w:rPr>
              <w:t xml:space="preserve">0.9319</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color w:val="000000"/>
              </w:rPr>
            </w:pPr>
            <w:r w:rsidDel="00000000" w:rsidR="00000000" w:rsidRPr="00000000">
              <w:rPr>
                <w:color w:val="000000"/>
                <w:rtl w:val="0"/>
              </w:rPr>
              <w:t xml:space="preserve">37.09</w:t>
            </w:r>
          </w:p>
        </w:tc>
      </w:tr>
      <w:tr>
        <w:trPr>
          <w:trHeight w:val="260" w:hRule="atLeast"/>
        </w:trPr>
        <w:tc>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color w:val="000000"/>
              </w:rPr>
            </w:pPr>
            <w:r w:rsidDel="00000000" w:rsidR="00000000" w:rsidRPr="00000000">
              <w:rPr>
                <w:color w:val="000000"/>
                <w:rtl w:val="0"/>
              </w:rPr>
              <w:t xml:space="preserve">Bayesian</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color w:val="000000"/>
              </w:rPr>
            </w:pPr>
            <w:r w:rsidDel="00000000" w:rsidR="00000000" w:rsidRPr="00000000">
              <w:rPr>
                <w:color w:val="000000"/>
                <w:rtl w:val="0"/>
              </w:rPr>
              <w:t xml:space="preserve">0.1318</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color w:val="000000"/>
              </w:rPr>
            </w:pPr>
            <w:r w:rsidDel="00000000" w:rsidR="00000000" w:rsidRPr="00000000">
              <w:rPr>
                <w:color w:val="000000"/>
                <w:rtl w:val="0"/>
              </w:rPr>
              <w:t xml:space="preserve">0.7632</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color w:val="000000"/>
              </w:rPr>
            </w:pPr>
            <w:r w:rsidDel="00000000" w:rsidR="00000000" w:rsidRPr="00000000">
              <w:rPr>
                <w:color w:val="000000"/>
                <w:rtl w:val="0"/>
              </w:rPr>
              <w:t xml:space="preserve">34.7</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b w:val="1"/>
          <w:color w:val="00000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b w:val="1"/>
          <w:color w:val="000000"/>
        </w:rPr>
      </w:pPr>
      <w:r w:rsidDel="00000000" w:rsidR="00000000" w:rsidRPr="00000000">
        <w:rPr>
          <w:b w:val="1"/>
          <w:color w:val="000000"/>
          <w:rtl w:val="0"/>
        </w:rPr>
        <w:t xml:space="preserve">Table 5. </w:t>
      </w:r>
      <w:r w:rsidDel="00000000" w:rsidR="00000000" w:rsidRPr="00000000">
        <w:rPr>
          <w:color w:val="000000"/>
          <w:rtl w:val="0"/>
        </w:rPr>
        <w:t xml:space="preserve">Comparison between Frequentist and Bayesian approaches for σ</w:t>
      </w:r>
      <w:r w:rsidDel="00000000" w:rsidR="00000000" w:rsidRPr="00000000">
        <w:rPr>
          <w:color w:val="000000"/>
          <w:vertAlign w:val="superscript"/>
          <w:rtl w:val="0"/>
        </w:rPr>
        <w:t xml:space="preserve">2</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Based on Table 5, we can clearly see that </w:t>
      </w:r>
      <w:r w:rsidDel="00000000" w:rsidR="00000000" w:rsidRPr="00000000">
        <w:rPr>
          <w:color w:val="000000"/>
          <w:rtl w:val="0"/>
        </w:rPr>
        <w:t xml:space="preserve">normal Bayesian hierarchical model has slightly greater </w:t>
      </w:r>
      <w:r w:rsidDel="00000000" w:rsidR="00000000" w:rsidRPr="00000000">
        <w:rPr>
          <w:rtl w:val="0"/>
        </w:rPr>
        <w:t xml:space="preserve">standard deviation between different divisions, between different teams and inside each team than frequentist model, but the differences are very small. That indicates that normal Bayesian hierarchical model shows representative results compared to frequentist model. Additionally, between different divisions and between teams, the results in the set are close to the mean and each other. But in each team, Players’ Points Per Game (PPG) in each set are far from the mean and each other.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ungsuh"/>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