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78D6"/>
          <w:sz w:val="40"/>
          <w:szCs w:val="40"/>
        </w:rPr>
        <w:t xml:space="preserve">Tokens, energi och koldioxidavtryck</w:t>
      </w:r>
    </w:p>
    <w:p>
      <w:pPr>
        <w:spacing w:after="200"/>
      </w:pPr>
      <w:r>
        <w:rPr>
          <w:i/>
          <w:iCs/>
          <w:color w:val="6B675E"/>
          <w:sz w:val="22"/>
          <w:szCs w:val="22"/>
        </w:rPr>
        <w:t xml:space="preserve">Referensdokument – Inequality in 3D / Solsteg · uppskattat AI-avtryck för byggarbetet</w:t>
      </w:r>
    </w:p>
    <w:p>
      <w:pPr>
        <w:spacing w:after="120" w:line="276"/>
      </w:pPr>
      <w:r>
        <w:t xml:space="preserve">Det här dokumentet sammanfattar hur många tokens som gick åt när verktyget </w:t>
      </w:r>
      <w:r>
        <w:rPr>
          <w:i/>
          <w:iCs/>
        </w:rPr>
        <w:t xml:space="preserve">Inequality in 3D</w:t>
      </w:r>
      <w:r>
        <w:t xml:space="preserve"> byggdes i dialog med AI-assistenten Claude, samt en grov uppskattning av energiåtgång och koldioxidavtryck. Token-siffrorna är hårda och verifierbara; energi- och CO₂-siffrorna är medvetet grova uppskattningar (skaparens egna, inte officiella siffror från Anthropic). Dokumentet är tänkt som referens vid t.ex. artikelskrivning.</w:t>
      </w:r>
    </w:p>
    <w:p>
      <w:pPr>
        <w:spacing w:after="120" w:line="276"/>
      </w:pPr>
      <w:r>
        <w:rPr>
          <w:b/>
          <w:bCs/>
        </w:rPr>
        <w:t xml:space="preserve">Viktigast att bära med sig: </w:t>
      </w:r>
      <w:r>
        <w:t xml:space="preserve">ange ett spann, inte en punktsiffra – och blanda inte ihop kostnad med energi.</w:t>
      </w:r>
    </w:p>
    <w:p>
      <w:pPr>
        <w:pStyle w:val="Heading1"/>
        <w:spacing w:after="120" w:before="260"/>
      </w:pPr>
      <w:r>
        <w:rPr>
          <w:b/>
          <w:bCs/>
        </w:rPr>
        <w:t xml:space="preserve">1. Token-data (uppmätt)</w:t>
      </w:r>
    </w:p>
    <w:p>
      <w:pPr>
        <w:spacing w:after="120" w:line="276"/>
      </w:pPr>
      <w:r>
        <w:t xml:space="preserve">Siffrorna är summerade ur sessionens transcript-fil (JSONL), där varje modellsvar bär ett </w:t>
      </w:r>
      <w:r>
        <w:rPr>
          <w:rFonts w:ascii="Courier New" w:cs="Courier New" w:eastAsia="Courier New" w:hAnsi="Courier New"/>
        </w:rPr>
        <w:t xml:space="preserve">usage</w:t>
      </w:r>
      <w:r>
        <w:t xml:space="preserve">-fält. Totalt 1 320 modellsvar: 835 Opus 4.8, 486 Fable 5, 2 syntetiska.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200"/>
      </w:tblGrid>
      <w:tr>
        <w:trPr>
          <w:tblHeader/>
        </w:trPr>
        <w:tc>
          <w:tcPr>
            <w:tcW w:type="dxa" w:w="34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Kategori</w:t>
            </w:r>
          </w:p>
        </w:tc>
        <w:tc>
          <w:tcPr>
            <w:tcW w:type="dxa" w:w="24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Tokens</w:t>
            </w:r>
          </w:p>
        </w:tc>
        <w:tc>
          <w:tcPr>
            <w:tcW w:type="dxa" w:w="32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Kommentar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 (genererat)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2 129 654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text och kod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Unikt kodad input (prefill)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11 790 310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icke-cachad + cache-skapande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Cache-läsning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585 271 851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återanvänd kontext, ~98 % av all input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Brutto in + ut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598 800 000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vilseledande – se nedan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Varför </w:t>
      </w:r>
      <w:r>
        <w:rPr>
          <w:i/>
          <w:iCs/>
        </w:rPr>
        <w:t xml:space="preserve">inte</w:t>
      </w:r>
      <w:r>
        <w:rPr>
          <w:b/>
          <w:bCs/>
        </w:rPr>
        <w:t xml:space="preserve"> en enda input-siffra: </w:t>
      </w:r>
      <w:r>
        <w:t xml:space="preserve">i en agentsession skickas hela den växande kontexten in på nytt varje tur, men nästan allt träffar prompt-cachen. En cache-läst token är redan kodad – modellen betalar bara attention-kostnaden mot den cachade KV-cachen, inte full omkodning. Att räkna de 585 miljonerna cache-lästa som ”riktiga” input-tokens överskattar arbetet grovt.</w:t>
      </w:r>
    </w:p>
    <w:p>
      <w:pPr>
        <w:spacing w:after="120" w:line="276"/>
      </w:pPr>
      <w:r>
        <w:rPr>
          <w:b/>
          <w:bCs/>
        </w:rPr>
        <w:t xml:space="preserve">Rekommenderad huvudsiffra: </w:t>
      </w:r>
      <w:r>
        <w:t xml:space="preserve">≈ 11,8 miljoner unikt kodade input-tokens + ≈ 2,13 miljoner output-tokens ≈ 14 miljoner tokens ”beräknade från grunden”. Nämn bruttosiffran (599 M) separat med förklaringen att ~98 % är cache-återläsningar.</w:t>
      </w:r>
    </w:p>
    <w:p>
      <w:pPr>
        <w:pStyle w:val="Heading1"/>
        <w:spacing w:after="120" w:before="260"/>
      </w:pPr>
      <w:r>
        <w:rPr>
          <w:b/>
          <w:bCs/>
        </w:rPr>
        <w:t xml:space="preserve">2. Kostnad (notionell listpris-ekvivalent)</w:t>
      </w:r>
    </w:p>
    <w:p>
      <w:pPr>
        <w:spacing w:after="120" w:line="276"/>
      </w:pPr>
      <w:r>
        <w:t xml:space="preserve">Med aktuell API-prislista (Opus 4.8: $5/$25 per miljon in/ut; Fable 5: $10/$50), cache-läsning ×0,1 och cache-skrivning ×2 (1-timmes-cache):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5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Opus 4.8</w:t>
            </w:r>
          </w:p>
        </w:tc>
        <w:tc>
          <w:tcPr>
            <w:tcW w:type="dxa" w:w="25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Fable 5</w:t>
            </w:r>
          </w:p>
        </w:tc>
      </w:tr>
      <w:tr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Cache-skapande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$75,3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$85,1</w:t>
            </w:r>
          </w:p>
        </w:tc>
      </w:tr>
      <w:tr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Cache-läsning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$240,7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$103,9</w:t>
            </w:r>
          </w:p>
        </w:tc>
      </w:tr>
      <w:tr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$35,6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$35,3</w:t>
            </w:r>
          </w:p>
        </w:tc>
      </w:tr>
      <w:tr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Delsumma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$352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$224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Totalt ≈ $515–575 (≈ 5 400–6 000 kr) beroende på cache-antagande. </w:t>
      </w:r>
      <w:r>
        <w:t xml:space="preserve">Detta är notionell listkostnad, inte vad som faktiskt betalats (arbetet skedde på ett Claude Code-abonnemang). Och </w:t>
      </w:r>
      <w:r>
        <w:rPr>
          <w:b/>
          <w:bCs/>
        </w:rPr>
        <w:t xml:space="preserve">kostnad ≠ energi</w:t>
      </w:r>
      <w:r>
        <w:t xml:space="preserve">: cache-läsning är kraftigt prisrabatterad men inte proportionellt billigare i beräkning.</w:t>
      </w:r>
    </w:p>
    <w:p>
      <w:pPr>
        <w:pStyle w:val="Heading1"/>
        <w:spacing w:after="120" w:before="260"/>
      </w:pPr>
      <w:r>
        <w:rPr>
          <w:b/>
          <w:bCs/>
        </w:rPr>
        <w:t xml:space="preserve">3. Energiantaganden (osäkra)</w:t>
      </w:r>
    </w:p>
    <w:p>
      <w:pPr>
        <w:spacing w:after="120" w:line="276"/>
      </w:pPr>
      <w:r>
        <w:t xml:space="preserve">Anthropic publicerar inte energi per token. Faktorerna nedan är placeholder i rätt storleksordning, härledda ur ~2N FLOPs/token för en modell med 100–300 miljarder aktiva parametrar på H100-klass hårdvara (~10¹⁵ FLOP/s, ~700 W), plus PUE ~1,2. Externa uppskattningar för frontier-modeller spretar med mer än en tiopotens – behandla som storleksordning och redovisa din egen källbelagda faktor.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400"/>
      </w:tblGrid>
      <w:tr>
        <w:trPr>
          <w:tblHeader/>
        </w:trPr>
        <w:tc>
          <w:tcPr>
            <w:tcW w:type="dxa" w:w="42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7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Lågt</w:t>
            </w:r>
          </w:p>
        </w:tc>
        <w:tc>
          <w:tcPr>
            <w:tcW w:type="dxa" w:w="17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Högt</w:t>
            </w:r>
          </w:p>
        </w:tc>
        <w:tc>
          <w:tcPr>
            <w:tcW w:type="dxa" w:w="14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Enhet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 per output-token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0,0003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Wh/token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 per kodad input-token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0,0001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0,001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Wh/token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 per cache-läst token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0,000005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0,00005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Wh/token</w:t>
            </w:r>
          </w:p>
        </w:tc>
      </w:tr>
      <w:tr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 (datacenter-overhead)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1,2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faktor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Cache-läsning har egen (låg) faktor eftersom bara attention-kostnaden tillkommer. Men eftersom volymen är enorm (585 M) kan den ändå dominera det höga scenariot – i sig en poäng: mycket av det aggregerade beräkningsarbetet ligger i att om och om igen läsa kontexten.</w:t>
      </w:r>
    </w:p>
    <w:p>
      <w:pPr>
        <w:pStyle w:val="Heading1"/>
        <w:spacing w:after="120" w:before="260"/>
      </w:pPr>
      <w:r>
        <w:rPr>
          <w:b/>
          <w:bCs/>
        </w:rPr>
        <w:t xml:space="preserve">4. Resultat: energi och CO₂</w:t>
      </w:r>
    </w:p>
    <w:p>
      <w:pPr>
        <w:spacing w:after="120" w:line="276"/>
      </w:pPr>
      <w:r>
        <w:t xml:space="preserve">Med antagandena ovan och en global elmix på ~400 g CO₂e/kWh: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7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Lågt scenario</w:t>
            </w:r>
          </w:p>
        </w:tc>
        <w:tc>
          <w:tcPr>
            <w:tcW w:type="dxa" w:w="2700"/>
            <w:shd w:fill="EAF1FB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Högt scenario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Energiåtgång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5,7 kWh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57 kWh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CO₂-avtryck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2,3 kg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23 kg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 körsträcka bensinbil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19 km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190 km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 koppar kaffe (bryggning)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190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1 900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≈ mobilladdningar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470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≈ 4 700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t xml:space="preserve">På svensk elmix (~30 g CO₂e/kWh) blir CO₂-avtrycket ungefär en tiondel: ≈ 0,2–1,7 kg. Elmixen beror helt på var datacentren står; Anthropic kör på molnleverantörer, mest USA-regioner. Ett fullständigt, redigerbart räkneark med alla antaganden finns i filen </w:t>
      </w:r>
      <w:r>
        <w:rPr>
          <w:rFonts w:ascii="Courier New" w:cs="Courier New" w:eastAsia="Courier New" w:hAnsi="Courier New"/>
        </w:rPr>
        <w:t xml:space="preserve">energi-klimatavtryck-session.xlsx</w:t>
      </w:r>
      <w:r>
        <w:t xml:space="preserve">.</w:t>
      </w:r>
    </w:p>
    <w:p>
      <w:pPr>
        <w:pStyle w:val="Heading1"/>
        <w:spacing w:after="120" w:before="260"/>
      </w:pPr>
      <w:r>
        <w:rPr>
          <w:b/>
          <w:bCs/>
        </w:rPr>
        <w:t xml:space="preserve">5. Att tänka på vid artikelskrivning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Ange ett spann, inte en siffra. </w:t>
      </w:r>
      <w:r>
        <w:t xml:space="preserve">Energi per token är den stora osäkerheten (&gt;1 tiopotens). Redovisa din faktor öppet och gör en känslighetsanalys.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Skilj på token-klasserna. </w:t>
      </w:r>
      <w:r>
        <w:t xml:space="preserve">Output (2,1 M) och unikt kodad input (11,8 M) är ”riktigt” beräkningsarbete; cache-läsning (585 M) är rabatterad återläsning.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Kostnad ≠ energi. </w:t>
      </w:r>
      <w:r>
        <w:t xml:space="preserve">De ~$515–575 speglar inte energin proportionellt.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Transparens. </w:t>
      </w:r>
      <w:r>
        <w:t xml:space="preserve">Energi- och CO₂-siffrorna är egna uppskattningar, inte officiella. Säg det.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Sätt i sammanhang. </w:t>
      </w:r>
      <w:r>
        <w:t xml:space="preserve">Det handlar om storleksordningen ett par–några tiotal kWh för hela byggarbetet av verktyget – jämför gärna med annan digital eller vardaglig energianvändning.</w:t>
      </w:r>
    </w:p>
    <w:p>
      <w:pPr>
        <w:pStyle w:val="Heading1"/>
        <w:spacing w:after="120" w:before="260"/>
      </w:pPr>
      <w:r>
        <w:rPr>
          <w:b/>
          <w:bCs/>
        </w:rPr>
        <w:t xml:space="preserve">Metodnot</w:t>
      </w:r>
    </w:p>
    <w:p>
      <w:pPr>
        <w:spacing w:after="120" w:line="276"/>
      </w:pPr>
      <w:r>
        <w:t xml:space="preserve">Token-siffrorna erhölls genom att summera </w:t>
      </w:r>
      <w:r>
        <w:rPr>
          <w:rFonts w:ascii="Courier New" w:cs="Courier New" w:eastAsia="Courier New" w:hAnsi="Courier New"/>
        </w:rPr>
        <w:t xml:space="preserve">input_tokens</w:t>
      </w:r>
      <w:r>
        <w:t xml:space="preserve">, </w:t>
      </w:r>
      <w:r>
        <w:rPr>
          <w:rFonts w:ascii="Courier New" w:cs="Courier New" w:eastAsia="Courier New" w:hAnsi="Courier New"/>
        </w:rPr>
        <w:t xml:space="preserve">cache_creation_input_tokens</w:t>
      </w:r>
      <w:r>
        <w:t xml:space="preserve">, </w:t>
      </w:r>
      <w:r>
        <w:rPr>
          <w:rFonts w:ascii="Courier New" w:cs="Courier New" w:eastAsia="Courier New" w:hAnsi="Courier New"/>
        </w:rPr>
        <w:t xml:space="preserve">cache_read_input_tokens</w:t>
      </w:r>
      <w:r>
        <w:t xml:space="preserve"> och </w:t>
      </w:r>
      <w:r>
        <w:rPr>
          <w:rFonts w:ascii="Courier New" w:cs="Courier New" w:eastAsia="Courier New" w:hAnsi="Courier New"/>
        </w:rPr>
        <w:t xml:space="preserve">output_tokens</w:t>
      </w:r>
      <w:r>
        <w:t xml:space="preserve"> över alla assistentsvar i sessionens JSONL-transcript. Energi- och CO₂-omräkningen gjordes i det bifogade räknearket med de redovisade, redigerbara antagandena.</w:t>
      </w:r>
    </w:p>
    <w:p>
      <w:pPr>
        <w:spacing w:after="120" w:line="276"/>
      </w:pPr>
      <w:r>
        <w:rPr>
          <w:i/>
          <w:iCs/>
          <w:color w:val="6B675E"/>
          <w:sz w:val="20"/>
          <w:szCs w:val="20"/>
        </w:rPr>
        <w:t xml:space="preserve">Framtaget av AI-assistenten Claude (Opus 4.8) för Björn Hedin, KTH. Juli 2026.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A78D6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6241F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2026-07-17T07:57:19.241Z</dcterms:created>
  <dcterms:modified xsi:type="dcterms:W3CDTF">2026-07-17T07:57:19.242Z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