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A78D6"/>
          <w:sz w:val="44"/>
          <w:szCs w:val="44"/>
        </w:rPr>
        <w:t xml:space="preserve">Ojämlikhet i 3D</w:t>
      </w:r>
    </w:p>
    <w:p>
      <w:pPr>
        <w:spacing w:after="40"/>
      </w:pPr>
      <w:r>
        <w:rPr>
          <w:color w:val="26241F"/>
          <w:sz w:val="24"/>
          <w:szCs w:val="24"/>
        </w:rPr>
        <w:t xml:space="preserve">Projektdokumentation – vad vi byggde, vilka designbeslut som fattades och hur idéerna växte fram</w:t>
      </w:r>
    </w:p>
    <w:p>
      <w:pPr>
        <w:spacing w:after="240"/>
      </w:pPr>
      <w:r>
        <w:rPr>
          <w:i/>
          <w:iCs/>
          <w:color w:val="6B675E"/>
          <w:sz w:val="20"/>
          <w:szCs w:val="20"/>
        </w:rPr>
        <w:t xml:space="preserve">Björn Hedin, KTH · byggt i dialog med AI-assistenten Claude · 15–17 juli 2026 · github.com/datamogulen/inequality3d · hedin.it/inequality3d</w:t>
      </w:r>
    </w:p>
    <w:p>
      <w:pPr>
        <w:pStyle w:val="Heading1"/>
        <w:spacing w:after="120" w:before="300"/>
      </w:pPr>
      <w:r>
        <w:rPr>
          <w:b/>
          <w:bCs/>
        </w:rPr>
        <w:t xml:space="preserve">1. Vad projektet är</w:t>
      </w:r>
    </w:p>
    <w:p>
      <w:pPr>
        <w:spacing w:after="120" w:line="276"/>
      </w:pPr>
      <w:r>
        <w:t xml:space="preserve">Ojämlikhet i 3D är en interaktiv, tvåspråkig (svenska/engelska) webbsida som visualiserar hur </w:t>
      </w:r>
      <w:r>
        <w:rPr>
          <w:b/>
          <w:bCs/>
        </w:rPr>
        <w:t xml:space="preserve">inkomst, förmögenhet och koldioxidavtryck</w:t>
      </w:r>
      <w:r>
        <w:t xml:space="preserve"> fördelar sig percentil för percentil – inom och mellan världens länder, från 1990 till idag. Fördelningarna visas som fysiska 3D-modeller man kan vrida, stapla och jämföra i webbläsaren, och ladda ner som </w:t>
      </w:r>
      <w:r>
        <w:rPr>
          <w:b/>
          <w:bCs/>
        </w:rPr>
        <w:t xml:space="preserve">STL-filer</w:t>
      </w:r>
      <w:r>
        <w:t xml:space="preserve"> och skriva ut på en 3D-skrivare (Bambu). Varje utskriven modell bär landets namn, skalan och en QR-kod ingraverade på undersidan.</w:t>
      </w:r>
    </w:p>
    <w:p>
      <w:pPr>
        <w:spacing w:after="120" w:line="276"/>
      </w:pPr>
      <w:r>
        <w:t xml:space="preserve">Projektet har två syften. Det ena är sakligt: att göra abstrakt statistisk ojämlikhet fysiskt gripbar – särskilt kopplingen mellan klimat och rättvisa. Det andra är ett metaexperiment: </w:t>
      </w:r>
      <w:r>
        <w:rPr>
          <w:b/>
          <w:bCs/>
        </w:rPr>
        <w:t xml:space="preserve">hela projektet skapades i dialog med en AI-assistent utifrån en enda ursprungsprompt</w:t>
      </w:r>
      <w:r>
        <w:t xml:space="preserve">, och står kvar som referens för vad man får ut av det arbetssättet. Ursprungsprompten citeras i sin helhet i projektets README.</w:t>
      </w:r>
    </w:p>
    <w:p>
      <w:pPr>
        <w:pStyle w:val="Heading1"/>
        <w:spacing w:after="120" w:before="300"/>
      </w:pPr>
      <w:r>
        <w:rPr>
          <w:b/>
          <w:bCs/>
        </w:rPr>
        <w:t xml:space="preserve">2. Ursprungsidén och premissen</w:t>
      </w:r>
    </w:p>
    <w:p>
      <w:pPr>
        <w:spacing w:after="120" w:line="276"/>
      </w:pPr>
      <w:r>
        <w:t xml:space="preserve">Startpunkten var en beställning (2026-07-15) med tre visualiseringsformer, ett hårt krav på jämförbarhet och ett utskriftskrav:</w:t>
      </w:r>
    </w:p>
    <w:p>
      <w:pPr>
        <w:pStyle w:val="ListParagraph"/>
        <w:numPr>
          <w:ilvl w:val="0"/>
          <w:numId w:val="1"/>
        </w:numPr>
        <w:spacing w:after="60" w:line="272"/>
      </w:pPr>
      <w:r>
        <w:rPr>
          <w:b/>
          <w:bCs/>
        </w:rPr>
        <w:t xml:space="preserve">Tre 3D-former: </w:t>
      </w:r>
      <w:r>
        <w:t xml:space="preserve">en vanlig graf (finare upplösning i toppen), en spiral (fattigast ytterst → rikast i mitten) och en kvadrat (10×10, fattigaste raden först).</w:t>
      </w:r>
    </w:p>
    <w:p>
      <w:pPr>
        <w:pStyle w:val="ListParagraph"/>
        <w:numPr>
          <w:ilvl w:val="0"/>
          <w:numId w:val="1"/>
        </w:numPr>
        <w:spacing w:after="60" w:line="272"/>
      </w:pPr>
      <w:r>
        <w:rPr>
          <w:b/>
          <w:bCs/>
        </w:rPr>
        <w:t xml:space="preserve">Fast Z-skala per kategori: </w:t>
      </w:r>
      <w:r>
        <w:t xml:space="preserve">höjden ska betyda exakt lika mycket oavsett land, så modeller kan jämföras rakt av.</w:t>
      </w:r>
    </w:p>
    <w:p>
      <w:pPr>
        <w:pStyle w:val="ListParagraph"/>
        <w:numPr>
          <w:ilvl w:val="0"/>
          <w:numId w:val="1"/>
        </w:numPr>
        <w:spacing w:after="60" w:line="272"/>
      </w:pPr>
      <w:r>
        <w:rPr>
          <w:b/>
          <w:bCs/>
        </w:rPr>
        <w:t xml:space="preserve">STL-export med landet ingraverat i botten, </w:t>
      </w:r>
      <w:r>
        <w:t xml:space="preserve">speglat så texten läses rättvänt underifrån.</w:t>
      </w:r>
    </w:p>
    <w:p>
      <w:pPr>
        <w:pStyle w:val="ListParagraph"/>
        <w:numPr>
          <w:ilvl w:val="0"/>
          <w:numId w:val="1"/>
        </w:numPr>
        <w:spacing w:after="60" w:line="272"/>
      </w:pPr>
      <w:r>
        <w:rPr>
          <w:b/>
          <w:bCs/>
        </w:rPr>
        <w:t xml:space="preserve">Fritt val av datakälla, </w:t>
      </w:r>
      <w:r>
        <w:t xml:space="preserve">och möjlighet att jämföra flera källor mot varandra.</w:t>
      </w:r>
    </w:p>
    <w:p>
      <w:pPr>
        <w:spacing w:after="120" w:line="276"/>
      </w:pPr>
      <w:r>
        <w:t xml:space="preserve">Kravet på fast skala visade sig vara projektets bärande princip. Nästan alla senare designbeslut kan spåras tillbaka till det – för att en fast skala ska hålla måste toppen tämjas, geometrin vara ärlig och jämförelser gå att göra kant i kant.</w:t>
      </w:r>
    </w:p>
    <w:p>
      <w:pPr>
        <w:pStyle w:val="Heading1"/>
        <w:spacing w:after="120" w:before="300"/>
      </w:pPr>
      <w:r>
        <w:rPr>
          <w:b/>
          <w:bCs/>
        </w:rPr>
        <w:t xml:space="preserve">3. Arkitektur och tekniska grundval</w:t>
      </w:r>
    </w:p>
    <w:p>
      <w:pPr>
        <w:spacing w:after="120" w:line="276"/>
      </w:pPr>
      <w:r>
        <w:t xml:space="preserve">Några övergripande val gjordes tidigt och har hållit:</w:t>
      </w:r>
    </w:p>
    <w:p>
      <w:pPr>
        <w:pStyle w:val="ListParagraph"/>
        <w:numPr>
          <w:ilvl w:val="0"/>
          <w:numId w:val="1"/>
        </w:numPr>
        <w:spacing w:after="60" w:line="272"/>
      </w:pPr>
      <w:r>
        <w:rPr>
          <w:b/>
          <w:bCs/>
        </w:rPr>
        <w:t xml:space="preserve">Ingen byggkedja. </w:t>
      </w:r>
      <w:r>
        <w:t xml:space="preserve">Ren statisk sida; three.js och opentype.js ligger vendorerade i </w:t>
      </w:r>
      <w:r>
        <w:rPr>
          <w:rFonts w:ascii="Courier New" w:cs="Courier New" w:eastAsia="Courier New" w:hAnsi="Courier New"/>
        </w:rPr>
        <w:t xml:space="preserve">web/vendor/</w:t>
      </w:r>
      <w:r>
        <w:t xml:space="preserve">. En enkel filserver räcker, inget npm för att köra sidan.</w:t>
      </w:r>
    </w:p>
    <w:p>
      <w:pPr>
        <w:pStyle w:val="ListParagraph"/>
        <w:numPr>
          <w:ilvl w:val="0"/>
          <w:numId w:val="1"/>
        </w:numPr>
        <w:spacing w:after="60" w:line="272"/>
      </w:pPr>
      <w:r>
        <w:rPr>
          <w:b/>
          <w:bCs/>
        </w:rPr>
        <w:t xml:space="preserve">Data som innehåll. </w:t>
      </w:r>
      <w:r>
        <w:t xml:space="preserve">All percentildata är förberäknad till JSON per land (</w:t>
      </w:r>
      <w:r>
        <w:rPr>
          <w:rFonts w:ascii="Courier New" w:cs="Courier New" w:eastAsia="Courier New" w:hAnsi="Courier New"/>
        </w:rPr>
        <w:t xml:space="preserve">web/data/wid_*.json</w:t>
      </w:r>
      <w:r>
        <w:t xml:space="preserve">). Python-skript hämtar och normaliserar (</w:t>
      </w:r>
      <w:r>
        <w:rPr>
          <w:rFonts w:ascii="Courier New" w:cs="Courier New" w:eastAsia="Courier New" w:hAnsi="Courier New"/>
        </w:rPr>
        <w:t xml:space="preserve">data/fetch_wid.py</w:t>
      </w:r>
      <w:r>
        <w:t xml:space="preserve">); rådata cachas lokalt och är gitignorerat.</w:t>
      </w:r>
    </w:p>
    <w:p>
      <w:pPr>
        <w:pStyle w:val="ListParagraph"/>
        <w:numPr>
          <w:ilvl w:val="0"/>
          <w:numId w:val="1"/>
        </w:numPr>
        <w:spacing w:after="60" w:line="272"/>
      </w:pPr>
      <w:r>
        <w:rPr>
          <w:b/>
          <w:bCs/>
        </w:rPr>
        <w:t xml:space="preserve">118 percentilklasser. </w:t>
      </w:r>
      <w:r>
        <w:t xml:space="preserve">Hela centiler 0–99, tiondelar 99–99,9 och hundradelar upp till 99,99 – finare i toppen där dramat finns.</w:t>
      </w:r>
    </w:p>
    <w:p>
      <w:pPr>
        <w:pStyle w:val="ListParagraph"/>
        <w:numPr>
          <w:ilvl w:val="0"/>
          <w:numId w:val="1"/>
        </w:numPr>
        <w:spacing w:after="60" w:line="272"/>
      </w:pPr>
      <w:r>
        <w:rPr>
          <w:b/>
          <w:bCs/>
        </w:rPr>
        <w:t xml:space="preserve">Vattentät STL-generering i webbläsaren. </w:t>
      </w:r>
      <w:r>
        <w:t xml:space="preserve">Geometrin byggs som slutna trianglar och verifieras vattentät med </w:t>
      </w:r>
      <w:r>
        <w:rPr>
          <w:rFonts w:ascii="Courier New" w:cs="Courier New" w:eastAsia="Courier New" w:hAnsi="Courier New"/>
        </w:rPr>
        <w:t xml:space="preserve">node scripts/check_geometry.mjs</w:t>
      </w:r>
      <w:r>
        <w:t xml:space="preserve">.</w:t>
      </w:r>
    </w:p>
    <w:p>
      <w:pPr>
        <w:pStyle w:val="ListParagraph"/>
        <w:numPr>
          <w:ilvl w:val="0"/>
          <w:numId w:val="1"/>
        </w:numPr>
        <w:spacing w:after="60" w:line="272"/>
      </w:pPr>
      <w:r>
        <w:rPr>
          <w:b/>
          <w:bCs/>
        </w:rPr>
        <w:t xml:space="preserve">Tillstånd i localStorage + delbara URL:er. </w:t>
      </w:r>
      <w:r>
        <w:t xml:space="preserve">Varje vy kan delas som länk (mått, länder, år, form, stapling m.m.); en versionsflagga nollställer inaktuella sparade val.</w:t>
      </w:r>
    </w:p>
    <w:p>
      <w:pPr>
        <w:pStyle w:val="ListParagraph"/>
        <w:numPr>
          <w:ilvl w:val="0"/>
          <w:numId w:val="1"/>
        </w:numPr>
        <w:spacing w:after="60" w:line="272"/>
      </w:pPr>
      <w:r>
        <w:rPr>
          <w:b/>
          <w:bCs/>
        </w:rPr>
        <w:t xml:space="preserve">Deploy via SFTP-spegling till hedin.it </w:t>
      </w:r>
      <w:r>
        <w:t xml:space="preserve">(skalet är avstängt på kontot), med en byte-för-byte-verifiering mot live och en backup-spegel som uppdateras vid varje deploy. </w:t>
      </w:r>
      <w:r>
        <w:rPr>
          <w:rFonts w:ascii="Courier New" w:cs="Courier New" w:eastAsia="Courier New" w:hAnsi="Courier New"/>
        </w:rPr>
        <w:t xml:space="preserve">.htaccess</w:t>
      </w:r>
      <w:r>
        <w:t xml:space="preserve"> sätter no-cache på js/html/json så moduler aldrig blandas efter en deploy.</w:t>
      </w:r>
    </w:p>
    <w:p>
      <w:pPr>
        <w:pStyle w:val="Heading1"/>
        <w:spacing w:after="120" w:before="300"/>
      </w:pPr>
      <w:r>
        <w:rPr>
          <w:b/>
          <w:bCs/>
        </w:rPr>
        <w:t xml:space="preserve">4. Utvecklingen – hur idéerna förbättrades över tid</w:t>
      </w:r>
    </w:p>
    <w:p>
      <w:pPr>
        <w:spacing w:after="120" w:line="276"/>
      </w:pPr>
      <w:r>
        <w:t xml:space="preserve">Projektet växte fram i tät iteration under tre dagar, ofta drivet av konkreta provutskrifter och av att vi upptäckte att en tidig lösning representerade datat oärligt eller var svår att förstå. Nedan en översikt, därefter de viktigaste utvecklingslinjerna var för sig.</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shd w:fill="EAF1FB" w:val="clear"/>
            <w:tcMar>
              <w:top w:type="dxa" w:w="50"/>
              <w:left w:type="dxa" w:w="100"/>
              <w:bottom w:type="dxa" w:w="50"/>
              <w:right w:type="dxa" w:w="100"/>
            </w:tcMar>
          </w:tcPr>
          <w:p>
            <w:pPr>
              <w:spacing w:after="0" w:line="264"/>
              <w:jc w:val="left"/>
            </w:pPr>
            <w:r>
              <w:rPr>
                <w:b/>
                <w:bCs/>
                <w:i w:val="false"/>
                <w:iCs w:val="false"/>
              </w:rPr>
              <w:t xml:space="preserve">Datum</w:t>
            </w:r>
          </w:p>
        </w:tc>
        <w:tc>
          <w:tcPr>
            <w:tcW w:type="dxa" w:w="7500"/>
            <w:shd w:fill="EAF1FB" w:val="clear"/>
            <w:tcMar>
              <w:top w:type="dxa" w:w="50"/>
              <w:left w:type="dxa" w:w="100"/>
              <w:bottom w:type="dxa" w:w="50"/>
              <w:right w:type="dxa" w:w="100"/>
            </w:tcMar>
          </w:tcPr>
          <w:p>
            <w:pPr>
              <w:spacing w:after="0" w:line="264"/>
              <w:jc w:val="left"/>
            </w:pPr>
            <w:r>
              <w:rPr>
                <w:b/>
                <w:bCs/>
                <w:i w:val="false"/>
                <w:iCs w:val="false"/>
              </w:rPr>
              <w:t xml:space="preserve">Steg i utvecklingen</w:t>
            </w:r>
          </w:p>
        </w:tc>
      </w:tr>
      <w:tr>
        <w:tc>
          <w:tcPr>
            <w:tcW w:type="dxa" w:w="1500"/>
            <w:tcMar>
              <w:top w:type="dxa" w:w="50"/>
              <w:left w:type="dxa" w:w="100"/>
              <w:bottom w:type="dxa" w:w="50"/>
              <w:right w:type="dxa" w:w="100"/>
            </w:tcMar>
          </w:tcPr>
          <w:p>
            <w:pPr>
              <w:spacing w:after="0" w:line="264"/>
              <w:jc w:val="left"/>
            </w:pPr>
            <w:r>
              <w:rPr>
                <w:b w:val="false"/>
                <w:bCs w:val="false"/>
                <w:i w:val="false"/>
                <w:iCs w:val="false"/>
              </w:rPr>
              <w:t xml:space="preserve">15 juli</w:t>
            </w:r>
          </w:p>
        </w:tc>
        <w:tc>
          <w:tcPr>
            <w:tcW w:type="dxa" w:w="7500"/>
            <w:tcMar>
              <w:top w:type="dxa" w:w="50"/>
              <w:left w:type="dxa" w:w="100"/>
              <w:bottom w:type="dxa" w:w="50"/>
              <w:right w:type="dxa" w:w="100"/>
            </w:tcMar>
          </w:tcPr>
          <w:p>
            <w:pPr>
              <w:spacing w:after="0" w:line="264"/>
              <w:jc w:val="left"/>
            </w:pPr>
            <w:r>
              <w:rPr>
                <w:b w:val="false"/>
                <w:bCs w:val="false"/>
                <w:i w:val="false"/>
                <w:iCs w:val="false"/>
              </w:rPr>
              <w:t xml:space="preserve">Grundbygge från en prompt: data, tre former, STL med gravyr. Vendorering + README. Uppföljning: toppdel som egen del, textinlägg för flerfärg, sv/en, OG-taggar.</w:t>
            </w:r>
          </w:p>
        </w:tc>
      </w:tr>
      <w:tr>
        <w:tc>
          <w:tcPr>
            <w:tcW w:type="dxa" w:w="1500"/>
            <w:shd w:fill="F7F5F0" w:val="clear"/>
            <w:tcMar>
              <w:top w:type="dxa" w:w="50"/>
              <w:left w:type="dxa" w:w="100"/>
              <w:bottom w:type="dxa" w:w="50"/>
              <w:right w:type="dxa" w:w="100"/>
            </w:tcMar>
          </w:tcPr>
          <w:p>
            <w:pPr>
              <w:spacing w:after="0" w:line="264"/>
              <w:jc w:val="left"/>
            </w:pPr>
            <w:r>
              <w:rPr>
                <w:b w:val="false"/>
                <w:bCs w:val="false"/>
                <w:i w:val="false"/>
                <w:iCs w:val="false"/>
              </w:rPr>
              <w:t xml:space="preserve">15–16 juli</w:t>
            </w:r>
          </w:p>
        </w:tc>
        <w:tc>
          <w:tcPr>
            <w:tcW w:type="dxa" w:w="7500"/>
            <w:shd w:fill="F7F5F0" w:val="clear"/>
            <w:tcMar>
              <w:top w:type="dxa" w:w="50"/>
              <w:left w:type="dxa" w:w="100"/>
              <w:bottom w:type="dxa" w:w="50"/>
              <w:right w:type="dxa" w:w="100"/>
            </w:tcMar>
          </w:tcPr>
          <w:p>
            <w:pPr>
              <w:spacing w:after="0" w:line="264"/>
              <w:jc w:val="left"/>
            </w:pPr>
            <w:r>
              <w:rPr>
                <w:b w:val="false"/>
                <w:bCs w:val="false"/>
                <w:i w:val="false"/>
                <w:iCs w:val="false"/>
              </w:rPr>
              <w:t xml:space="preserve">Toppdel-saga: en per land → viktad snittklump → helt integrerad i modellen (separat toppdel borttagen).</w:t>
            </w:r>
          </w:p>
        </w:tc>
      </w:tr>
      <w:tr>
        <w:tc>
          <w:tcPr>
            <w:tcW w:type="dxa" w:w="1500"/>
            <w:tcMar>
              <w:top w:type="dxa" w:w="50"/>
              <w:left w:type="dxa" w:w="100"/>
              <w:bottom w:type="dxa" w:w="50"/>
              <w:right w:type="dxa" w:w="100"/>
            </w:tcMar>
          </w:tcPr>
          <w:p>
            <w:pPr>
              <w:spacing w:after="0" w:line="264"/>
              <w:jc w:val="left"/>
            </w:pPr>
            <w:r>
              <w:rPr>
                <w:b w:val="false"/>
                <w:bCs w:val="false"/>
                <w:i w:val="false"/>
                <w:iCs w:val="false"/>
              </w:rPr>
              <w:t xml:space="preserve">16 juli</w:t>
            </w:r>
          </w:p>
        </w:tc>
        <w:tc>
          <w:tcPr>
            <w:tcW w:type="dxa" w:w="7500"/>
            <w:tcMar>
              <w:top w:type="dxa" w:w="50"/>
              <w:left w:type="dxa" w:w="100"/>
              <w:bottom w:type="dxa" w:w="50"/>
              <w:right w:type="dxa" w:w="100"/>
            </w:tcMar>
          </w:tcPr>
          <w:p>
            <w:pPr>
              <w:spacing w:after="0" w:line="264"/>
              <w:jc w:val="left"/>
            </w:pPr>
            <w:r>
              <w:rPr>
                <w:b w:val="false"/>
                <w:bCs w:val="false"/>
                <w:i w:val="false"/>
                <w:iCs w:val="false"/>
              </w:rPr>
              <w:t xml:space="preserve">CO₂ i tre lager (offentlig/privat/investering) + Chancel/Oxfam-val. Skuldlager. Skåror + medelvärdesstreck. Decilnummer graverade. QR + infosida via gemensam /r/-tjänst.</w:t>
            </w:r>
          </w:p>
        </w:tc>
      </w:tr>
      <w:tr>
        <w:tc>
          <w:tcPr>
            <w:tcW w:type="dxa" w:w="1500"/>
            <w:shd w:fill="F7F5F0" w:val="clear"/>
            <w:tcMar>
              <w:top w:type="dxa" w:w="50"/>
              <w:left w:type="dxa" w:w="100"/>
              <w:bottom w:type="dxa" w:w="50"/>
              <w:right w:type="dxa" w:w="100"/>
            </w:tcMar>
          </w:tcPr>
          <w:p>
            <w:pPr>
              <w:spacing w:after="0" w:line="264"/>
              <w:jc w:val="left"/>
            </w:pPr>
            <w:r>
              <w:rPr>
                <w:b w:val="false"/>
                <w:bCs w:val="false"/>
                <w:i w:val="false"/>
                <w:iCs w:val="false"/>
              </w:rPr>
              <w:t xml:space="preserve">16 juli</w:t>
            </w:r>
          </w:p>
        </w:tc>
        <w:tc>
          <w:tcPr>
            <w:tcW w:type="dxa" w:w="7500"/>
            <w:shd w:fill="F7F5F0" w:val="clear"/>
            <w:tcMar>
              <w:top w:type="dxa" w:w="50"/>
              <w:left w:type="dxa" w:w="100"/>
              <w:bottom w:type="dxa" w:w="50"/>
              <w:right w:type="dxa" w:w="100"/>
            </w:tcMar>
          </w:tcPr>
          <w:p>
            <w:pPr>
              <w:spacing w:after="0" w:line="264"/>
              <w:jc w:val="left"/>
            </w:pPr>
            <w:r>
              <w:rPr>
                <w:b w:val="false"/>
                <w:bCs w:val="false"/>
                <w:i w:val="false"/>
                <w:iCs w:val="false"/>
              </w:rPr>
              <w:t xml:space="preserve">Vit 50/50-markör. Icke-data-luckor, väggsiffra, smetfix, kapning vid utskriftsmax. 217 länder + Världen, play-animation, hover, markskyltar, stapelvy som default, delbara URL:er.</w:t>
            </w:r>
          </w:p>
        </w:tc>
      </w:tr>
      <w:tr>
        <w:tc>
          <w:tcPr>
            <w:tcW w:type="dxa" w:w="1500"/>
            <w:tcMar>
              <w:top w:type="dxa" w:w="50"/>
              <w:left w:type="dxa" w:w="100"/>
              <w:bottom w:type="dxa" w:w="50"/>
              <w:right w:type="dxa" w:w="100"/>
            </w:tcMar>
          </w:tcPr>
          <w:p>
            <w:pPr>
              <w:spacing w:after="0" w:line="264"/>
              <w:jc w:val="left"/>
            </w:pPr>
            <w:r>
              <w:rPr>
                <w:b w:val="false"/>
                <w:bCs w:val="false"/>
                <w:i w:val="false"/>
                <w:iCs w:val="false"/>
              </w:rPr>
              <w:t xml:space="preserve">16 juli</w:t>
            </w:r>
          </w:p>
        </w:tc>
        <w:tc>
          <w:tcPr>
            <w:tcW w:type="dxa" w:w="7500"/>
            <w:tcMar>
              <w:top w:type="dxa" w:w="50"/>
              <w:left w:type="dxa" w:w="100"/>
              <w:bottom w:type="dxa" w:w="50"/>
              <w:right w:type="dxa" w:w="100"/>
            </w:tcMar>
          </w:tcPr>
          <w:p>
            <w:pPr>
              <w:spacing w:after="0" w:line="264"/>
              <w:jc w:val="left"/>
            </w:pPr>
            <w:r>
              <w:rPr>
                <w:b w:val="false"/>
                <w:bCs w:val="false"/>
                <w:i w:val="false"/>
                <w:iCs w:val="false"/>
              </w:rPr>
              <w:t xml:space="preserve">Världens CO₂ aggregerad bakvägen ur 169 länder (99,4 % täckning). Webbvy skild från STL: hängande skulder, platt platta, Z-reglage.</w:t>
            </w:r>
          </w:p>
        </w:tc>
      </w:tr>
      <w:tr>
        <w:tc>
          <w:tcPr>
            <w:tcW w:type="dxa" w:w="1500"/>
            <w:shd w:fill="F7F5F0" w:val="clear"/>
            <w:tcMar>
              <w:top w:type="dxa" w:w="50"/>
              <w:left w:type="dxa" w:w="100"/>
              <w:bottom w:type="dxa" w:w="50"/>
              <w:right w:type="dxa" w:w="100"/>
            </w:tcMar>
          </w:tcPr>
          <w:p>
            <w:pPr>
              <w:spacing w:after="0" w:line="264"/>
              <w:jc w:val="left"/>
            </w:pPr>
            <w:r>
              <w:rPr>
                <w:b w:val="false"/>
                <w:bCs w:val="false"/>
                <w:i w:val="false"/>
                <w:iCs w:val="false"/>
              </w:rPr>
              <w:t xml:space="preserve">16–17 juli</w:t>
            </w:r>
          </w:p>
        </w:tc>
        <w:tc>
          <w:tcPr>
            <w:tcW w:type="dxa" w:w="7500"/>
            <w:shd w:fill="F7F5F0" w:val="clear"/>
            <w:tcMar>
              <w:top w:type="dxa" w:w="50"/>
              <w:left w:type="dxa" w:w="100"/>
              <w:bottom w:type="dxa" w:w="50"/>
              <w:right w:type="dxa" w:w="100"/>
            </w:tcMar>
          </w:tcPr>
          <w:p>
            <w:pPr>
              <w:spacing w:after="0" w:line="264"/>
              <w:jc w:val="left"/>
            </w:pPr>
            <w:r>
              <w:rPr>
                <w:b w:val="false"/>
                <w:bCs w:val="false"/>
                <w:i w:val="false"/>
                <w:iCs w:val="false"/>
              </w:rPr>
              <w:t xml:space="preserve">Om-sida (m.html utan parametrar). Bottentext i fetstil. Om-sida prominent + AI-avtryck-sektion, mobil dölj-kontroller, referensdokument.</w:t>
            </w:r>
          </w:p>
        </w:tc>
      </w:tr>
    </w:tbl>
    <w:p>
      <w:pPr>
        <w:pStyle w:val="Heading2"/>
        <w:spacing w:after="80" w:before="220"/>
      </w:pPr>
      <w:r>
        <w:rPr>
          <w:b/>
          <w:bCs/>
        </w:rPr>
        <w:t xml:space="preserve">4.1 Toppen: från separat del till ärlig integration</w:t>
      </w:r>
    </w:p>
    <w:p>
      <w:pPr>
        <w:spacing w:after="120" w:line="276"/>
      </w:pPr>
      <w:r>
        <w:t xml:space="preserve">Det första riktiga designproblemet var extremvärdena. USA:s översta inkomstprocent är, vid 1 mm = 5 000 USD, drygt två meter hög – omöjlig att skriva ut. Första idén var en </w:t>
      </w:r>
      <w:r>
        <w:rPr>
          <w:i/>
          <w:iCs/>
        </w:rPr>
        <w:t xml:space="preserve">separat toppdel</w:t>
      </w:r>
      <w:r>
        <w:t xml:space="preserve"> man kunde skriva ut för sig. Den byggdes, men skapade förvirring: den dök upp som flera remsor per land, och den bröt mot hela poängen att modellen ska visa fördelningen på sin verkliga plats.</w:t>
      </w:r>
    </w:p>
    <w:p>
      <w:pPr>
        <w:spacing w:after="120" w:line="276"/>
      </w:pPr>
      <w:r>
        <w:t xml:space="preserve">Lösningen blev att slå ihop toppgruppen (standard: översta 1 %) till </w:t>
      </w:r>
      <w:r>
        <w:rPr>
          <w:i/>
          <w:iCs/>
        </w:rPr>
        <w:t xml:space="preserve">en</w:t>
      </w:r>
      <w:r>
        <w:t xml:space="preserve"> stapel med gruppens viktade snitthöjd, </w:t>
      </w:r>
      <w:r>
        <w:rPr>
          <w:b/>
          <w:bCs/>
        </w:rPr>
        <w:t xml:space="preserve">integrerad i modellen på sin riktiga position och med verklig bas</w:t>
      </w:r>
      <w:r>
        <w:t xml:space="preserve">. USA:s topprocent blir då 94 mm i stället för 2,1 m, och modellen skrivs ut i ett stycke. Full detalj (hundradelar) finns kvar för den som vill se hela dramat. Den separata toppdelen togs bort helt.</w:t>
      </w:r>
    </w:p>
    <w:p>
      <w:pPr>
        <w:pBdr>
          <w:left w:val="single" w:color="2A78D6" w:sz="22" w:space="10"/>
        </w:pBdr>
        <w:shd w:fill="EAF1FB" w:val="clear"/>
        <w:spacing w:after="160" w:before="40" w:line="272"/>
      </w:pPr>
      <w:r>
        <w:rPr>
          <w:b/>
          <w:bCs/>
          <w:color w:val="2A78D6"/>
        </w:rPr>
        <w:t xml:space="preserve">Designlärdom: </w:t>
      </w:r>
      <w:r>
        <w:t xml:space="preserve">Bygg inte på extra delar för att kringgå ett problem – integrera lösningen på datats verkliga plats. En separat toppdel var tekniskt smidig men representerade fördelningen oärligt. Ett viktat snitt på rätt position gör samma jobb ärligt.</w:t>
      </w:r>
    </w:p>
    <w:p>
      <w:pPr>
        <w:pStyle w:val="Heading2"/>
        <w:spacing w:after="80" w:before="220"/>
      </w:pPr>
      <w:r>
        <w:rPr>
          <w:b/>
          <w:bCs/>
        </w:rPr>
        <w:t xml:space="preserve">4.2 Gravyren: tunna streck överlever inte tryck</w:t>
      </w:r>
    </w:p>
    <w:p>
      <w:pPr>
        <w:spacing w:after="120" w:line="276"/>
      </w:pPr>
      <w:r>
        <w:t xml:space="preserve">Gravyren gick igenom flera omgångar. Den första metoden (earcut med texthål) förstörde bokstäver – ett graverat E kunde bli ett F – och small helt på överlappande glyfer. Det löstes med </w:t>
      </w:r>
      <w:r>
        <w:rPr>
          <w:b/>
          <w:bCs/>
        </w:rPr>
        <w:t xml:space="preserve">scanline-gravyr</w:t>
      </w:r>
      <w:r>
        <w:t xml:space="preserve">: varje glyf blir en polygon, täckta y-intervall räknas ut per x-kolumn, och fickan fylls med slutna lådor. Glyfer dedupas bara på exakta dubbelpunkter (inte kollinjärt – kollinjär-rensning förstörde bokstäver).</w:t>
      </w:r>
    </w:p>
    <w:p>
      <w:pPr>
        <w:spacing w:after="120" w:line="276"/>
      </w:pPr>
      <w:r>
        <w:t xml:space="preserve">Sedan kom Björns provutskrifter. Decilnumren blev fula: Open Sans Regular gav för tunna streck för tvåfärgstryck. Fix: </w:t>
      </w:r>
      <w:r>
        <w:rPr>
          <w:b/>
          <w:bCs/>
        </w:rPr>
        <w:t xml:space="preserve">fetstil, större siffror (9 mm), finare raster</w:t>
      </w:r>
      <w:r>
        <w:t xml:space="preserve">, och upphöjda siffror i stället för platta på tunna staplar. Samma problem återkom senare för bottentexten – som då också byttes till fetstil, större (8,6 mm) och med finare rastersteg.</w:t>
      </w:r>
    </w:p>
    <w:p>
      <w:pPr>
        <w:pBdr>
          <w:left w:val="single" w:color="2A78D6" w:sz="22" w:space="10"/>
        </w:pBdr>
        <w:shd w:fill="EAF1FB" w:val="clear"/>
        <w:spacing w:after="160" w:before="40" w:line="272"/>
      </w:pPr>
      <w:r>
        <w:rPr>
          <w:b/>
          <w:bCs/>
          <w:color w:val="2A78D6"/>
        </w:rPr>
        <w:t xml:space="preserve">Designlärdom: </w:t>
      </w:r>
      <w:r>
        <w:t xml:space="preserve">Det som ser bra ut på skärmen överlever inte nödvändigtvis en 3D-skrivares tvåfärgstryck. Tunna streck fylls dåligt – gå fetare, större och med finare raster, och verifiera mot verkliga utskrifter, inte mot skärmen.</w:t>
      </w:r>
    </w:p>
    <w:p>
      <w:pPr>
        <w:pStyle w:val="Heading2"/>
        <w:spacing w:after="80" w:before="220"/>
      </w:pPr>
      <w:r>
        <w:rPr>
          <w:b/>
          <w:bCs/>
        </w:rPr>
        <w:t xml:space="preserve">4.3 Decilgränser och de två markörerna</w:t>
      </w:r>
    </w:p>
    <w:p>
      <w:pPr>
        <w:spacing w:after="120" w:line="276"/>
      </w:pPr>
      <w:r>
        <w:t xml:space="preserve">Decilgränser markerades först som färgade fenor. De byttes till </w:t>
      </w:r>
      <w:r>
        <w:rPr>
          <w:b/>
          <w:bCs/>
        </w:rPr>
        <w:t xml:space="preserve">skåror (mellanrum)</w:t>
      </w:r>
      <w:r>
        <w:t xml:space="preserve"> plus graverade decilnummer 1–10 som följer terrängen – renare och mer utskriftsvänligt.</w:t>
      </w:r>
    </w:p>
    <w:p>
      <w:pPr>
        <w:spacing w:after="120" w:line="276"/>
      </w:pPr>
      <w:r>
        <w:t xml:space="preserve">Två markörer orsakade en lärorik förväxling. Ett mörkt </w:t>
      </w:r>
      <w:r>
        <w:rPr>
          <w:b/>
          <w:bCs/>
        </w:rPr>
        <w:t xml:space="preserve">vågrätt medelvärdesstreck</w:t>
      </w:r>
      <w:r>
        <w:t xml:space="preserve"> ligger vid medelhöjden (materialet ovanför fyller exakt luften under – hyvla topparna platt så blir remsan plan vid strecket). Björn tolkade först det som en 50/50-gräns. Men medelvärdet är inte medianen. Därför lades en </w:t>
      </w:r>
      <w:r>
        <w:rPr>
          <w:b/>
          <w:bCs/>
        </w:rPr>
        <w:t xml:space="preserve">vit lodrät 50/50-markör</w:t>
      </w:r>
      <w:r>
        <w:t xml:space="preserve"> till: percentilen där halva totalsumman ligger till vänster (SE-inkomst ≈ p75, US ≈ p88, globalt CO₂ ≈ p87). Båda förklaras nu på infosidan.</w:t>
      </w:r>
    </w:p>
    <w:p>
      <w:pPr>
        <w:pBdr>
          <w:left w:val="single" w:color="2A78D6" w:sz="22" w:space="10"/>
        </w:pBdr>
        <w:shd w:fill="EAF1FB" w:val="clear"/>
        <w:spacing w:after="160" w:before="40" w:line="272"/>
      </w:pPr>
      <w:r>
        <w:rPr>
          <w:b/>
          <w:bCs/>
          <w:color w:val="2A78D6"/>
        </w:rPr>
        <w:t xml:space="preserve">Designlärdom: </w:t>
      </w:r>
      <w:r>
        <w:t xml:space="preserve">När en visualisering kan misstolkas, lägg inte tid på att försvara den – lägg till det som saknas och förklara skillnaden. Medelvärdesstreck och medianmarkör är två olika, båda intressanta mått; märk dem tydligt.</w:t>
      </w:r>
    </w:p>
    <w:p>
      <w:pPr>
        <w:pStyle w:val="Heading2"/>
        <w:spacing w:after="80" w:before="220"/>
      </w:pPr>
      <w:r>
        <w:rPr>
          <w:b/>
          <w:bCs/>
        </w:rPr>
        <w:t xml:space="preserve">4.4 CO₂: från ett tal till tre lager och en metoddiskussion</w:t>
      </w:r>
    </w:p>
    <w:p>
      <w:pPr>
        <w:spacing w:after="120" w:line="276"/>
      </w:pPr>
      <w:r>
        <w:t xml:space="preserve">CO₂-avtrycket fördjupades mest av allt. Det gick från ett enda avtryck per percentil till </w:t>
      </w:r>
      <w:r>
        <w:rPr>
          <w:b/>
          <w:bCs/>
        </w:rPr>
        <w:t xml:space="preserve">tre staplade lager</w:t>
      </w:r>
      <w:r>
        <w:t xml:space="preserve"> – offentlig konsumtion (botten), privat konsumtion, investeringar (överst) – som kan skrivas ut i egna färger. Datat kommer ur WID:s Chancel-komponenter; en tidig insikt var att </w:t>
      </w:r>
      <w:r>
        <w:rPr>
          <w:rFonts w:ascii="Courier New" w:cs="Courier New" w:eastAsia="Courier New" w:hAnsi="Courier New"/>
        </w:rPr>
        <w:t xml:space="preserve">lcfghg</w:t>
      </w:r>
      <w:r>
        <w:t xml:space="preserve"> redan inkluderar offentlig konsumtion, så offentligt togs ur aggregatet </w:t>
      </w:r>
      <w:r>
        <w:rPr>
          <w:rFonts w:ascii="Courier New" w:cs="Courier New" w:eastAsia="Courier New" w:hAnsi="Courier New"/>
        </w:rPr>
        <w:t xml:space="preserve">kgfghg</w:t>
      </w:r>
      <w:r>
        <w:t xml:space="preserve"> och privat konsumtion blev </w:t>
      </w:r>
      <w:r>
        <w:rPr>
          <w:rFonts w:ascii="Courier New" w:cs="Courier New" w:eastAsia="Courier New" w:hAnsi="Courier New"/>
        </w:rPr>
        <w:t xml:space="preserve">lcfghg − offentligt</w:t>
      </w:r>
      <w:r>
        <w:t xml:space="preserve">.</w:t>
      </w:r>
    </w:p>
    <w:p>
      <w:pPr>
        <w:spacing w:after="120" w:line="276"/>
      </w:pPr>
      <w:r>
        <w:t xml:space="preserve">En väljare lades till mellan två fördelningsprinciper för det offentliga: </w:t>
      </w:r>
      <w:r>
        <w:rPr>
          <w:b/>
          <w:bCs/>
        </w:rPr>
        <w:t xml:space="preserve">lika per person</w:t>
      </w:r>
      <w:r>
        <w:t xml:space="preserve"> (Chancels benchmark) och </w:t>
      </w:r>
      <w:r>
        <w:rPr>
          <w:b/>
          <w:bCs/>
        </w:rPr>
        <w:t xml:space="preserve">efter inkomst</w:t>
      </w:r>
      <w:r>
        <w:t xml:space="preserve"> (Oxfam/SEI). Diskussionen om investeringslagret ledde till en genuin metodutredning – ur Chancels artikel bekräftades att investeringar fördelas efter förmögenhet, att lagret omfattar hela bruttoinvesteringen (privat + offentlig, samma avgränsning som Naturvårdsverkets konsumtionsstatistik), och att bokföringen är dubbelräkningsfri: samma ton kan aldrig tillskrivas två aktörer. Hela resonemanget (dubbelräkning, väg/lastbil/järnväg, US kontra SE, skillnaden mot Naturvårdsverket) fångades i en fördjupnings-FAQ.</w:t>
      </w:r>
    </w:p>
    <w:p>
      <w:pPr>
        <w:pBdr>
          <w:left w:val="single" w:color="2A78D6" w:sz="22" w:space="10"/>
        </w:pBdr>
        <w:shd w:fill="EAF1FB" w:val="clear"/>
        <w:spacing w:after="160" w:before="40" w:line="272"/>
      </w:pPr>
      <w:r>
        <w:rPr>
          <w:b/>
          <w:bCs/>
          <w:color w:val="2A78D6"/>
        </w:rPr>
        <w:t xml:space="preserve">Designlärdom: </w:t>
      </w:r>
      <w:r>
        <w:t xml:space="preserve">När ett metodval väcker en riktig fråga – som ”dubbelräknas inte investeringarna?” – är svaret värt att både utreda mot källan och skriva ner i gränssnittet. Fördjupningen blev en av sidans mest värdefulla delar.</w:t>
      </w:r>
    </w:p>
    <w:p>
      <w:pPr>
        <w:pStyle w:val="Heading2"/>
        <w:spacing w:after="80" w:before="220"/>
      </w:pPr>
      <w:r>
        <w:rPr>
          <w:b/>
          <w:bCs/>
        </w:rPr>
        <w:t xml:space="preserve">4.5 Förmögenhet med skulder: skärm och utskrift skiljer sig</w:t>
      </w:r>
    </w:p>
    <w:p>
      <w:pPr>
        <w:spacing w:after="120" w:line="276"/>
      </w:pPr>
      <w:r>
        <w:t xml:space="preserve">Nettoförmögenhetens nedersta percentiler är ofta negativa (skulder). I utskriften kan man inte skriva ut under bottenplattan, så nollplanet </w:t>
      </w:r>
      <w:r>
        <w:rPr>
          <w:b/>
          <w:bCs/>
        </w:rPr>
        <w:t xml:space="preserve">höjs</w:t>
      </w:r>
      <w:r>
        <w:t xml:space="preserve"> till största skuldens nivå och skulden blir ett eget rött lager. Men i webbvyn blev höjderna då ojämförbara när länder staplades. Lösningen blev att skilja på representationerna: </w:t>
      </w:r>
      <w:r>
        <w:rPr>
          <w:b/>
          <w:bCs/>
        </w:rPr>
        <w:t xml:space="preserve">på skärmen hänger skulderna ned under ett platt nollplan</w:t>
      </w:r>
      <w:r>
        <w:t xml:space="preserve"> (höjder förblir jämförbara), medan STL:en behåller det förhöjda nollplanet.</w:t>
      </w:r>
    </w:p>
    <w:p>
      <w:pPr>
        <w:pBdr>
          <w:left w:val="single" w:color="2A78D6" w:sz="22" w:space="10"/>
        </w:pBdr>
        <w:shd w:fill="EAF1FB" w:val="clear"/>
        <w:spacing w:after="160" w:before="40" w:line="272"/>
      </w:pPr>
      <w:r>
        <w:rPr>
          <w:b/>
          <w:bCs/>
          <w:color w:val="2A78D6"/>
        </w:rPr>
        <w:t xml:space="preserve">Designlärdom: </w:t>
      </w:r>
      <w:r>
        <w:t xml:space="preserve">Tryckbar geometri och skärmvisning har olika begränsningar. Att låta dem divergera – hängande skuld och platt platta på skärmen, förhöjt nollplan i STL:en – gav bäst av två världar i stället för en kompromiss som var dålig på båda.</w:t>
      </w:r>
    </w:p>
    <w:p>
      <w:pPr>
        <w:pStyle w:val="Heading2"/>
        <w:spacing w:after="80" w:before="220"/>
      </w:pPr>
      <w:r>
        <w:rPr>
          <w:b/>
          <w:bCs/>
        </w:rPr>
        <w:t xml:space="preserve">4.6 Världens CO₂ – uträknad bakvägen</w:t>
      </w:r>
    </w:p>
    <w:p>
      <w:pPr>
        <w:spacing w:after="120" w:line="276"/>
      </w:pPr>
      <w:r>
        <w:t xml:space="preserve">WID:s API saknar CO₂-fördelning för ”Världen”. I stället </w:t>
      </w:r>
      <w:r>
        <w:rPr>
          <w:b/>
          <w:bCs/>
        </w:rPr>
        <w:t xml:space="preserve">aggregerades den bakvägen</w:t>
      </w:r>
      <w:r>
        <w:t xml:space="preserve"> ur 169 länders percentiler: alla (land, percentilklass)-atomer poolas viktade med befolkning, sorteras efter totalavtryck och skärs om i 118 globala klasser – samma metod Chancel använder. Täckningen är 99,4 % av världsbefolkningen (de som saknas är mikrostater). Eftersom världens offentliga avtryck varierar per global klass bär WO en egen </w:t>
      </w:r>
      <w:r>
        <w:rPr>
          <w:rFonts w:ascii="Courier New" w:cs="Courier New" w:eastAsia="Courier New" w:hAnsi="Courier New"/>
        </w:rPr>
        <w:t xml:space="preserve">carbonGov</w:t>
      </w:r>
      <w:r>
        <w:t xml:space="preserve">-serie; Oxfam-läget är inte meningsfullt globalt (varning + Chancel-fallback).</w:t>
      </w:r>
    </w:p>
    <w:p>
      <w:pPr>
        <w:pStyle w:val="Heading2"/>
        <w:spacing w:after="80" w:before="220"/>
      </w:pPr>
      <w:r>
        <w:rPr>
          <w:b/>
          <w:bCs/>
        </w:rPr>
        <w:t xml:space="preserve">4.7 Skala upp och skala rätt: 217 länder, men rätt enheter</w:t>
      </w:r>
    </w:p>
    <w:p>
      <w:pPr>
        <w:spacing w:after="120" w:line="276"/>
      </w:pPr>
      <w:r>
        <w:t xml:space="preserve">Databasen växte från 25 kärnländer till alla WID:s ~217 + Världen, med WID:s datakvalitetspoäng (1–5) synlig och länder av lägre kvalitet bakom ett ”Fler länder”-val. Samtidigt </w:t>
      </w:r>
      <w:r>
        <w:rPr>
          <w:b/>
          <w:bCs/>
        </w:rPr>
        <w:t xml:space="preserve">togs ett par tidiga val bort</w:t>
      </w:r>
      <w:r>
        <w:t xml:space="preserve">: Världsbankens PIP som andra inkomstkälla, och lokal valuta. Kvar blev fasta priser i en gemensam PPP-kurs – vilket är själva förutsättningen för att årsanimeringen ska visa </w:t>
      </w:r>
      <w:r>
        <w:rPr>
          <w:i/>
          <w:iCs/>
        </w:rPr>
        <w:t xml:space="preserve">real</w:t>
      </w:r>
      <w:r>
        <w:t xml:space="preserve"> utveckling och inte inflation.</w:t>
      </w:r>
    </w:p>
    <w:p>
      <w:pPr>
        <w:pBdr>
          <w:left w:val="single" w:color="2A78D6" w:sz="22" w:space="10"/>
        </w:pBdr>
        <w:shd w:fill="EAF1FB" w:val="clear"/>
        <w:spacing w:after="160" w:before="40" w:line="272"/>
      </w:pPr>
      <w:r>
        <w:rPr>
          <w:b/>
          <w:bCs/>
          <w:color w:val="2A78D6"/>
        </w:rPr>
        <w:t xml:space="preserve">Designlärdom: </w:t>
      </w:r>
      <w:r>
        <w:t xml:space="preserve">Fler alternativ är inte alltid bättre. Att stryka lokal valuta och en andra datakälla gjorde jämförelser över tid ärliga och gränssnittet enklare. Det kumulativa remsläget togs bort av samma skäl – det krävde för mycket pedagogik; Gini hamnade på infosidan i stället.</w:t>
      </w:r>
    </w:p>
    <w:p>
      <w:pPr>
        <w:pStyle w:val="Heading2"/>
        <w:spacing w:after="80" w:before="220"/>
      </w:pPr>
      <w:r>
        <w:rPr>
          <w:b/>
          <w:bCs/>
        </w:rPr>
        <w:t xml:space="preserve">4.8 Från verktyg till förklaring: infosida, delning, mobil</w:t>
      </w:r>
    </w:p>
    <w:p>
      <w:pPr>
        <w:spacing w:after="120" w:line="276"/>
      </w:pPr>
      <w:r>
        <w:t xml:space="preserve">Den senare utvecklingen handlade om att göra verktyget begripligt och delbart. En </w:t>
      </w:r>
      <w:r>
        <w:rPr>
          <w:b/>
          <w:bCs/>
        </w:rPr>
        <w:t xml:space="preserve">QR-kod på undersidan</w:t>
      </w:r>
      <w:r>
        <w:t xml:space="preserve"> (via hedin.it:s gemensamma kort-URL-tjänst /r/, så tryckta koder överlever att mål flyttas) leder till en infosida med nyckeltal, metod och källor. Markskyltar (canvas-textur i stället för CSS-overlay) håller etiketterna vid sidan om modellerna. Stapelvy (minst främst) blev standard, hover visar percentildata, och varje vy kan delas som URL.</w:t>
      </w:r>
    </w:p>
    <w:p>
      <w:pPr>
        <w:spacing w:after="120" w:line="276"/>
      </w:pPr>
      <w:r>
        <w:t xml:space="preserve">Till sist gjordes ingången tydligare: infosidan blev en riktig </w:t>
      </w:r>
      <w:r>
        <w:rPr>
          <w:b/>
          <w:bCs/>
        </w:rPr>
        <w:t xml:space="preserve">om-sida</w:t>
      </w:r>
      <w:r>
        <w:t xml:space="preserve"> (m.html utan parametrar), länken flyttades högst upp i panelen, all fördjupning samlades där, och en mobilanpassning lades till – kontrollpanelen kan döljas med en knapp eller genom att vrida telefonen till liggande, så bara modellen syns.</w:t>
      </w:r>
    </w:p>
    <w:p>
      <w:pPr>
        <w:pStyle w:val="Heading2"/>
        <w:spacing w:after="80" w:before="220"/>
      </w:pPr>
      <w:r>
        <w:rPr>
          <w:b/>
          <w:bCs/>
        </w:rPr>
        <w:t xml:space="preserve">4.9 Ett meta-tillägg: verktygets eget AI-avtryck</w:t>
      </w:r>
    </w:p>
    <w:p>
      <w:pPr>
        <w:spacing w:after="120" w:line="276"/>
      </w:pPr>
      <w:r>
        <w:t xml:space="preserve">Eftersom projektet är ett experiment i AI-byggande dokumenterades till sist </w:t>
      </w:r>
      <w:r>
        <w:rPr>
          <w:b/>
          <w:bCs/>
        </w:rPr>
        <w:t xml:space="preserve">byggets eget avtryck</w:t>
      </w:r>
      <w:r>
        <w:t xml:space="preserve">: token-åtgång summerad ur sessionens loggar (~2,1 miljoner output-tokens, ~11,8 miljoner unikt kodade input-tokens, ~585 miljoner cache-lästa), och en grov, tydligt märkt egen uppskattning av energi (~5–60 kWh) och CO₂ (~2–23 kg). En transparensnotis klargör att det är en egen uppskattning, inte en officiell siffra.</w:t>
      </w:r>
    </w:p>
    <w:p>
      <w:pPr>
        <w:pBdr>
          <w:left w:val="single" w:color="2A78D6" w:sz="22" w:space="10"/>
        </w:pBdr>
        <w:shd w:fill="EAF1FB" w:val="clear"/>
        <w:spacing w:after="160" w:before="40" w:line="272"/>
      </w:pPr>
      <w:r>
        <w:rPr>
          <w:b/>
          <w:bCs/>
          <w:color w:val="2A78D6"/>
        </w:rPr>
        <w:t xml:space="preserve">Designlärdom: </w:t>
      </w:r>
      <w:r>
        <w:t xml:space="preserve">Om ett projekt handlar om ojämlikhet och klimat är det rimligt att redovisa dess eget avtryck – öppet, med osäkerheten synlig och som ett spann snarare än en punktsiffra.</w:t>
      </w:r>
    </w:p>
    <w:p>
      <w:pPr>
        <w:pStyle w:val="Heading1"/>
        <w:spacing w:after="120" w:before="300"/>
      </w:pPr>
      <w:r>
        <w:rPr>
          <w:b/>
          <w:bCs/>
        </w:rPr>
        <w:t xml:space="preserve">5. Designprinciper som utkristalliserats</w:t>
      </w:r>
    </w:p>
    <w:p>
      <w:pPr>
        <w:spacing w:after="120" w:line="276"/>
      </w:pPr>
      <w:r>
        <w:t xml:space="preserve">Utvecklingen gav en handfull principer som återkom gång på gång:</w:t>
      </w:r>
    </w:p>
    <w:p>
      <w:pPr>
        <w:pStyle w:val="ListParagraph"/>
        <w:numPr>
          <w:ilvl w:val="0"/>
          <w:numId w:val="1"/>
        </w:numPr>
        <w:spacing w:after="60" w:line="272"/>
      </w:pPr>
      <w:r>
        <w:rPr>
          <w:b/>
          <w:bCs/>
        </w:rPr>
        <w:t xml:space="preserve">Fast skala = ärlig jämförelse. </w:t>
      </w:r>
      <w:r>
        <w:t xml:space="preserve">Höjden betyder lika mycket överallt; allt annat böjer sig efter det.</w:t>
      </w:r>
    </w:p>
    <w:p>
      <w:pPr>
        <w:pStyle w:val="ListParagraph"/>
        <w:numPr>
          <w:ilvl w:val="0"/>
          <w:numId w:val="1"/>
        </w:numPr>
        <w:spacing w:after="60" w:line="272"/>
      </w:pPr>
      <w:r>
        <w:rPr>
          <w:b/>
          <w:bCs/>
        </w:rPr>
        <w:t xml:space="preserve">Integrera, bygg inte på. </w:t>
      </w:r>
      <w:r>
        <w:t xml:space="preserve">Visa datat på dess verkliga plats hellre än att lösa problem med separata delar (toppdel-lärdomen).</w:t>
      </w:r>
    </w:p>
    <w:p>
      <w:pPr>
        <w:pStyle w:val="ListParagraph"/>
        <w:numPr>
          <w:ilvl w:val="0"/>
          <w:numId w:val="1"/>
        </w:numPr>
        <w:spacing w:after="60" w:line="272"/>
      </w:pPr>
      <w:r>
        <w:rPr>
          <w:b/>
          <w:bCs/>
        </w:rPr>
        <w:t xml:space="preserve">Utskriftsverkligheten styr geometrin. </w:t>
      </w:r>
      <w:r>
        <w:t xml:space="preserve">Fetare streck, minsta bas, vattentäthet, verifiering mot riktiga tryck – inte mot skärmen.</w:t>
      </w:r>
    </w:p>
    <w:p>
      <w:pPr>
        <w:pStyle w:val="ListParagraph"/>
        <w:numPr>
          <w:ilvl w:val="0"/>
          <w:numId w:val="1"/>
        </w:numPr>
        <w:spacing w:after="60" w:line="272"/>
      </w:pPr>
      <w:r>
        <w:rPr>
          <w:b/>
          <w:bCs/>
        </w:rPr>
        <w:t xml:space="preserve">Skilj tryckgeometri från skärmvisning. </w:t>
      </w:r>
      <w:r>
        <w:t xml:space="preserve">Låt dem divergera när begränsningarna skiljer sig (skuld, bottenplatta).</w:t>
      </w:r>
    </w:p>
    <w:p>
      <w:pPr>
        <w:pStyle w:val="ListParagraph"/>
        <w:numPr>
          <w:ilvl w:val="0"/>
          <w:numId w:val="1"/>
        </w:numPr>
        <w:spacing w:after="60" w:line="272"/>
      </w:pPr>
      <w:r>
        <w:rPr>
          <w:b/>
          <w:bCs/>
        </w:rPr>
        <w:t xml:space="preserve">Transparens. </w:t>
      </w:r>
      <w:r>
        <w:t xml:space="preserve">Metod-FAQ, källor, datakvalitetspoäng och verktygets eget avtryck – gör antaganden och osäkerhet synliga.</w:t>
      </w:r>
    </w:p>
    <w:p>
      <w:pPr>
        <w:pStyle w:val="ListParagraph"/>
        <w:numPr>
          <w:ilvl w:val="0"/>
          <w:numId w:val="1"/>
        </w:numPr>
        <w:spacing w:after="60" w:line="272"/>
      </w:pPr>
      <w:r>
        <w:rPr>
          <w:b/>
          <w:bCs/>
        </w:rPr>
        <w:t xml:space="preserve">Återanvänd infrastruktur. </w:t>
      </w:r>
      <w:r>
        <w:t xml:space="preserve">Den gemensamma /r/-tjänsten och I18N-mönstret delas med sajtens övriga projekt.</w:t>
      </w:r>
    </w:p>
    <w:p>
      <w:pPr>
        <w:pStyle w:val="ListParagraph"/>
        <w:numPr>
          <w:ilvl w:val="0"/>
          <w:numId w:val="1"/>
        </w:numPr>
        <w:spacing w:after="60" w:line="272"/>
      </w:pPr>
      <w:r>
        <w:rPr>
          <w:b/>
          <w:bCs/>
        </w:rPr>
        <w:t xml:space="preserve">Iterera från verkliga artefakter. </w:t>
      </w:r>
      <w:r>
        <w:t xml:space="preserve">De flesta viktiga fixar kom ur Björns provutskrifter och konkreta felläsningar, inte ur teori.</w:t>
      </w:r>
    </w:p>
    <w:p>
      <w:pPr>
        <w:pStyle w:val="Heading1"/>
        <w:spacing w:after="120" w:before="300"/>
      </w:pPr>
      <w:r>
        <w:rPr>
          <w:b/>
          <w:bCs/>
        </w:rPr>
        <w:t xml:space="preserve">6. Datametod (för den nyfikne)</w:t>
      </w:r>
    </w:p>
    <w:p>
      <w:pPr>
        <w:spacing w:after="120" w:line="276"/>
      </w:pPr>
      <w:r>
        <w:t xml:space="preserve">Grunddata kommer från World Inequality Database (WID.world), som bygger på DINA-metodiken (Distributional National Accounts). Inkomst = nationalinkomst före skatt per vuxen (equal-split, inklusive kapitalinkomster); förmögenhet = nettoförmögenhet per vuxen; CO₂e = Lucas Chancels konsumtions- och ägandebaserade avtryck.</w:t>
      </w:r>
    </w:p>
    <w:p>
      <w:pPr>
        <w:spacing w:after="120" w:line="276"/>
      </w:pPr>
      <w:r>
        <w:t xml:space="preserve">Koldioxidavtrycket delas i tre delar. Privat konsumtion fördelas efter inkomst med landsspecifik elasticitet. Offentlig konsumtion fördelas lika per person i Chancels benchmark (klumpsumma, δ=0) eller efter inkomst i Oxfam/SEI-varianten. Investeringar fördelas efter förmögenhet (den som äger x % av kapitalet bär x % av investeringsutsläppen) och omfattar hela bruttoinvesteringen. Bokföringen är dubbelräkningsfri: kapitalbildning är slutanvändning i nationalräkenskaperna, inte en insatsvara som skrivs av in i framtida produkter.</w:t>
      </w:r>
    </w:p>
    <w:p>
      <w:pPr>
        <w:spacing w:after="120" w:line="276"/>
      </w:pPr>
      <w:r>
        <w:t xml:space="preserve">Några fynd värda att nämna: USA:s offentliga CO₂ per person (2,8 t 2019) är genuint högre än Sveriges (1,7 t) – fossil elmix, stor militär, kolintensivare leveranskedjor. WID (9,5 t totalt för Sverige 2019) och Naturvårdsverket (8,7 t) är i samma storleksordning men bygger på olika input-output-modeller. Alla penningserier är i fasta priser med en gemensam PPP-kurs.</w:t>
      </w:r>
    </w:p>
    <w:p>
      <w:pPr>
        <w:pStyle w:val="Heading1"/>
        <w:spacing w:after="120" w:before="300"/>
      </w:pPr>
      <w:r>
        <w:rPr>
          <w:b/>
          <w:bCs/>
        </w:rPr>
        <w:t xml:space="preserve">7. Status och möjliga nästa steg</w:t>
      </w:r>
    </w:p>
    <w:p>
      <w:pPr>
        <w:spacing w:after="120" w:line="276"/>
      </w:pPr>
      <w:r>
        <w:t xml:space="preserve">v1 är komplett och live på hedin.it/inequality3d, tvåspråkig, med 217 länder + Världen, tre former, tre CO₂-lager, skuldvisning, QR/infosida, delbara vyer, mobilanpassning och verifierat vattentät STL-export. Naturliga nästa steg vore fler jämförelseexempel i om-sidan, OTA-uppdatering, eller att bredda den ägandebaserade CO₂-serien när WID uppdaterar den.</w:t>
      </w:r>
    </w:p>
    <w:p>
      <w:pPr>
        <w:pStyle w:val="Heading1"/>
        <w:spacing w:after="120" w:before="300"/>
      </w:pPr>
      <w:r>
        <w:rPr>
          <w:b/>
          <w:bCs/>
        </w:rPr>
        <w:t xml:space="preserve">8. Reflektion: en enda prompt</w:t>
      </w:r>
    </w:p>
    <w:p>
      <w:pPr>
        <w:spacing w:after="120" w:line="276"/>
      </w:pPr>
      <w:r>
        <w:t xml:space="preserve">Det som gör projektet värt att spara som referens är inte bara resultatet utan vägen dit. Ett fungerande första utkast – datahämtning från API, tre 3D-former, vattentät STL-export med gravyr – kom ur en enda prompt. Men det som gjorde det bra var iterationen: ett dussin rundor där idéer förkastades (separat toppdel, kumulativ vy, lokal valuta), förfinades (gravyr, markörer, skuldvisning) och fördjupades (CO₂-metoden, världsaggregatet). Ingen enskild runda var stor; tillsammans förvandlade de en prototyp till ett verktyg – och en förklaring.</w:t>
      </w:r>
    </w:p>
    <w:p>
      <w:pPr>
        <w:spacing w:after="120" w:line="276"/>
      </w:pPr>
      <w:r>
        <w:rPr>
          <w:i/>
          <w:iCs/>
          <w:color w:val="6B675E"/>
          <w:sz w:val="20"/>
          <w:szCs w:val="20"/>
        </w:rPr>
        <w:t xml:space="preserve">Framtaget av AI-assistenten Claude (Opus 4.8) tillsammans med Björn Hedin, KTH. 17 juli 2026.</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4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pPr>
    <w:rPr>
      <w:rFonts w:ascii="Calibri" w:cs="Calibri" w:eastAsia="Calibri" w:hAnsi="Calibri"/>
      <w:b/>
      <w:bCs/>
      <w:color w:val="2A78D6"/>
      <w:sz w:val="30"/>
      <w:szCs w:val="30"/>
    </w:rPr>
  </w:style>
  <w:style w:type="paragraph" w:styleId="Heading2">
    <w:name w:val="Heading 2"/>
    <w:basedOn w:val="Normal"/>
    <w:next w:val="Normal"/>
    <w:qFormat/>
    <w:pPr>
      <w:spacing w:after="80" w:before="220"/>
    </w:pPr>
    <w:rPr>
      <w:rFonts w:ascii="Calibri" w:cs="Calibri" w:eastAsia="Calibri" w:hAnsi="Calibri"/>
      <w:b/>
      <w:bCs/>
      <w:color w:val="26241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2026-07-17T08:56:47.400Z</dcterms:created>
  <dcterms:modified xsi:type="dcterms:W3CDTF">2026-07-17T08:56:47.401Z</dcterms:modified>
</cp:coreProperties>
</file>

<file path=docProps/custom.xml><?xml version="1.0" encoding="utf-8"?>
<Properties xmlns="http://schemas.openxmlformats.org/officeDocument/2006/custom-properties" xmlns:vt="http://schemas.openxmlformats.org/officeDocument/2006/docPropsVTypes"/>
</file>