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4D4" w14:textId="77777777" w:rsidR="00CE0A95" w:rsidRDefault="00000000">
      <w:pPr>
        <w:pStyle w:val="Title"/>
      </w:pPr>
      <w:r>
        <w:t>Case Study: Constructing a Heritage Digital Twin of the Dēliņi Farmstead</w:t>
      </w:r>
    </w:p>
    <w:p w14:paraId="6EC5E0A4" w14:textId="77777777" w:rsidR="00CE0A95" w:rsidRDefault="00000000">
      <w:pPr>
        <w:pStyle w:val="Subtitle"/>
      </w:pPr>
      <w:r>
        <w:t>Discussion paper (2026-08-26)</w:t>
      </w:r>
    </w:p>
    <w:p w14:paraId="3847D583" w14:textId="77777777" w:rsidR="00CE0A95" w:rsidRDefault="00000000">
      <w:pPr>
        <w:pStyle w:val="Author"/>
      </w:pPr>
      <w:r>
        <w:t>Daniel Antal</w:t>
      </w:r>
    </w:p>
    <w:sdt>
      <w:sdtPr>
        <w:rPr>
          <w:rFonts w:asciiTheme="minorHAnsi" w:eastAsiaTheme="minorEastAsia" w:hAnsiTheme="minorHAnsi" w:cstheme="minorBidi"/>
          <w:color w:val="auto"/>
          <w:sz w:val="24"/>
          <w:szCs w:val="24"/>
        </w:rPr>
        <w:id w:val="-697774370"/>
        <w:docPartObj>
          <w:docPartGallery w:val="Table of Contents"/>
          <w:docPartUnique/>
        </w:docPartObj>
      </w:sdtPr>
      <w:sdtContent>
        <w:p w14:paraId="36D6C5A7" w14:textId="77777777" w:rsidR="00CE0A95" w:rsidRDefault="00000000">
          <w:pPr>
            <w:pStyle w:val="TOCHeading"/>
          </w:pPr>
          <w:r>
            <w:t>Table of contents</w:t>
          </w:r>
        </w:p>
        <w:p w14:paraId="686960F2" w14:textId="77777777" w:rsidR="00315F7F" w:rsidRDefault="00000000">
          <w:pPr>
            <w:pStyle w:val="TOC1"/>
            <w:tabs>
              <w:tab w:val="right" w:leader="dot" w:pos="9350"/>
            </w:tabs>
            <w:rPr>
              <w:noProof/>
            </w:rPr>
          </w:pPr>
          <w:r>
            <w:fldChar w:fldCharType="begin"/>
          </w:r>
          <w:r>
            <w:instrText>TOC \o "1-3" \h \z \u</w:instrText>
          </w:r>
          <w:r>
            <w:fldChar w:fldCharType="separate"/>
          </w:r>
          <w:hyperlink w:anchor="_Toc239495436" w:history="1">
            <w:r w:rsidR="00315F7F" w:rsidRPr="00055CB5">
              <w:rPr>
                <w:rStyle w:val="Hyperlink"/>
                <w:noProof/>
              </w:rPr>
              <w:t>Introduction</w:t>
            </w:r>
            <w:r w:rsidR="00315F7F">
              <w:rPr>
                <w:noProof/>
                <w:webHidden/>
              </w:rPr>
              <w:tab/>
            </w:r>
            <w:r w:rsidR="00315F7F">
              <w:rPr>
                <w:noProof/>
                <w:webHidden/>
              </w:rPr>
              <w:fldChar w:fldCharType="begin"/>
            </w:r>
            <w:r w:rsidR="00315F7F">
              <w:rPr>
                <w:noProof/>
                <w:webHidden/>
              </w:rPr>
              <w:instrText xml:space="preserve"> PAGEREF _Toc239495436 \h </w:instrText>
            </w:r>
            <w:r w:rsidR="00315F7F">
              <w:rPr>
                <w:noProof/>
                <w:webHidden/>
              </w:rPr>
            </w:r>
            <w:r w:rsidR="00315F7F">
              <w:rPr>
                <w:noProof/>
                <w:webHidden/>
              </w:rPr>
              <w:fldChar w:fldCharType="separate"/>
            </w:r>
            <w:r w:rsidR="00315F7F">
              <w:rPr>
                <w:noProof/>
                <w:webHidden/>
              </w:rPr>
              <w:t>5</w:t>
            </w:r>
            <w:r w:rsidR="00315F7F">
              <w:rPr>
                <w:noProof/>
                <w:webHidden/>
              </w:rPr>
              <w:fldChar w:fldCharType="end"/>
            </w:r>
          </w:hyperlink>
        </w:p>
        <w:p w14:paraId="2DB9167B" w14:textId="77777777" w:rsidR="00315F7F" w:rsidRDefault="00315F7F">
          <w:pPr>
            <w:pStyle w:val="TOC1"/>
            <w:tabs>
              <w:tab w:val="right" w:leader="dot" w:pos="9350"/>
            </w:tabs>
            <w:rPr>
              <w:noProof/>
            </w:rPr>
          </w:pPr>
          <w:hyperlink w:anchor="_Toc239495437" w:history="1">
            <w:r w:rsidRPr="00055CB5">
              <w:rPr>
                <w:rStyle w:val="Hyperlink"/>
                <w:noProof/>
              </w:rPr>
              <w:t>Observational and Data Aquisition</w:t>
            </w:r>
            <w:r>
              <w:rPr>
                <w:noProof/>
                <w:webHidden/>
              </w:rPr>
              <w:tab/>
            </w:r>
            <w:r>
              <w:rPr>
                <w:noProof/>
                <w:webHidden/>
              </w:rPr>
              <w:fldChar w:fldCharType="begin"/>
            </w:r>
            <w:r>
              <w:rPr>
                <w:noProof/>
                <w:webHidden/>
              </w:rPr>
              <w:instrText xml:space="preserve"> PAGEREF _Toc239495437 \h </w:instrText>
            </w:r>
            <w:r>
              <w:rPr>
                <w:noProof/>
                <w:webHidden/>
              </w:rPr>
            </w:r>
            <w:r>
              <w:rPr>
                <w:noProof/>
                <w:webHidden/>
              </w:rPr>
              <w:fldChar w:fldCharType="separate"/>
            </w:r>
            <w:r>
              <w:rPr>
                <w:noProof/>
                <w:webHidden/>
              </w:rPr>
              <w:t>6</w:t>
            </w:r>
            <w:r>
              <w:rPr>
                <w:noProof/>
                <w:webHidden/>
              </w:rPr>
              <w:fldChar w:fldCharType="end"/>
            </w:r>
          </w:hyperlink>
        </w:p>
        <w:p w14:paraId="30A03C1C" w14:textId="77777777" w:rsidR="00315F7F" w:rsidRDefault="00315F7F">
          <w:pPr>
            <w:pStyle w:val="TOC3"/>
            <w:tabs>
              <w:tab w:val="right" w:leader="dot" w:pos="9350"/>
            </w:tabs>
            <w:rPr>
              <w:noProof/>
            </w:rPr>
          </w:pPr>
          <w:hyperlink w:anchor="_Toc239495438" w:history="1">
            <w:r w:rsidRPr="00055CB5">
              <w:rPr>
                <w:rStyle w:val="Hyperlink"/>
                <w:noProof/>
              </w:rPr>
              <w:t>Farmstead (Museum collections)</w:t>
            </w:r>
            <w:r>
              <w:rPr>
                <w:noProof/>
                <w:webHidden/>
              </w:rPr>
              <w:tab/>
            </w:r>
            <w:r>
              <w:rPr>
                <w:noProof/>
                <w:webHidden/>
              </w:rPr>
              <w:fldChar w:fldCharType="begin"/>
            </w:r>
            <w:r>
              <w:rPr>
                <w:noProof/>
                <w:webHidden/>
              </w:rPr>
              <w:instrText xml:space="preserve"> PAGEREF _Toc239495438 \h </w:instrText>
            </w:r>
            <w:r>
              <w:rPr>
                <w:noProof/>
                <w:webHidden/>
              </w:rPr>
            </w:r>
            <w:r>
              <w:rPr>
                <w:noProof/>
                <w:webHidden/>
              </w:rPr>
              <w:fldChar w:fldCharType="separate"/>
            </w:r>
            <w:r>
              <w:rPr>
                <w:noProof/>
                <w:webHidden/>
              </w:rPr>
              <w:t>6</w:t>
            </w:r>
            <w:r>
              <w:rPr>
                <w:noProof/>
                <w:webHidden/>
              </w:rPr>
              <w:fldChar w:fldCharType="end"/>
            </w:r>
          </w:hyperlink>
        </w:p>
        <w:p w14:paraId="0E2EC655" w14:textId="77777777" w:rsidR="00315F7F" w:rsidRDefault="00315F7F">
          <w:pPr>
            <w:pStyle w:val="TOC3"/>
            <w:tabs>
              <w:tab w:val="right" w:leader="dot" w:pos="9350"/>
            </w:tabs>
            <w:rPr>
              <w:noProof/>
            </w:rPr>
          </w:pPr>
          <w:hyperlink w:anchor="_Toc239495439" w:history="1">
            <w:r w:rsidRPr="00055CB5">
              <w:rPr>
                <w:rStyle w:val="Hyperlink"/>
                <w:noProof/>
              </w:rPr>
              <w:t>Folio (Archival collections)</w:t>
            </w:r>
            <w:r>
              <w:rPr>
                <w:noProof/>
                <w:webHidden/>
              </w:rPr>
              <w:tab/>
            </w:r>
            <w:r>
              <w:rPr>
                <w:noProof/>
                <w:webHidden/>
              </w:rPr>
              <w:fldChar w:fldCharType="begin"/>
            </w:r>
            <w:r>
              <w:rPr>
                <w:noProof/>
                <w:webHidden/>
              </w:rPr>
              <w:instrText xml:space="preserve"> PAGEREF _Toc239495439 \h </w:instrText>
            </w:r>
            <w:r>
              <w:rPr>
                <w:noProof/>
                <w:webHidden/>
              </w:rPr>
            </w:r>
            <w:r>
              <w:rPr>
                <w:noProof/>
                <w:webHidden/>
              </w:rPr>
              <w:fldChar w:fldCharType="separate"/>
            </w:r>
            <w:r>
              <w:rPr>
                <w:noProof/>
                <w:webHidden/>
              </w:rPr>
              <w:t>7</w:t>
            </w:r>
            <w:r>
              <w:rPr>
                <w:noProof/>
                <w:webHidden/>
              </w:rPr>
              <w:fldChar w:fldCharType="end"/>
            </w:r>
          </w:hyperlink>
        </w:p>
        <w:p w14:paraId="337B5B49" w14:textId="77777777" w:rsidR="00315F7F" w:rsidRDefault="00315F7F">
          <w:pPr>
            <w:pStyle w:val="TOC3"/>
            <w:tabs>
              <w:tab w:val="right" w:leader="dot" w:pos="9350"/>
            </w:tabs>
            <w:rPr>
              <w:noProof/>
            </w:rPr>
          </w:pPr>
          <w:hyperlink w:anchor="_Toc239495440" w:history="1">
            <w:r w:rsidRPr="00055CB5">
              <w:rPr>
                <w:rStyle w:val="Hyperlink"/>
                <w:noProof/>
              </w:rPr>
              <w:t>Bibliography (Library resources)</w:t>
            </w:r>
            <w:r>
              <w:rPr>
                <w:noProof/>
                <w:webHidden/>
              </w:rPr>
              <w:tab/>
            </w:r>
            <w:r>
              <w:rPr>
                <w:noProof/>
                <w:webHidden/>
              </w:rPr>
              <w:fldChar w:fldCharType="begin"/>
            </w:r>
            <w:r>
              <w:rPr>
                <w:noProof/>
                <w:webHidden/>
              </w:rPr>
              <w:instrText xml:space="preserve"> PAGEREF _Toc239495440 \h </w:instrText>
            </w:r>
            <w:r>
              <w:rPr>
                <w:noProof/>
                <w:webHidden/>
              </w:rPr>
            </w:r>
            <w:r>
              <w:rPr>
                <w:noProof/>
                <w:webHidden/>
              </w:rPr>
              <w:fldChar w:fldCharType="separate"/>
            </w:r>
            <w:r>
              <w:rPr>
                <w:noProof/>
                <w:webHidden/>
              </w:rPr>
              <w:t>8</w:t>
            </w:r>
            <w:r>
              <w:rPr>
                <w:noProof/>
                <w:webHidden/>
              </w:rPr>
              <w:fldChar w:fldCharType="end"/>
            </w:r>
          </w:hyperlink>
        </w:p>
        <w:p w14:paraId="1E69C009" w14:textId="77777777" w:rsidR="00315F7F" w:rsidRDefault="00315F7F">
          <w:pPr>
            <w:pStyle w:val="TOC3"/>
            <w:tabs>
              <w:tab w:val="right" w:leader="dot" w:pos="9350"/>
            </w:tabs>
            <w:rPr>
              <w:noProof/>
            </w:rPr>
          </w:pPr>
          <w:hyperlink w:anchor="_Toc239495441" w:history="1">
            <w:r w:rsidRPr="00055CB5">
              <w:rPr>
                <w:rStyle w:val="Hyperlink"/>
                <w:noProof/>
              </w:rPr>
              <w:t>Language</w:t>
            </w:r>
            <w:r>
              <w:rPr>
                <w:noProof/>
                <w:webHidden/>
              </w:rPr>
              <w:tab/>
            </w:r>
            <w:r>
              <w:rPr>
                <w:noProof/>
                <w:webHidden/>
              </w:rPr>
              <w:fldChar w:fldCharType="begin"/>
            </w:r>
            <w:r>
              <w:rPr>
                <w:noProof/>
                <w:webHidden/>
              </w:rPr>
              <w:instrText xml:space="preserve"> PAGEREF _Toc239495441 \h </w:instrText>
            </w:r>
            <w:r>
              <w:rPr>
                <w:noProof/>
                <w:webHidden/>
              </w:rPr>
            </w:r>
            <w:r>
              <w:rPr>
                <w:noProof/>
                <w:webHidden/>
              </w:rPr>
              <w:fldChar w:fldCharType="separate"/>
            </w:r>
            <w:r>
              <w:rPr>
                <w:noProof/>
                <w:webHidden/>
              </w:rPr>
              <w:t>9</w:t>
            </w:r>
            <w:r>
              <w:rPr>
                <w:noProof/>
                <w:webHidden/>
              </w:rPr>
              <w:fldChar w:fldCharType="end"/>
            </w:r>
          </w:hyperlink>
        </w:p>
        <w:p w14:paraId="59F8DBCE" w14:textId="77777777" w:rsidR="00315F7F" w:rsidRDefault="00315F7F">
          <w:pPr>
            <w:pStyle w:val="TOC1"/>
            <w:tabs>
              <w:tab w:val="right" w:leader="dot" w:pos="9350"/>
            </w:tabs>
            <w:rPr>
              <w:noProof/>
            </w:rPr>
          </w:pPr>
          <w:hyperlink w:anchor="_Toc239495442" w:history="1">
            <w:r w:rsidRPr="00055CB5">
              <w:rPr>
                <w:rStyle w:val="Hyperlink"/>
                <w:noProof/>
              </w:rPr>
              <w:t>Building an Interoperable Heritage Digital Twin</w:t>
            </w:r>
            <w:r>
              <w:rPr>
                <w:noProof/>
                <w:webHidden/>
              </w:rPr>
              <w:tab/>
            </w:r>
            <w:r>
              <w:rPr>
                <w:noProof/>
                <w:webHidden/>
              </w:rPr>
              <w:fldChar w:fldCharType="begin"/>
            </w:r>
            <w:r>
              <w:rPr>
                <w:noProof/>
                <w:webHidden/>
              </w:rPr>
              <w:instrText xml:space="preserve"> PAGEREF _Toc239495442 \h </w:instrText>
            </w:r>
            <w:r>
              <w:rPr>
                <w:noProof/>
                <w:webHidden/>
              </w:rPr>
            </w:r>
            <w:r>
              <w:rPr>
                <w:noProof/>
                <w:webHidden/>
              </w:rPr>
              <w:fldChar w:fldCharType="separate"/>
            </w:r>
            <w:r>
              <w:rPr>
                <w:noProof/>
                <w:webHidden/>
              </w:rPr>
              <w:t>10</w:t>
            </w:r>
            <w:r>
              <w:rPr>
                <w:noProof/>
                <w:webHidden/>
              </w:rPr>
              <w:fldChar w:fldCharType="end"/>
            </w:r>
          </w:hyperlink>
        </w:p>
        <w:p w14:paraId="3B155311" w14:textId="77777777" w:rsidR="00315F7F" w:rsidRDefault="00315F7F">
          <w:pPr>
            <w:pStyle w:val="TOC2"/>
            <w:tabs>
              <w:tab w:val="right" w:leader="dot" w:pos="9350"/>
            </w:tabs>
            <w:rPr>
              <w:noProof/>
            </w:rPr>
          </w:pPr>
          <w:hyperlink w:anchor="_Toc239495443" w:history="1">
            <w:r w:rsidRPr="00055CB5">
              <w:rPr>
                <w:rStyle w:val="Hyperlink"/>
                <w:noProof/>
              </w:rPr>
              <w:t>Farmstead</w:t>
            </w:r>
            <w:r>
              <w:rPr>
                <w:noProof/>
                <w:webHidden/>
              </w:rPr>
              <w:tab/>
            </w:r>
            <w:r>
              <w:rPr>
                <w:noProof/>
                <w:webHidden/>
              </w:rPr>
              <w:fldChar w:fldCharType="begin"/>
            </w:r>
            <w:r>
              <w:rPr>
                <w:noProof/>
                <w:webHidden/>
              </w:rPr>
              <w:instrText xml:space="preserve"> PAGEREF _Toc239495443 \h </w:instrText>
            </w:r>
            <w:r>
              <w:rPr>
                <w:noProof/>
                <w:webHidden/>
              </w:rPr>
            </w:r>
            <w:r>
              <w:rPr>
                <w:noProof/>
                <w:webHidden/>
              </w:rPr>
              <w:fldChar w:fldCharType="separate"/>
            </w:r>
            <w:r>
              <w:rPr>
                <w:noProof/>
                <w:webHidden/>
              </w:rPr>
              <w:t>10</w:t>
            </w:r>
            <w:r>
              <w:rPr>
                <w:noProof/>
                <w:webHidden/>
              </w:rPr>
              <w:fldChar w:fldCharType="end"/>
            </w:r>
          </w:hyperlink>
        </w:p>
        <w:p w14:paraId="3C2075DD" w14:textId="77777777" w:rsidR="00315F7F" w:rsidRDefault="00315F7F">
          <w:pPr>
            <w:pStyle w:val="TOC2"/>
            <w:tabs>
              <w:tab w:val="right" w:leader="dot" w:pos="9350"/>
            </w:tabs>
            <w:rPr>
              <w:noProof/>
            </w:rPr>
          </w:pPr>
          <w:hyperlink w:anchor="_Toc239495444" w:history="1">
            <w:r w:rsidRPr="00055CB5">
              <w:rPr>
                <w:rStyle w:val="Hyperlink"/>
                <w:noProof/>
              </w:rPr>
              <w:t>Granary</w:t>
            </w:r>
            <w:r>
              <w:rPr>
                <w:noProof/>
                <w:webHidden/>
              </w:rPr>
              <w:tab/>
            </w:r>
            <w:r>
              <w:rPr>
                <w:noProof/>
                <w:webHidden/>
              </w:rPr>
              <w:fldChar w:fldCharType="begin"/>
            </w:r>
            <w:r>
              <w:rPr>
                <w:noProof/>
                <w:webHidden/>
              </w:rPr>
              <w:instrText xml:space="preserve"> PAGEREF _Toc239495444 \h </w:instrText>
            </w:r>
            <w:r>
              <w:rPr>
                <w:noProof/>
                <w:webHidden/>
              </w:rPr>
            </w:r>
            <w:r>
              <w:rPr>
                <w:noProof/>
                <w:webHidden/>
              </w:rPr>
              <w:fldChar w:fldCharType="separate"/>
            </w:r>
            <w:r>
              <w:rPr>
                <w:noProof/>
                <w:webHidden/>
              </w:rPr>
              <w:t>13</w:t>
            </w:r>
            <w:r>
              <w:rPr>
                <w:noProof/>
                <w:webHidden/>
              </w:rPr>
              <w:fldChar w:fldCharType="end"/>
            </w:r>
          </w:hyperlink>
        </w:p>
        <w:p w14:paraId="44566C16" w14:textId="77777777" w:rsidR="00315F7F" w:rsidRDefault="00315F7F">
          <w:pPr>
            <w:pStyle w:val="TOC2"/>
            <w:tabs>
              <w:tab w:val="right" w:leader="dot" w:pos="9350"/>
            </w:tabs>
            <w:rPr>
              <w:noProof/>
            </w:rPr>
          </w:pPr>
          <w:hyperlink w:anchor="_Toc239495445" w:history="1">
            <w:r w:rsidRPr="00055CB5">
              <w:rPr>
                <w:rStyle w:val="Hyperlink"/>
                <w:noProof/>
              </w:rPr>
              <w:t>Farmhouse</w:t>
            </w:r>
            <w:r>
              <w:rPr>
                <w:noProof/>
                <w:webHidden/>
              </w:rPr>
              <w:tab/>
            </w:r>
            <w:r>
              <w:rPr>
                <w:noProof/>
                <w:webHidden/>
              </w:rPr>
              <w:fldChar w:fldCharType="begin"/>
            </w:r>
            <w:r>
              <w:rPr>
                <w:noProof/>
                <w:webHidden/>
              </w:rPr>
              <w:instrText xml:space="preserve"> PAGEREF _Toc239495445 \h </w:instrText>
            </w:r>
            <w:r>
              <w:rPr>
                <w:noProof/>
                <w:webHidden/>
              </w:rPr>
            </w:r>
            <w:r>
              <w:rPr>
                <w:noProof/>
                <w:webHidden/>
              </w:rPr>
              <w:fldChar w:fldCharType="separate"/>
            </w:r>
            <w:r>
              <w:rPr>
                <w:noProof/>
                <w:webHidden/>
              </w:rPr>
              <w:t>13</w:t>
            </w:r>
            <w:r>
              <w:rPr>
                <w:noProof/>
                <w:webHidden/>
              </w:rPr>
              <w:fldChar w:fldCharType="end"/>
            </w:r>
          </w:hyperlink>
        </w:p>
        <w:p w14:paraId="427D68CD" w14:textId="77777777" w:rsidR="00315F7F" w:rsidRDefault="00315F7F">
          <w:pPr>
            <w:pStyle w:val="TOC2"/>
            <w:tabs>
              <w:tab w:val="right" w:leader="dot" w:pos="9350"/>
            </w:tabs>
            <w:rPr>
              <w:noProof/>
            </w:rPr>
          </w:pPr>
          <w:hyperlink w:anchor="_Toc239495446" w:history="1">
            <w:r w:rsidRPr="00055CB5">
              <w:rPr>
                <w:rStyle w:val="Hyperlink"/>
                <w:noProof/>
              </w:rPr>
              <w:t>Folio</w:t>
            </w:r>
            <w:r>
              <w:rPr>
                <w:noProof/>
                <w:webHidden/>
              </w:rPr>
              <w:tab/>
            </w:r>
            <w:r>
              <w:rPr>
                <w:noProof/>
                <w:webHidden/>
              </w:rPr>
              <w:fldChar w:fldCharType="begin"/>
            </w:r>
            <w:r>
              <w:rPr>
                <w:noProof/>
                <w:webHidden/>
              </w:rPr>
              <w:instrText xml:space="preserve"> PAGEREF _Toc239495446 \h </w:instrText>
            </w:r>
            <w:r>
              <w:rPr>
                <w:noProof/>
                <w:webHidden/>
              </w:rPr>
            </w:r>
            <w:r>
              <w:rPr>
                <w:noProof/>
                <w:webHidden/>
              </w:rPr>
              <w:fldChar w:fldCharType="separate"/>
            </w:r>
            <w:r>
              <w:rPr>
                <w:noProof/>
                <w:webHidden/>
              </w:rPr>
              <w:t>17</w:t>
            </w:r>
            <w:r>
              <w:rPr>
                <w:noProof/>
                <w:webHidden/>
              </w:rPr>
              <w:fldChar w:fldCharType="end"/>
            </w:r>
          </w:hyperlink>
        </w:p>
        <w:p w14:paraId="602A4E06" w14:textId="77777777" w:rsidR="00315F7F" w:rsidRDefault="00315F7F">
          <w:pPr>
            <w:pStyle w:val="TOC3"/>
            <w:tabs>
              <w:tab w:val="right" w:leader="dot" w:pos="9350"/>
            </w:tabs>
            <w:rPr>
              <w:noProof/>
            </w:rPr>
          </w:pPr>
          <w:hyperlink w:anchor="_Toc239495447" w:history="1">
            <w:r w:rsidRPr="00055CB5">
              <w:rPr>
                <w:rStyle w:val="Hyperlink"/>
                <w:noProof/>
              </w:rPr>
              <w:t>Box 1</w:t>
            </w:r>
            <w:r>
              <w:rPr>
                <w:noProof/>
                <w:webHidden/>
              </w:rPr>
              <w:tab/>
            </w:r>
            <w:r>
              <w:rPr>
                <w:noProof/>
                <w:webHidden/>
              </w:rPr>
              <w:fldChar w:fldCharType="begin"/>
            </w:r>
            <w:r>
              <w:rPr>
                <w:noProof/>
                <w:webHidden/>
              </w:rPr>
              <w:instrText xml:space="preserve"> PAGEREF _Toc239495447 \h </w:instrText>
            </w:r>
            <w:r>
              <w:rPr>
                <w:noProof/>
                <w:webHidden/>
              </w:rPr>
            </w:r>
            <w:r>
              <w:rPr>
                <w:noProof/>
                <w:webHidden/>
              </w:rPr>
              <w:fldChar w:fldCharType="separate"/>
            </w:r>
            <w:r>
              <w:rPr>
                <w:noProof/>
                <w:webHidden/>
              </w:rPr>
              <w:t>17</w:t>
            </w:r>
            <w:r>
              <w:rPr>
                <w:noProof/>
                <w:webHidden/>
              </w:rPr>
              <w:fldChar w:fldCharType="end"/>
            </w:r>
          </w:hyperlink>
        </w:p>
        <w:p w14:paraId="520015F1" w14:textId="77777777" w:rsidR="00315F7F" w:rsidRDefault="00315F7F">
          <w:pPr>
            <w:pStyle w:val="TOC3"/>
            <w:tabs>
              <w:tab w:val="right" w:leader="dot" w:pos="9350"/>
            </w:tabs>
            <w:rPr>
              <w:noProof/>
            </w:rPr>
          </w:pPr>
          <w:hyperlink w:anchor="_Toc239495448" w:history="1">
            <w:r w:rsidRPr="00055CB5">
              <w:rPr>
                <w:rStyle w:val="Hyperlink"/>
                <w:noProof/>
              </w:rPr>
              <w:t>Box 2</w:t>
            </w:r>
            <w:r>
              <w:rPr>
                <w:noProof/>
                <w:webHidden/>
              </w:rPr>
              <w:tab/>
            </w:r>
            <w:r>
              <w:rPr>
                <w:noProof/>
                <w:webHidden/>
              </w:rPr>
              <w:fldChar w:fldCharType="begin"/>
            </w:r>
            <w:r>
              <w:rPr>
                <w:noProof/>
                <w:webHidden/>
              </w:rPr>
              <w:instrText xml:space="preserve"> PAGEREF _Toc239495448 \h </w:instrText>
            </w:r>
            <w:r>
              <w:rPr>
                <w:noProof/>
                <w:webHidden/>
              </w:rPr>
            </w:r>
            <w:r>
              <w:rPr>
                <w:noProof/>
                <w:webHidden/>
              </w:rPr>
              <w:fldChar w:fldCharType="separate"/>
            </w:r>
            <w:r>
              <w:rPr>
                <w:noProof/>
                <w:webHidden/>
              </w:rPr>
              <w:t>20</w:t>
            </w:r>
            <w:r>
              <w:rPr>
                <w:noProof/>
                <w:webHidden/>
              </w:rPr>
              <w:fldChar w:fldCharType="end"/>
            </w:r>
          </w:hyperlink>
        </w:p>
        <w:p w14:paraId="6856AF9E" w14:textId="77777777" w:rsidR="00315F7F" w:rsidRDefault="00315F7F">
          <w:pPr>
            <w:pStyle w:val="TOC1"/>
            <w:tabs>
              <w:tab w:val="right" w:leader="dot" w:pos="9350"/>
            </w:tabs>
            <w:rPr>
              <w:noProof/>
            </w:rPr>
          </w:pPr>
          <w:hyperlink w:anchor="_Toc239495449" w:history="1">
            <w:r w:rsidRPr="00055CB5">
              <w:rPr>
                <w:rStyle w:val="Hyperlink"/>
                <w:noProof/>
              </w:rPr>
              <w:t>Implementing HDTO in the Dēliņi Demonstrator</w:t>
            </w:r>
            <w:r>
              <w:rPr>
                <w:noProof/>
                <w:webHidden/>
              </w:rPr>
              <w:tab/>
            </w:r>
            <w:r>
              <w:rPr>
                <w:noProof/>
                <w:webHidden/>
              </w:rPr>
              <w:fldChar w:fldCharType="begin"/>
            </w:r>
            <w:r>
              <w:rPr>
                <w:noProof/>
                <w:webHidden/>
              </w:rPr>
              <w:instrText xml:space="preserve"> PAGEREF _Toc239495449 \h </w:instrText>
            </w:r>
            <w:r>
              <w:rPr>
                <w:noProof/>
                <w:webHidden/>
              </w:rPr>
            </w:r>
            <w:r>
              <w:rPr>
                <w:noProof/>
                <w:webHidden/>
              </w:rPr>
              <w:fldChar w:fldCharType="separate"/>
            </w:r>
            <w:r>
              <w:rPr>
                <w:noProof/>
                <w:webHidden/>
              </w:rPr>
              <w:t>22</w:t>
            </w:r>
            <w:r>
              <w:rPr>
                <w:noProof/>
                <w:webHidden/>
              </w:rPr>
              <w:fldChar w:fldCharType="end"/>
            </w:r>
          </w:hyperlink>
        </w:p>
        <w:p w14:paraId="609C1DE8" w14:textId="77777777" w:rsidR="00315F7F" w:rsidRDefault="00315F7F">
          <w:pPr>
            <w:pStyle w:val="TOC3"/>
            <w:tabs>
              <w:tab w:val="right" w:leader="dot" w:pos="9350"/>
            </w:tabs>
            <w:rPr>
              <w:noProof/>
            </w:rPr>
          </w:pPr>
          <w:hyperlink w:anchor="_Toc239495450" w:history="1">
            <w:r w:rsidRPr="00055CB5">
              <w:rPr>
                <w:rStyle w:val="Hyperlink"/>
                <w:noProof/>
              </w:rPr>
              <w:t>Human-centric semantic knowledge production</w:t>
            </w:r>
            <w:r>
              <w:rPr>
                <w:noProof/>
                <w:webHidden/>
              </w:rPr>
              <w:tab/>
            </w:r>
            <w:r>
              <w:rPr>
                <w:noProof/>
                <w:webHidden/>
              </w:rPr>
              <w:fldChar w:fldCharType="begin"/>
            </w:r>
            <w:r>
              <w:rPr>
                <w:noProof/>
                <w:webHidden/>
              </w:rPr>
              <w:instrText xml:space="preserve"> PAGEREF _Toc239495450 \h </w:instrText>
            </w:r>
            <w:r>
              <w:rPr>
                <w:noProof/>
                <w:webHidden/>
              </w:rPr>
            </w:r>
            <w:r>
              <w:rPr>
                <w:noProof/>
                <w:webHidden/>
              </w:rPr>
              <w:fldChar w:fldCharType="separate"/>
            </w:r>
            <w:r>
              <w:rPr>
                <w:noProof/>
                <w:webHidden/>
              </w:rPr>
              <w:t>22</w:t>
            </w:r>
            <w:r>
              <w:rPr>
                <w:noProof/>
                <w:webHidden/>
              </w:rPr>
              <w:fldChar w:fldCharType="end"/>
            </w:r>
          </w:hyperlink>
        </w:p>
        <w:p w14:paraId="6034417E" w14:textId="77777777" w:rsidR="00315F7F" w:rsidRDefault="00315F7F">
          <w:pPr>
            <w:pStyle w:val="TOC3"/>
            <w:tabs>
              <w:tab w:val="right" w:leader="dot" w:pos="9350"/>
            </w:tabs>
            <w:rPr>
              <w:noProof/>
            </w:rPr>
          </w:pPr>
          <w:hyperlink w:anchor="_Toc239495451" w:history="1">
            <w:r w:rsidRPr="00055CB5">
              <w:rPr>
                <w:rStyle w:val="Hyperlink"/>
                <w:noProof/>
              </w:rPr>
              <w:t>From evidence to reviewable claims</w:t>
            </w:r>
            <w:r>
              <w:rPr>
                <w:noProof/>
                <w:webHidden/>
              </w:rPr>
              <w:tab/>
            </w:r>
            <w:r>
              <w:rPr>
                <w:noProof/>
                <w:webHidden/>
              </w:rPr>
              <w:fldChar w:fldCharType="begin"/>
            </w:r>
            <w:r>
              <w:rPr>
                <w:noProof/>
                <w:webHidden/>
              </w:rPr>
              <w:instrText xml:space="preserve"> PAGEREF _Toc239495451 \h </w:instrText>
            </w:r>
            <w:r>
              <w:rPr>
                <w:noProof/>
                <w:webHidden/>
              </w:rPr>
            </w:r>
            <w:r>
              <w:rPr>
                <w:noProof/>
                <w:webHidden/>
              </w:rPr>
              <w:fldChar w:fldCharType="separate"/>
            </w:r>
            <w:r>
              <w:rPr>
                <w:noProof/>
                <w:webHidden/>
              </w:rPr>
              <w:t>23</w:t>
            </w:r>
            <w:r>
              <w:rPr>
                <w:noProof/>
                <w:webHidden/>
              </w:rPr>
              <w:fldChar w:fldCharType="end"/>
            </w:r>
          </w:hyperlink>
        </w:p>
        <w:p w14:paraId="4FC17469" w14:textId="77777777" w:rsidR="00315F7F" w:rsidRDefault="00315F7F">
          <w:pPr>
            <w:pStyle w:val="TOC3"/>
            <w:tabs>
              <w:tab w:val="right" w:leader="dot" w:pos="9350"/>
            </w:tabs>
            <w:rPr>
              <w:noProof/>
            </w:rPr>
          </w:pPr>
          <w:hyperlink w:anchor="_Toc239495452" w:history="1">
            <w:r w:rsidRPr="00055CB5">
              <w:rPr>
                <w:rStyle w:val="Hyperlink"/>
                <w:noProof/>
              </w:rPr>
              <w:t>The Betwixt review workbench</w:t>
            </w:r>
            <w:r>
              <w:rPr>
                <w:noProof/>
                <w:webHidden/>
              </w:rPr>
              <w:tab/>
            </w:r>
            <w:r>
              <w:rPr>
                <w:noProof/>
                <w:webHidden/>
              </w:rPr>
              <w:fldChar w:fldCharType="begin"/>
            </w:r>
            <w:r>
              <w:rPr>
                <w:noProof/>
                <w:webHidden/>
              </w:rPr>
              <w:instrText xml:space="preserve"> PAGEREF _Toc239495452 \h </w:instrText>
            </w:r>
            <w:r>
              <w:rPr>
                <w:noProof/>
                <w:webHidden/>
              </w:rPr>
            </w:r>
            <w:r>
              <w:rPr>
                <w:noProof/>
                <w:webHidden/>
              </w:rPr>
              <w:fldChar w:fldCharType="separate"/>
            </w:r>
            <w:r>
              <w:rPr>
                <w:noProof/>
                <w:webHidden/>
              </w:rPr>
              <w:t>24</w:t>
            </w:r>
            <w:r>
              <w:rPr>
                <w:noProof/>
                <w:webHidden/>
              </w:rPr>
              <w:fldChar w:fldCharType="end"/>
            </w:r>
          </w:hyperlink>
        </w:p>
        <w:p w14:paraId="4B9BC0BA" w14:textId="77777777" w:rsidR="00315F7F" w:rsidRDefault="00315F7F">
          <w:pPr>
            <w:pStyle w:val="TOC3"/>
            <w:tabs>
              <w:tab w:val="right" w:leader="dot" w:pos="9350"/>
            </w:tabs>
            <w:rPr>
              <w:noProof/>
            </w:rPr>
          </w:pPr>
          <w:hyperlink w:anchor="_Toc239495453" w:history="1">
            <w:r w:rsidRPr="00055CB5">
              <w:rPr>
                <w:rStyle w:val="Hyperlink"/>
                <w:noProof/>
              </w:rPr>
              <w:t>From reviewed knowledge to a Heritage Digital Twin</w:t>
            </w:r>
            <w:r>
              <w:rPr>
                <w:noProof/>
                <w:webHidden/>
              </w:rPr>
              <w:tab/>
            </w:r>
            <w:r>
              <w:rPr>
                <w:noProof/>
                <w:webHidden/>
              </w:rPr>
              <w:fldChar w:fldCharType="begin"/>
            </w:r>
            <w:r>
              <w:rPr>
                <w:noProof/>
                <w:webHidden/>
              </w:rPr>
              <w:instrText xml:space="preserve"> PAGEREF _Toc239495453 \h </w:instrText>
            </w:r>
            <w:r>
              <w:rPr>
                <w:noProof/>
                <w:webHidden/>
              </w:rPr>
            </w:r>
            <w:r>
              <w:rPr>
                <w:noProof/>
                <w:webHidden/>
              </w:rPr>
              <w:fldChar w:fldCharType="separate"/>
            </w:r>
            <w:r>
              <w:rPr>
                <w:noProof/>
                <w:webHidden/>
              </w:rPr>
              <w:t>25</w:t>
            </w:r>
            <w:r>
              <w:rPr>
                <w:noProof/>
                <w:webHidden/>
              </w:rPr>
              <w:fldChar w:fldCharType="end"/>
            </w:r>
          </w:hyperlink>
        </w:p>
        <w:p w14:paraId="313D7E95" w14:textId="77777777" w:rsidR="00315F7F" w:rsidRDefault="00315F7F">
          <w:pPr>
            <w:pStyle w:val="TOC3"/>
            <w:tabs>
              <w:tab w:val="right" w:leader="dot" w:pos="9350"/>
            </w:tabs>
            <w:rPr>
              <w:noProof/>
            </w:rPr>
          </w:pPr>
          <w:hyperlink w:anchor="_Toc239495454" w:history="1">
            <w:r w:rsidRPr="00055CB5">
              <w:rPr>
                <w:rStyle w:val="Hyperlink"/>
                <w:noProof/>
              </w:rPr>
              <w:t>How this relates to Wikibase</w:t>
            </w:r>
            <w:r>
              <w:rPr>
                <w:noProof/>
                <w:webHidden/>
              </w:rPr>
              <w:tab/>
            </w:r>
            <w:r>
              <w:rPr>
                <w:noProof/>
                <w:webHidden/>
              </w:rPr>
              <w:fldChar w:fldCharType="begin"/>
            </w:r>
            <w:r>
              <w:rPr>
                <w:noProof/>
                <w:webHidden/>
              </w:rPr>
              <w:instrText xml:space="preserve"> PAGEREF _Toc239495454 \h </w:instrText>
            </w:r>
            <w:r>
              <w:rPr>
                <w:noProof/>
                <w:webHidden/>
              </w:rPr>
            </w:r>
            <w:r>
              <w:rPr>
                <w:noProof/>
                <w:webHidden/>
              </w:rPr>
              <w:fldChar w:fldCharType="separate"/>
            </w:r>
            <w:r>
              <w:rPr>
                <w:noProof/>
                <w:webHidden/>
              </w:rPr>
              <w:t>26</w:t>
            </w:r>
            <w:r>
              <w:rPr>
                <w:noProof/>
                <w:webHidden/>
              </w:rPr>
              <w:fldChar w:fldCharType="end"/>
            </w:r>
          </w:hyperlink>
        </w:p>
        <w:p w14:paraId="1F2DD9E5" w14:textId="77777777" w:rsidR="00315F7F" w:rsidRDefault="00315F7F">
          <w:pPr>
            <w:pStyle w:val="TOC2"/>
            <w:tabs>
              <w:tab w:val="right" w:leader="dot" w:pos="9350"/>
            </w:tabs>
            <w:rPr>
              <w:noProof/>
            </w:rPr>
          </w:pPr>
          <w:hyperlink w:anchor="_Toc239495455" w:history="1">
            <w:r w:rsidRPr="00055CB5">
              <w:rPr>
                <w:rStyle w:val="Hyperlink"/>
                <w:noProof/>
              </w:rPr>
              <w:t>Alignment of the Wikibase Ontology and HDT-O</w:t>
            </w:r>
            <w:r>
              <w:rPr>
                <w:noProof/>
                <w:webHidden/>
              </w:rPr>
              <w:tab/>
            </w:r>
            <w:r>
              <w:rPr>
                <w:noProof/>
                <w:webHidden/>
              </w:rPr>
              <w:fldChar w:fldCharType="begin"/>
            </w:r>
            <w:r>
              <w:rPr>
                <w:noProof/>
                <w:webHidden/>
              </w:rPr>
              <w:instrText xml:space="preserve"> PAGEREF _Toc239495455 \h </w:instrText>
            </w:r>
            <w:r>
              <w:rPr>
                <w:noProof/>
                <w:webHidden/>
              </w:rPr>
            </w:r>
            <w:r>
              <w:rPr>
                <w:noProof/>
                <w:webHidden/>
              </w:rPr>
              <w:fldChar w:fldCharType="separate"/>
            </w:r>
            <w:r>
              <w:rPr>
                <w:noProof/>
                <w:webHidden/>
              </w:rPr>
              <w:t>27</w:t>
            </w:r>
            <w:r>
              <w:rPr>
                <w:noProof/>
                <w:webHidden/>
              </w:rPr>
              <w:fldChar w:fldCharType="end"/>
            </w:r>
          </w:hyperlink>
        </w:p>
        <w:p w14:paraId="3D0CEFC6" w14:textId="77777777" w:rsidR="00315F7F" w:rsidRDefault="00315F7F">
          <w:pPr>
            <w:pStyle w:val="TOC1"/>
            <w:tabs>
              <w:tab w:val="right" w:leader="dot" w:pos="9350"/>
            </w:tabs>
            <w:rPr>
              <w:noProof/>
            </w:rPr>
          </w:pPr>
          <w:hyperlink w:anchor="_Toc239495456" w:history="1">
            <w:r w:rsidRPr="00055CB5">
              <w:rPr>
                <w:rStyle w:val="Hyperlink"/>
                <w:noProof/>
              </w:rPr>
              <w:t>Glossary for Revision</w:t>
            </w:r>
            <w:r>
              <w:rPr>
                <w:noProof/>
                <w:webHidden/>
              </w:rPr>
              <w:tab/>
            </w:r>
            <w:r>
              <w:rPr>
                <w:noProof/>
                <w:webHidden/>
              </w:rPr>
              <w:fldChar w:fldCharType="begin"/>
            </w:r>
            <w:r>
              <w:rPr>
                <w:noProof/>
                <w:webHidden/>
              </w:rPr>
              <w:instrText xml:space="preserve"> PAGEREF _Toc239495456 \h </w:instrText>
            </w:r>
            <w:r>
              <w:rPr>
                <w:noProof/>
                <w:webHidden/>
              </w:rPr>
            </w:r>
            <w:r>
              <w:rPr>
                <w:noProof/>
                <w:webHidden/>
              </w:rPr>
              <w:fldChar w:fldCharType="separate"/>
            </w:r>
            <w:r>
              <w:rPr>
                <w:noProof/>
                <w:webHidden/>
              </w:rPr>
              <w:t>31</w:t>
            </w:r>
            <w:r>
              <w:rPr>
                <w:noProof/>
                <w:webHidden/>
              </w:rPr>
              <w:fldChar w:fldCharType="end"/>
            </w:r>
          </w:hyperlink>
        </w:p>
        <w:p w14:paraId="345740A5" w14:textId="77777777" w:rsidR="00315F7F" w:rsidRDefault="00315F7F">
          <w:pPr>
            <w:pStyle w:val="TOC1"/>
            <w:tabs>
              <w:tab w:val="right" w:leader="dot" w:pos="9350"/>
            </w:tabs>
            <w:rPr>
              <w:noProof/>
            </w:rPr>
          </w:pPr>
          <w:hyperlink w:anchor="_Toc239495457" w:history="1">
            <w:r w:rsidRPr="00055CB5">
              <w:rPr>
                <w:rStyle w:val="Hyperlink"/>
                <w:noProof/>
              </w:rPr>
              <w:t>Discussion of the HDTO Conceptual Model</w:t>
            </w:r>
            <w:r>
              <w:rPr>
                <w:noProof/>
                <w:webHidden/>
              </w:rPr>
              <w:tab/>
            </w:r>
            <w:r>
              <w:rPr>
                <w:noProof/>
                <w:webHidden/>
              </w:rPr>
              <w:fldChar w:fldCharType="begin"/>
            </w:r>
            <w:r>
              <w:rPr>
                <w:noProof/>
                <w:webHidden/>
              </w:rPr>
              <w:instrText xml:space="preserve"> PAGEREF _Toc239495457 \h </w:instrText>
            </w:r>
            <w:r>
              <w:rPr>
                <w:noProof/>
                <w:webHidden/>
              </w:rPr>
            </w:r>
            <w:r>
              <w:rPr>
                <w:noProof/>
                <w:webHidden/>
              </w:rPr>
              <w:fldChar w:fldCharType="separate"/>
            </w:r>
            <w:r>
              <w:rPr>
                <w:noProof/>
                <w:webHidden/>
              </w:rPr>
              <w:t>37</w:t>
            </w:r>
            <w:r>
              <w:rPr>
                <w:noProof/>
                <w:webHidden/>
              </w:rPr>
              <w:fldChar w:fldCharType="end"/>
            </w:r>
          </w:hyperlink>
        </w:p>
        <w:p w14:paraId="1257B8E2" w14:textId="77777777" w:rsidR="00315F7F" w:rsidRDefault="00315F7F">
          <w:pPr>
            <w:pStyle w:val="TOC2"/>
            <w:tabs>
              <w:tab w:val="right" w:leader="dot" w:pos="9350"/>
            </w:tabs>
            <w:rPr>
              <w:noProof/>
            </w:rPr>
          </w:pPr>
          <w:hyperlink w:anchor="_Toc239495458" w:history="1">
            <w:r w:rsidRPr="00055CB5">
              <w:rPr>
                <w:rStyle w:val="Hyperlink"/>
                <w:noProof/>
              </w:rPr>
              <w:t>From HDTO to an operational Heritage Digital Twin</w:t>
            </w:r>
            <w:r>
              <w:rPr>
                <w:noProof/>
                <w:webHidden/>
              </w:rPr>
              <w:tab/>
            </w:r>
            <w:r>
              <w:rPr>
                <w:noProof/>
                <w:webHidden/>
              </w:rPr>
              <w:fldChar w:fldCharType="begin"/>
            </w:r>
            <w:r>
              <w:rPr>
                <w:noProof/>
                <w:webHidden/>
              </w:rPr>
              <w:instrText xml:space="preserve"> PAGEREF _Toc239495458 \h </w:instrText>
            </w:r>
            <w:r>
              <w:rPr>
                <w:noProof/>
                <w:webHidden/>
              </w:rPr>
            </w:r>
            <w:r>
              <w:rPr>
                <w:noProof/>
                <w:webHidden/>
              </w:rPr>
              <w:fldChar w:fldCharType="separate"/>
            </w:r>
            <w:r>
              <w:rPr>
                <w:noProof/>
                <w:webHidden/>
              </w:rPr>
              <w:t>37</w:t>
            </w:r>
            <w:r>
              <w:rPr>
                <w:noProof/>
                <w:webHidden/>
              </w:rPr>
              <w:fldChar w:fldCharType="end"/>
            </w:r>
          </w:hyperlink>
        </w:p>
        <w:p w14:paraId="4A5C7FC1" w14:textId="77777777" w:rsidR="00315F7F" w:rsidRDefault="00315F7F">
          <w:pPr>
            <w:pStyle w:val="TOC3"/>
            <w:tabs>
              <w:tab w:val="right" w:leader="dot" w:pos="9350"/>
            </w:tabs>
            <w:rPr>
              <w:noProof/>
            </w:rPr>
          </w:pPr>
          <w:hyperlink w:anchor="_Toc239495459" w:history="1">
            <w:r w:rsidRPr="00055CB5">
              <w:rPr>
                <w:rStyle w:val="Hyperlink"/>
                <w:noProof/>
              </w:rPr>
              <w:t>HC1, HC2 and the Wikibase operational anchor</w:t>
            </w:r>
            <w:r>
              <w:rPr>
                <w:noProof/>
                <w:webHidden/>
              </w:rPr>
              <w:tab/>
            </w:r>
            <w:r>
              <w:rPr>
                <w:noProof/>
                <w:webHidden/>
              </w:rPr>
              <w:fldChar w:fldCharType="begin"/>
            </w:r>
            <w:r>
              <w:rPr>
                <w:noProof/>
                <w:webHidden/>
              </w:rPr>
              <w:instrText xml:space="preserve"> PAGEREF _Toc239495459 \h </w:instrText>
            </w:r>
            <w:r>
              <w:rPr>
                <w:noProof/>
                <w:webHidden/>
              </w:rPr>
            </w:r>
            <w:r>
              <w:rPr>
                <w:noProof/>
                <w:webHidden/>
              </w:rPr>
              <w:fldChar w:fldCharType="separate"/>
            </w:r>
            <w:r>
              <w:rPr>
                <w:noProof/>
                <w:webHidden/>
              </w:rPr>
              <w:t>37</w:t>
            </w:r>
            <w:r>
              <w:rPr>
                <w:noProof/>
                <w:webHidden/>
              </w:rPr>
              <w:fldChar w:fldCharType="end"/>
            </w:r>
          </w:hyperlink>
        </w:p>
        <w:p w14:paraId="599DFE28" w14:textId="77777777" w:rsidR="00315F7F" w:rsidRDefault="00315F7F">
          <w:pPr>
            <w:pStyle w:val="TOC3"/>
            <w:tabs>
              <w:tab w:val="right" w:leader="dot" w:pos="9350"/>
            </w:tabs>
            <w:rPr>
              <w:noProof/>
            </w:rPr>
          </w:pPr>
          <w:hyperlink w:anchor="_Toc239495460" w:history="1">
            <w:r w:rsidRPr="00055CB5">
              <w:rPr>
                <w:rStyle w:val="Hyperlink"/>
                <w:noProof/>
              </w:rPr>
              <w:t>Evidence, representations and the HC1/HC2 boundary</w:t>
            </w:r>
            <w:r>
              <w:rPr>
                <w:noProof/>
                <w:webHidden/>
              </w:rPr>
              <w:tab/>
            </w:r>
            <w:r>
              <w:rPr>
                <w:noProof/>
                <w:webHidden/>
              </w:rPr>
              <w:fldChar w:fldCharType="begin"/>
            </w:r>
            <w:r>
              <w:rPr>
                <w:noProof/>
                <w:webHidden/>
              </w:rPr>
              <w:instrText xml:space="preserve"> PAGEREF _Toc239495460 \h </w:instrText>
            </w:r>
            <w:r>
              <w:rPr>
                <w:noProof/>
                <w:webHidden/>
              </w:rPr>
            </w:r>
            <w:r>
              <w:rPr>
                <w:noProof/>
                <w:webHidden/>
              </w:rPr>
              <w:fldChar w:fldCharType="separate"/>
            </w:r>
            <w:r>
              <w:rPr>
                <w:noProof/>
                <w:webHidden/>
              </w:rPr>
              <w:t>39</w:t>
            </w:r>
            <w:r>
              <w:rPr>
                <w:noProof/>
                <w:webHidden/>
              </w:rPr>
              <w:fldChar w:fldCharType="end"/>
            </w:r>
          </w:hyperlink>
        </w:p>
        <w:p w14:paraId="1D2C25B7" w14:textId="77777777" w:rsidR="00315F7F" w:rsidRDefault="00315F7F">
          <w:pPr>
            <w:pStyle w:val="TOC3"/>
            <w:tabs>
              <w:tab w:val="right" w:leader="dot" w:pos="9350"/>
            </w:tabs>
            <w:rPr>
              <w:noProof/>
            </w:rPr>
          </w:pPr>
          <w:hyperlink w:anchor="_Toc239495461" w:history="1">
            <w:r w:rsidRPr="00055CB5">
              <w:rPr>
                <w:rStyle w:val="Hyperlink"/>
                <w:noProof/>
              </w:rPr>
              <w:t>Human review and semantic stabilisation</w:t>
            </w:r>
            <w:r>
              <w:rPr>
                <w:noProof/>
                <w:webHidden/>
              </w:rPr>
              <w:tab/>
            </w:r>
            <w:r>
              <w:rPr>
                <w:noProof/>
                <w:webHidden/>
              </w:rPr>
              <w:fldChar w:fldCharType="begin"/>
            </w:r>
            <w:r>
              <w:rPr>
                <w:noProof/>
                <w:webHidden/>
              </w:rPr>
              <w:instrText xml:space="preserve"> PAGEREF _Toc239495461 \h </w:instrText>
            </w:r>
            <w:r>
              <w:rPr>
                <w:noProof/>
                <w:webHidden/>
              </w:rPr>
            </w:r>
            <w:r>
              <w:rPr>
                <w:noProof/>
                <w:webHidden/>
              </w:rPr>
              <w:fldChar w:fldCharType="separate"/>
            </w:r>
            <w:r>
              <w:rPr>
                <w:noProof/>
                <w:webHidden/>
              </w:rPr>
              <w:t>40</w:t>
            </w:r>
            <w:r>
              <w:rPr>
                <w:noProof/>
                <w:webHidden/>
              </w:rPr>
              <w:fldChar w:fldCharType="end"/>
            </w:r>
          </w:hyperlink>
        </w:p>
        <w:p w14:paraId="41AFA783" w14:textId="77777777" w:rsidR="00315F7F" w:rsidRDefault="00315F7F">
          <w:pPr>
            <w:pStyle w:val="TOC3"/>
            <w:tabs>
              <w:tab w:val="right" w:leader="dot" w:pos="9350"/>
            </w:tabs>
            <w:rPr>
              <w:noProof/>
            </w:rPr>
          </w:pPr>
          <w:hyperlink w:anchor="_Toc239495462" w:history="1">
            <w:r w:rsidRPr="00055CB5">
              <w:rPr>
                <w:rStyle w:val="Hyperlink"/>
                <w:noProof/>
              </w:rPr>
              <w:t>HC11 Digital Twin Maintenance</w:t>
            </w:r>
            <w:r>
              <w:rPr>
                <w:noProof/>
                <w:webHidden/>
              </w:rPr>
              <w:tab/>
            </w:r>
            <w:r>
              <w:rPr>
                <w:noProof/>
                <w:webHidden/>
              </w:rPr>
              <w:fldChar w:fldCharType="begin"/>
            </w:r>
            <w:r>
              <w:rPr>
                <w:noProof/>
                <w:webHidden/>
              </w:rPr>
              <w:instrText xml:space="preserve"> PAGEREF _Toc239495462 \h </w:instrText>
            </w:r>
            <w:r>
              <w:rPr>
                <w:noProof/>
                <w:webHidden/>
              </w:rPr>
            </w:r>
            <w:r>
              <w:rPr>
                <w:noProof/>
                <w:webHidden/>
              </w:rPr>
              <w:fldChar w:fldCharType="separate"/>
            </w:r>
            <w:r>
              <w:rPr>
                <w:noProof/>
                <w:webHidden/>
              </w:rPr>
              <w:t>40</w:t>
            </w:r>
            <w:r>
              <w:rPr>
                <w:noProof/>
                <w:webHidden/>
              </w:rPr>
              <w:fldChar w:fldCharType="end"/>
            </w:r>
          </w:hyperlink>
        </w:p>
        <w:p w14:paraId="0ABA11C1" w14:textId="77777777" w:rsidR="00315F7F" w:rsidRDefault="00315F7F">
          <w:pPr>
            <w:pStyle w:val="TOC3"/>
            <w:tabs>
              <w:tab w:val="right" w:leader="dot" w:pos="9350"/>
            </w:tabs>
            <w:rPr>
              <w:noProof/>
            </w:rPr>
          </w:pPr>
          <w:hyperlink w:anchor="_Toc239495463" w:history="1">
            <w:r w:rsidRPr="00055CB5">
              <w:rPr>
                <w:rStyle w:val="Hyperlink"/>
                <w:noProof/>
              </w:rPr>
              <w:t>HC16 Heritage Proposition Sets and changing twin states</w:t>
            </w:r>
            <w:r>
              <w:rPr>
                <w:noProof/>
                <w:webHidden/>
              </w:rPr>
              <w:tab/>
            </w:r>
            <w:r>
              <w:rPr>
                <w:noProof/>
                <w:webHidden/>
              </w:rPr>
              <w:fldChar w:fldCharType="begin"/>
            </w:r>
            <w:r>
              <w:rPr>
                <w:noProof/>
                <w:webHidden/>
              </w:rPr>
              <w:instrText xml:space="preserve"> PAGEREF _Toc239495463 \h </w:instrText>
            </w:r>
            <w:r>
              <w:rPr>
                <w:noProof/>
                <w:webHidden/>
              </w:rPr>
            </w:r>
            <w:r>
              <w:rPr>
                <w:noProof/>
                <w:webHidden/>
              </w:rPr>
              <w:fldChar w:fldCharType="separate"/>
            </w:r>
            <w:r>
              <w:rPr>
                <w:noProof/>
                <w:webHidden/>
              </w:rPr>
              <w:t>41</w:t>
            </w:r>
            <w:r>
              <w:rPr>
                <w:noProof/>
                <w:webHidden/>
              </w:rPr>
              <w:fldChar w:fldCharType="end"/>
            </w:r>
          </w:hyperlink>
        </w:p>
        <w:p w14:paraId="1F47BF54" w14:textId="77777777" w:rsidR="00315F7F" w:rsidRDefault="00315F7F">
          <w:pPr>
            <w:pStyle w:val="TOC3"/>
            <w:tabs>
              <w:tab w:val="right" w:leader="dot" w:pos="9350"/>
            </w:tabs>
            <w:rPr>
              <w:noProof/>
            </w:rPr>
          </w:pPr>
          <w:hyperlink w:anchor="_Toc239495464" w:history="1">
            <w:r w:rsidRPr="00055CB5">
              <w:rPr>
                <w:rStyle w:val="Hyperlink"/>
                <w:noProof/>
              </w:rPr>
              <w:t>Volatile twins and persistent snapshots</w:t>
            </w:r>
            <w:r>
              <w:rPr>
                <w:noProof/>
                <w:webHidden/>
              </w:rPr>
              <w:tab/>
            </w:r>
            <w:r>
              <w:rPr>
                <w:noProof/>
                <w:webHidden/>
              </w:rPr>
              <w:fldChar w:fldCharType="begin"/>
            </w:r>
            <w:r>
              <w:rPr>
                <w:noProof/>
                <w:webHidden/>
              </w:rPr>
              <w:instrText xml:space="preserve"> PAGEREF _Toc239495464 \h </w:instrText>
            </w:r>
            <w:r>
              <w:rPr>
                <w:noProof/>
                <w:webHidden/>
              </w:rPr>
            </w:r>
            <w:r>
              <w:rPr>
                <w:noProof/>
                <w:webHidden/>
              </w:rPr>
              <w:fldChar w:fldCharType="separate"/>
            </w:r>
            <w:r>
              <w:rPr>
                <w:noProof/>
                <w:webHidden/>
              </w:rPr>
              <w:t>42</w:t>
            </w:r>
            <w:r>
              <w:rPr>
                <w:noProof/>
                <w:webHidden/>
              </w:rPr>
              <w:fldChar w:fldCharType="end"/>
            </w:r>
          </w:hyperlink>
        </w:p>
        <w:p w14:paraId="1E83C56C" w14:textId="77777777" w:rsidR="00315F7F" w:rsidRDefault="00315F7F">
          <w:pPr>
            <w:pStyle w:val="TOC3"/>
            <w:tabs>
              <w:tab w:val="right" w:leader="dot" w:pos="9350"/>
            </w:tabs>
            <w:rPr>
              <w:noProof/>
            </w:rPr>
          </w:pPr>
          <w:hyperlink w:anchor="_Toc239495465" w:history="1">
            <w:r w:rsidRPr="00055CB5">
              <w:rPr>
                <w:rStyle w:val="Hyperlink"/>
                <w:noProof/>
              </w:rPr>
              <w:t>Wikibase and HDTO as complementary representations</w:t>
            </w:r>
            <w:r>
              <w:rPr>
                <w:noProof/>
                <w:webHidden/>
              </w:rPr>
              <w:tab/>
            </w:r>
            <w:r>
              <w:rPr>
                <w:noProof/>
                <w:webHidden/>
              </w:rPr>
              <w:fldChar w:fldCharType="begin"/>
            </w:r>
            <w:r>
              <w:rPr>
                <w:noProof/>
                <w:webHidden/>
              </w:rPr>
              <w:instrText xml:space="preserve"> PAGEREF _Toc239495465 \h </w:instrText>
            </w:r>
            <w:r>
              <w:rPr>
                <w:noProof/>
                <w:webHidden/>
              </w:rPr>
            </w:r>
            <w:r>
              <w:rPr>
                <w:noProof/>
                <w:webHidden/>
              </w:rPr>
              <w:fldChar w:fldCharType="separate"/>
            </w:r>
            <w:r>
              <w:rPr>
                <w:noProof/>
                <w:webHidden/>
              </w:rPr>
              <w:t>43</w:t>
            </w:r>
            <w:r>
              <w:rPr>
                <w:noProof/>
                <w:webHidden/>
              </w:rPr>
              <w:fldChar w:fldCharType="end"/>
            </w:r>
          </w:hyperlink>
        </w:p>
        <w:p w14:paraId="403973C9" w14:textId="77777777" w:rsidR="00315F7F" w:rsidRDefault="00315F7F">
          <w:pPr>
            <w:pStyle w:val="TOC2"/>
            <w:tabs>
              <w:tab w:val="right" w:leader="dot" w:pos="9350"/>
            </w:tabs>
            <w:rPr>
              <w:noProof/>
            </w:rPr>
          </w:pPr>
          <w:hyperlink w:anchor="_Toc239495466" w:history="1">
            <w:r w:rsidRPr="00055CB5">
              <w:rPr>
                <w:rStyle w:val="Hyperlink"/>
                <w:noProof/>
              </w:rPr>
              <w:t>Implementation questions exposed by the Dēliņi demonstrator</w:t>
            </w:r>
            <w:r>
              <w:rPr>
                <w:noProof/>
                <w:webHidden/>
              </w:rPr>
              <w:tab/>
            </w:r>
            <w:r>
              <w:rPr>
                <w:noProof/>
                <w:webHidden/>
              </w:rPr>
              <w:fldChar w:fldCharType="begin"/>
            </w:r>
            <w:r>
              <w:rPr>
                <w:noProof/>
                <w:webHidden/>
              </w:rPr>
              <w:instrText xml:space="preserve"> PAGEREF _Toc239495466 \h </w:instrText>
            </w:r>
            <w:r>
              <w:rPr>
                <w:noProof/>
                <w:webHidden/>
              </w:rPr>
            </w:r>
            <w:r>
              <w:rPr>
                <w:noProof/>
                <w:webHidden/>
              </w:rPr>
              <w:fldChar w:fldCharType="separate"/>
            </w:r>
            <w:r>
              <w:rPr>
                <w:noProof/>
                <w:webHidden/>
              </w:rPr>
              <w:t>43</w:t>
            </w:r>
            <w:r>
              <w:rPr>
                <w:noProof/>
                <w:webHidden/>
              </w:rPr>
              <w:fldChar w:fldCharType="end"/>
            </w:r>
          </w:hyperlink>
        </w:p>
        <w:p w14:paraId="771BBEA8" w14:textId="77777777" w:rsidR="00315F7F" w:rsidRDefault="00315F7F">
          <w:pPr>
            <w:pStyle w:val="TOC3"/>
            <w:tabs>
              <w:tab w:val="right" w:leader="dot" w:pos="9350"/>
            </w:tabs>
            <w:rPr>
              <w:noProof/>
            </w:rPr>
          </w:pPr>
          <w:hyperlink w:anchor="_Toc239495467" w:history="1">
            <w:r w:rsidRPr="00055CB5">
              <w:rPr>
                <w:rStyle w:val="Hyperlink"/>
                <w:noProof/>
              </w:rPr>
              <w:t>What belongs in the graph?</w:t>
            </w:r>
            <w:r>
              <w:rPr>
                <w:noProof/>
                <w:webHidden/>
              </w:rPr>
              <w:tab/>
            </w:r>
            <w:r>
              <w:rPr>
                <w:noProof/>
                <w:webHidden/>
              </w:rPr>
              <w:fldChar w:fldCharType="begin"/>
            </w:r>
            <w:r>
              <w:rPr>
                <w:noProof/>
                <w:webHidden/>
              </w:rPr>
              <w:instrText xml:space="preserve"> PAGEREF _Toc239495467 \h </w:instrText>
            </w:r>
            <w:r>
              <w:rPr>
                <w:noProof/>
                <w:webHidden/>
              </w:rPr>
            </w:r>
            <w:r>
              <w:rPr>
                <w:noProof/>
                <w:webHidden/>
              </w:rPr>
              <w:fldChar w:fldCharType="separate"/>
            </w:r>
            <w:r>
              <w:rPr>
                <w:noProof/>
                <w:webHidden/>
              </w:rPr>
              <w:t>44</w:t>
            </w:r>
            <w:r>
              <w:rPr>
                <w:noProof/>
                <w:webHidden/>
              </w:rPr>
              <w:fldChar w:fldCharType="end"/>
            </w:r>
          </w:hyperlink>
        </w:p>
        <w:p w14:paraId="7E6E2EA9" w14:textId="77777777" w:rsidR="00315F7F" w:rsidRDefault="00315F7F">
          <w:pPr>
            <w:pStyle w:val="TOC3"/>
            <w:tabs>
              <w:tab w:val="right" w:leader="dot" w:pos="9350"/>
            </w:tabs>
            <w:rPr>
              <w:noProof/>
            </w:rPr>
          </w:pPr>
          <w:hyperlink w:anchor="_Toc239495468" w:history="1">
            <w:r w:rsidRPr="00055CB5">
              <w:rPr>
                <w:rStyle w:val="Hyperlink"/>
                <w:noProof/>
              </w:rPr>
              <w:t>Digital representations, working files and external evidence</w:t>
            </w:r>
            <w:r>
              <w:rPr>
                <w:noProof/>
                <w:webHidden/>
              </w:rPr>
              <w:tab/>
            </w:r>
            <w:r>
              <w:rPr>
                <w:noProof/>
                <w:webHidden/>
              </w:rPr>
              <w:fldChar w:fldCharType="begin"/>
            </w:r>
            <w:r>
              <w:rPr>
                <w:noProof/>
                <w:webHidden/>
              </w:rPr>
              <w:instrText xml:space="preserve"> PAGEREF _Toc239495468 \h </w:instrText>
            </w:r>
            <w:r>
              <w:rPr>
                <w:noProof/>
                <w:webHidden/>
              </w:rPr>
            </w:r>
            <w:r>
              <w:rPr>
                <w:noProof/>
                <w:webHidden/>
              </w:rPr>
              <w:fldChar w:fldCharType="separate"/>
            </w:r>
            <w:r>
              <w:rPr>
                <w:noProof/>
                <w:webHidden/>
              </w:rPr>
              <w:t>44</w:t>
            </w:r>
            <w:r>
              <w:rPr>
                <w:noProof/>
                <w:webHidden/>
              </w:rPr>
              <w:fldChar w:fldCharType="end"/>
            </w:r>
          </w:hyperlink>
        </w:p>
        <w:p w14:paraId="6400FE81" w14:textId="77777777" w:rsidR="00315F7F" w:rsidRDefault="00315F7F">
          <w:pPr>
            <w:pStyle w:val="TOC3"/>
            <w:tabs>
              <w:tab w:val="right" w:leader="dot" w:pos="9350"/>
            </w:tabs>
            <w:rPr>
              <w:noProof/>
            </w:rPr>
          </w:pPr>
          <w:hyperlink w:anchor="_Toc239495469" w:history="1">
            <w:r w:rsidRPr="00055CB5">
              <w:rPr>
                <w:rStyle w:val="Hyperlink"/>
                <w:noProof/>
              </w:rPr>
              <w:t>Inspection contexts and overlapping twins</w:t>
            </w:r>
            <w:r>
              <w:rPr>
                <w:noProof/>
                <w:webHidden/>
              </w:rPr>
              <w:tab/>
            </w:r>
            <w:r>
              <w:rPr>
                <w:noProof/>
                <w:webHidden/>
              </w:rPr>
              <w:fldChar w:fldCharType="begin"/>
            </w:r>
            <w:r>
              <w:rPr>
                <w:noProof/>
                <w:webHidden/>
              </w:rPr>
              <w:instrText xml:space="preserve"> PAGEREF _Toc239495469 \h </w:instrText>
            </w:r>
            <w:r>
              <w:rPr>
                <w:noProof/>
                <w:webHidden/>
              </w:rPr>
            </w:r>
            <w:r>
              <w:rPr>
                <w:noProof/>
                <w:webHidden/>
              </w:rPr>
              <w:fldChar w:fldCharType="separate"/>
            </w:r>
            <w:r>
              <w:rPr>
                <w:noProof/>
                <w:webHidden/>
              </w:rPr>
              <w:t>45</w:t>
            </w:r>
            <w:r>
              <w:rPr>
                <w:noProof/>
                <w:webHidden/>
              </w:rPr>
              <w:fldChar w:fldCharType="end"/>
            </w:r>
          </w:hyperlink>
        </w:p>
        <w:p w14:paraId="15309779" w14:textId="77777777" w:rsidR="00315F7F" w:rsidRDefault="00315F7F">
          <w:pPr>
            <w:pStyle w:val="TOC3"/>
            <w:tabs>
              <w:tab w:val="right" w:leader="dot" w:pos="9350"/>
            </w:tabs>
            <w:rPr>
              <w:noProof/>
            </w:rPr>
          </w:pPr>
          <w:hyperlink w:anchor="_Toc239495470" w:history="1">
            <w:r w:rsidRPr="00055CB5">
              <w:rPr>
                <w:rStyle w:val="Hyperlink"/>
                <w:noProof/>
              </w:rPr>
              <w:t>Mereology and relationships between Heritage Digital Twins</w:t>
            </w:r>
            <w:r>
              <w:rPr>
                <w:noProof/>
                <w:webHidden/>
              </w:rPr>
              <w:tab/>
            </w:r>
            <w:r>
              <w:rPr>
                <w:noProof/>
                <w:webHidden/>
              </w:rPr>
              <w:fldChar w:fldCharType="begin"/>
            </w:r>
            <w:r>
              <w:rPr>
                <w:noProof/>
                <w:webHidden/>
              </w:rPr>
              <w:instrText xml:space="preserve"> PAGEREF _Toc239495470 \h </w:instrText>
            </w:r>
            <w:r>
              <w:rPr>
                <w:noProof/>
                <w:webHidden/>
              </w:rPr>
            </w:r>
            <w:r>
              <w:rPr>
                <w:noProof/>
                <w:webHidden/>
              </w:rPr>
              <w:fldChar w:fldCharType="separate"/>
            </w:r>
            <w:r>
              <w:rPr>
                <w:noProof/>
                <w:webHidden/>
              </w:rPr>
              <w:t>46</w:t>
            </w:r>
            <w:r>
              <w:rPr>
                <w:noProof/>
                <w:webHidden/>
              </w:rPr>
              <w:fldChar w:fldCharType="end"/>
            </w:r>
          </w:hyperlink>
        </w:p>
        <w:p w14:paraId="042FB30F" w14:textId="77777777" w:rsidR="00315F7F" w:rsidRDefault="00315F7F">
          <w:pPr>
            <w:pStyle w:val="TOC3"/>
            <w:tabs>
              <w:tab w:val="right" w:leader="dot" w:pos="9350"/>
            </w:tabs>
            <w:rPr>
              <w:noProof/>
            </w:rPr>
          </w:pPr>
          <w:hyperlink w:anchor="_Toc239495471" w:history="1">
            <w:r w:rsidRPr="00055CB5">
              <w:rPr>
                <w:rStyle w:val="Hyperlink"/>
                <w:noProof/>
              </w:rPr>
              <w:t>Evidence, provenance and normative decisions</w:t>
            </w:r>
            <w:r>
              <w:rPr>
                <w:noProof/>
                <w:webHidden/>
              </w:rPr>
              <w:tab/>
            </w:r>
            <w:r>
              <w:rPr>
                <w:noProof/>
                <w:webHidden/>
              </w:rPr>
              <w:fldChar w:fldCharType="begin"/>
            </w:r>
            <w:r>
              <w:rPr>
                <w:noProof/>
                <w:webHidden/>
              </w:rPr>
              <w:instrText xml:space="preserve"> PAGEREF _Toc239495471 \h </w:instrText>
            </w:r>
            <w:r>
              <w:rPr>
                <w:noProof/>
                <w:webHidden/>
              </w:rPr>
            </w:r>
            <w:r>
              <w:rPr>
                <w:noProof/>
                <w:webHidden/>
              </w:rPr>
              <w:fldChar w:fldCharType="separate"/>
            </w:r>
            <w:r>
              <w:rPr>
                <w:noProof/>
                <w:webHidden/>
              </w:rPr>
              <w:t>47</w:t>
            </w:r>
            <w:r>
              <w:rPr>
                <w:noProof/>
                <w:webHidden/>
              </w:rPr>
              <w:fldChar w:fldCharType="end"/>
            </w:r>
          </w:hyperlink>
        </w:p>
        <w:p w14:paraId="34F4FF78" w14:textId="77777777" w:rsidR="00315F7F" w:rsidRDefault="00315F7F">
          <w:pPr>
            <w:pStyle w:val="TOC2"/>
            <w:tabs>
              <w:tab w:val="right" w:leader="dot" w:pos="9350"/>
            </w:tabs>
            <w:rPr>
              <w:noProof/>
            </w:rPr>
          </w:pPr>
          <w:hyperlink w:anchor="_Toc239495472" w:history="1">
            <w:r w:rsidRPr="00055CB5">
              <w:rPr>
                <w:rStyle w:val="Hyperlink"/>
                <w:noProof/>
              </w:rPr>
              <w:t>Implications for HDTO</w:t>
            </w:r>
            <w:r>
              <w:rPr>
                <w:noProof/>
                <w:webHidden/>
              </w:rPr>
              <w:tab/>
            </w:r>
            <w:r>
              <w:rPr>
                <w:noProof/>
                <w:webHidden/>
              </w:rPr>
              <w:fldChar w:fldCharType="begin"/>
            </w:r>
            <w:r>
              <w:rPr>
                <w:noProof/>
                <w:webHidden/>
              </w:rPr>
              <w:instrText xml:space="preserve"> PAGEREF _Toc239495472 \h </w:instrText>
            </w:r>
            <w:r>
              <w:rPr>
                <w:noProof/>
                <w:webHidden/>
              </w:rPr>
            </w:r>
            <w:r>
              <w:rPr>
                <w:noProof/>
                <w:webHidden/>
              </w:rPr>
              <w:fldChar w:fldCharType="separate"/>
            </w:r>
            <w:r>
              <w:rPr>
                <w:noProof/>
                <w:webHidden/>
              </w:rPr>
              <w:t>48</w:t>
            </w:r>
            <w:r>
              <w:rPr>
                <w:noProof/>
                <w:webHidden/>
              </w:rPr>
              <w:fldChar w:fldCharType="end"/>
            </w:r>
          </w:hyperlink>
        </w:p>
        <w:p w14:paraId="35F98133" w14:textId="77777777" w:rsidR="00315F7F" w:rsidRDefault="00315F7F">
          <w:pPr>
            <w:pStyle w:val="TOC3"/>
            <w:tabs>
              <w:tab w:val="right" w:leader="dot" w:pos="9350"/>
            </w:tabs>
            <w:rPr>
              <w:noProof/>
            </w:rPr>
          </w:pPr>
          <w:hyperlink w:anchor="_Toc239495473" w:history="1">
            <w:r w:rsidRPr="00055CB5">
              <w:rPr>
                <w:rStyle w:val="Hyperlink"/>
                <w:noProof/>
              </w:rPr>
              <w:t>What HDTO 1.1 already models well</w:t>
            </w:r>
            <w:r>
              <w:rPr>
                <w:noProof/>
                <w:webHidden/>
              </w:rPr>
              <w:tab/>
            </w:r>
            <w:r>
              <w:rPr>
                <w:noProof/>
                <w:webHidden/>
              </w:rPr>
              <w:fldChar w:fldCharType="begin"/>
            </w:r>
            <w:r>
              <w:rPr>
                <w:noProof/>
                <w:webHidden/>
              </w:rPr>
              <w:instrText xml:space="preserve"> PAGEREF _Toc239495473 \h </w:instrText>
            </w:r>
            <w:r>
              <w:rPr>
                <w:noProof/>
                <w:webHidden/>
              </w:rPr>
            </w:r>
            <w:r>
              <w:rPr>
                <w:noProof/>
                <w:webHidden/>
              </w:rPr>
              <w:fldChar w:fldCharType="separate"/>
            </w:r>
            <w:r>
              <w:rPr>
                <w:noProof/>
                <w:webHidden/>
              </w:rPr>
              <w:t>49</w:t>
            </w:r>
            <w:r>
              <w:rPr>
                <w:noProof/>
                <w:webHidden/>
              </w:rPr>
              <w:fldChar w:fldCharType="end"/>
            </w:r>
          </w:hyperlink>
        </w:p>
        <w:p w14:paraId="3FDE5CDE" w14:textId="77777777" w:rsidR="00315F7F" w:rsidRDefault="00315F7F">
          <w:pPr>
            <w:pStyle w:val="TOC3"/>
            <w:tabs>
              <w:tab w:val="right" w:leader="dot" w:pos="9350"/>
            </w:tabs>
            <w:rPr>
              <w:noProof/>
            </w:rPr>
          </w:pPr>
          <w:hyperlink w:anchor="_Toc239495474" w:history="1">
            <w:r w:rsidRPr="00055CB5">
              <w:rPr>
                <w:rStyle w:val="Hyperlink"/>
                <w:noProof/>
              </w:rPr>
              <w:t>What the implementation framework must supply</w:t>
            </w:r>
            <w:r>
              <w:rPr>
                <w:noProof/>
                <w:webHidden/>
              </w:rPr>
              <w:tab/>
            </w:r>
            <w:r>
              <w:rPr>
                <w:noProof/>
                <w:webHidden/>
              </w:rPr>
              <w:fldChar w:fldCharType="begin"/>
            </w:r>
            <w:r>
              <w:rPr>
                <w:noProof/>
                <w:webHidden/>
              </w:rPr>
              <w:instrText xml:space="preserve"> PAGEREF _Toc239495474 \h </w:instrText>
            </w:r>
            <w:r>
              <w:rPr>
                <w:noProof/>
                <w:webHidden/>
              </w:rPr>
            </w:r>
            <w:r>
              <w:rPr>
                <w:noProof/>
                <w:webHidden/>
              </w:rPr>
              <w:fldChar w:fldCharType="separate"/>
            </w:r>
            <w:r>
              <w:rPr>
                <w:noProof/>
                <w:webHidden/>
              </w:rPr>
              <w:t>50</w:t>
            </w:r>
            <w:r>
              <w:rPr>
                <w:noProof/>
                <w:webHidden/>
              </w:rPr>
              <w:fldChar w:fldCharType="end"/>
            </w:r>
          </w:hyperlink>
        </w:p>
        <w:p w14:paraId="509D743C" w14:textId="77777777" w:rsidR="00315F7F" w:rsidRDefault="00315F7F">
          <w:pPr>
            <w:pStyle w:val="TOC3"/>
            <w:tabs>
              <w:tab w:val="right" w:leader="dot" w:pos="9350"/>
            </w:tabs>
            <w:rPr>
              <w:noProof/>
            </w:rPr>
          </w:pPr>
          <w:hyperlink w:anchor="_Toc239495475" w:history="1">
            <w:r w:rsidRPr="00055CB5">
              <w:rPr>
                <w:rStyle w:val="Hyperlink"/>
                <w:noProof/>
              </w:rPr>
              <w:t>Questions for further development of HDTO</w:t>
            </w:r>
            <w:r>
              <w:rPr>
                <w:noProof/>
                <w:webHidden/>
              </w:rPr>
              <w:tab/>
            </w:r>
            <w:r>
              <w:rPr>
                <w:noProof/>
                <w:webHidden/>
              </w:rPr>
              <w:fldChar w:fldCharType="begin"/>
            </w:r>
            <w:r>
              <w:rPr>
                <w:noProof/>
                <w:webHidden/>
              </w:rPr>
              <w:instrText xml:space="preserve"> PAGEREF _Toc239495475 \h </w:instrText>
            </w:r>
            <w:r>
              <w:rPr>
                <w:noProof/>
                <w:webHidden/>
              </w:rPr>
            </w:r>
            <w:r>
              <w:rPr>
                <w:noProof/>
                <w:webHidden/>
              </w:rPr>
              <w:fldChar w:fldCharType="separate"/>
            </w:r>
            <w:r>
              <w:rPr>
                <w:noProof/>
                <w:webHidden/>
              </w:rPr>
              <w:t>51</w:t>
            </w:r>
            <w:r>
              <w:rPr>
                <w:noProof/>
                <w:webHidden/>
              </w:rPr>
              <w:fldChar w:fldCharType="end"/>
            </w:r>
          </w:hyperlink>
        </w:p>
        <w:p w14:paraId="4380F57E" w14:textId="77777777" w:rsidR="00315F7F" w:rsidRDefault="00315F7F">
          <w:pPr>
            <w:pStyle w:val="TOC1"/>
            <w:tabs>
              <w:tab w:val="right" w:leader="dot" w:pos="9350"/>
            </w:tabs>
            <w:rPr>
              <w:noProof/>
            </w:rPr>
          </w:pPr>
          <w:hyperlink w:anchor="_Toc239495476" w:history="1">
            <w:r w:rsidRPr="00055CB5">
              <w:rPr>
                <w:rStyle w:val="Hyperlink"/>
                <w:noProof/>
              </w:rPr>
              <w:t>References</w:t>
            </w:r>
            <w:r>
              <w:rPr>
                <w:noProof/>
                <w:webHidden/>
              </w:rPr>
              <w:tab/>
            </w:r>
            <w:r>
              <w:rPr>
                <w:noProof/>
                <w:webHidden/>
              </w:rPr>
              <w:fldChar w:fldCharType="begin"/>
            </w:r>
            <w:r>
              <w:rPr>
                <w:noProof/>
                <w:webHidden/>
              </w:rPr>
              <w:instrText xml:space="preserve"> PAGEREF _Toc239495476 \h </w:instrText>
            </w:r>
            <w:r>
              <w:rPr>
                <w:noProof/>
                <w:webHidden/>
              </w:rPr>
            </w:r>
            <w:r>
              <w:rPr>
                <w:noProof/>
                <w:webHidden/>
              </w:rPr>
              <w:fldChar w:fldCharType="separate"/>
            </w:r>
            <w:r>
              <w:rPr>
                <w:noProof/>
                <w:webHidden/>
              </w:rPr>
              <w:t>53</w:t>
            </w:r>
            <w:r>
              <w:rPr>
                <w:noProof/>
                <w:webHidden/>
              </w:rPr>
              <w:fldChar w:fldCharType="end"/>
            </w:r>
          </w:hyperlink>
        </w:p>
        <w:p w14:paraId="4556B87E" w14:textId="77777777" w:rsidR="00CE0A95" w:rsidRDefault="00000000">
          <w:r>
            <w:fldChar w:fldCharType="end"/>
          </w:r>
        </w:p>
      </w:sdtContent>
    </w:sdt>
    <w:p w14:paraId="2AF08BD2" w14:textId="77777777" w:rsidR="00CE0A95" w:rsidRDefault="00000000">
      <w:pPr>
        <w:pStyle w:val="FirstParagraph"/>
      </w:pPr>
      <w:r>
        <w:rPr>
          <w:b/>
          <w:bCs/>
        </w:rPr>
        <w:t>Author:</w:t>
      </w:r>
      <w:r>
        <w:t xml:space="preserve"> Daniel Antal | </w:t>
      </w:r>
      <w:r>
        <w:rPr>
          <w:b/>
          <w:bCs/>
        </w:rPr>
        <w:t>ORCID:</w:t>
      </w:r>
      <w:r>
        <w:t xml:space="preserve"> </w:t>
      </w:r>
      <w:hyperlink r:id="rId7">
        <w:r>
          <w:rPr>
            <w:rStyle w:val="Hyperlink"/>
          </w:rPr>
          <w:t>0000-0001-7513-6760</w:t>
        </w:r>
      </w:hyperlink>
      <w:r>
        <w:t xml:space="preserve"> | </w:t>
      </w:r>
      <w:r>
        <w:rPr>
          <w:b/>
          <w:bCs/>
        </w:rPr>
        <w:t>Google Scholar:</w:t>
      </w:r>
      <w:r>
        <w:t xml:space="preserve"> </w:t>
      </w:r>
      <w:hyperlink r:id="rId8">
        <w:r>
          <w:rPr>
            <w:rStyle w:val="Hyperlink"/>
          </w:rPr>
          <w:t>Daniel Antal</w:t>
        </w:r>
      </w:hyperlink>
      <w:r>
        <w:t xml:space="preserve"> | </w:t>
      </w:r>
      <w:r>
        <w:rPr>
          <w:b/>
          <w:bCs/>
        </w:rPr>
        <w:t>Contact:</w:t>
      </w:r>
      <w:r>
        <w:t xml:space="preserve"> </w:t>
      </w:r>
      <w:hyperlink r:id="rId9">
        <w:proofErr w:type="spellStart"/>
        <w:r>
          <w:rPr>
            <w:rStyle w:val="Hyperlink"/>
          </w:rPr>
          <w:t>Reprex</w:t>
        </w:r>
        <w:proofErr w:type="spellEnd"/>
      </w:hyperlink>
    </w:p>
    <w:p w14:paraId="6930CD28" w14:textId="77777777" w:rsidR="00CE0A95" w:rsidRDefault="00000000">
      <w:pPr>
        <w:pStyle w:val="BodyText"/>
      </w:pPr>
      <w:r>
        <w:t xml:space="preserve">This working paper presents the </w:t>
      </w:r>
      <w:r>
        <w:rPr>
          <w:b/>
          <w:bCs/>
        </w:rPr>
        <w:t>Dēliņi Farmstead demonstrator</w:t>
      </w:r>
      <w:r>
        <w:t xml:space="preserve"> as an applied implementation of the Heritage Digital Twin Ontology (HDT-O) and situates it within a wider research programme on human-centric semantic knowledge production. It examines how heterogeneous museum, archival, bibliographic, linguistic, and photographic evidence can be transformed into reviewable claims, maintained as structured knowledge in Wikibase, and projected into an HDTO-compliant Heritage Digital Twin.</w:t>
      </w:r>
    </w:p>
    <w:p w14:paraId="103B5785" w14:textId="77777777" w:rsidR="00CE0A95" w:rsidRDefault="00000000">
      <w:pPr>
        <w:pStyle w:val="BodyText"/>
      </w:pPr>
      <w:r>
        <w:t xml:space="preserve">The methodological foundations are developed in a set of companion working papers. </w:t>
      </w:r>
      <w:r>
        <w:rPr>
          <w:b/>
          <w:bCs/>
        </w:rPr>
        <w:t>Semantic Knowledge Production</w:t>
      </w:r>
      <w:r>
        <w:t xml:space="preserve"> distinguishes candidate assertions from stabilised semantic states and treats semantic authority as the outcome of explicit, provenance-bearing transitions (Antal 2026d). </w:t>
      </w:r>
      <w:r>
        <w:rPr>
          <w:b/>
          <w:bCs/>
        </w:rPr>
        <w:t>The Review Algebra</w:t>
      </w:r>
      <w:r>
        <w:t xml:space="preserve"> formalises candidate generation, human review, finalisation, and recursive semantic stabilisation over atomic assertions (Antal 2026a). </w:t>
      </w:r>
      <w:r>
        <w:rPr>
          <w:b/>
          <w:bCs/>
        </w:rPr>
        <w:t>Betwixt</w:t>
      </w:r>
      <w:r>
        <w:t xml:space="preserve"> provides the computational implementation of human review through relational review projections (Antal 2026b), while </w:t>
      </w:r>
      <w:r>
        <w:rPr>
          <w:b/>
          <w:bCs/>
        </w:rPr>
        <w:t>Bounded Federation</w:t>
      </w:r>
      <w:r>
        <w:t xml:space="preserve"> develops the corresponding graph-to-graph approach for purpose-directed, reviewable semantic exchange between independently governed knowledge graphs (Antal 2026c).</w:t>
      </w:r>
    </w:p>
    <w:p w14:paraId="4F993094" w14:textId="77777777" w:rsidR="00CE0A95" w:rsidRDefault="00000000">
      <w:pPr>
        <w:pStyle w:val="BodyText"/>
      </w:pPr>
      <w:r>
        <w:t xml:space="preserve">The present paper complements these methodological and computational papers by asking how their concepts operate in a concrete </w:t>
      </w:r>
      <w:r>
        <w:rPr>
          <w:b/>
          <w:bCs/>
        </w:rPr>
        <w:t>Heritage Digital Twin</w:t>
      </w:r>
      <w:r>
        <w:t xml:space="preserve">. The Dēliņi </w:t>
      </w:r>
      <w:r>
        <w:lastRenderedPageBreak/>
        <w:t>demonstrator therefore serves both as an implementation case study and as practical feedback on HDTO 1.1: it tests the relationship between heritage entities and their digital twins, proposition sets and maintenance activities, digital representations and evidence, overlapping inspection contexts, and the operational mapping between HDTO and Wikibase.</w:t>
      </w:r>
    </w:p>
    <w:p w14:paraId="42E97E80" w14:textId="77777777" w:rsidR="00CE0A95" w:rsidRDefault="00000000">
      <w:pPr>
        <w:pStyle w:val="BodyText"/>
      </w:pPr>
      <w:r>
        <w:t>Together, these working papers develop complementary conceptual, formal, computational, federation, and applied heritage components of the same research programme. They should therefore be read as companion papers rather than successive versions of a single manuscript.</w:t>
      </w:r>
    </w:p>
    <w:p w14:paraId="12A6BB16" w14:textId="77777777" w:rsidR="00CE0A95" w:rsidRDefault="00000000">
      <w:pPr>
        <w:pStyle w:val="BodyText"/>
      </w:pPr>
      <w:r>
        <w:t>This manuscript is a working paper and has not undergone peer review. Its HDTO implementation patterns and recommendations are presented for discussion and may be revised in response to further implementation experience and feedback from the HDTO and cultural heritage research communities.</w:t>
      </w:r>
    </w:p>
    <w:p w14:paraId="2163F284" w14:textId="77777777" w:rsidR="00CE0A95" w:rsidRDefault="00000000">
      <w:r>
        <w:br w:type="page"/>
      </w:r>
    </w:p>
    <w:p w14:paraId="125B7C49" w14:textId="77777777" w:rsidR="00CE0A95" w:rsidRDefault="00000000">
      <w:r>
        <w:lastRenderedPageBreak/>
        <w:br w:type="page"/>
      </w:r>
    </w:p>
    <w:p w14:paraId="5ABBB730" w14:textId="77777777" w:rsidR="00CE0A95" w:rsidRDefault="00000000">
      <w:pPr>
        <w:pStyle w:val="Heading1"/>
      </w:pPr>
      <w:bookmarkStart w:id="0" w:name="introduction"/>
      <w:bookmarkStart w:id="1" w:name="_Toc239495436"/>
      <w:r>
        <w:lastRenderedPageBreak/>
        <w:t>Introduction</w:t>
      </w:r>
      <w:bookmarkEnd w:id="1"/>
    </w:p>
    <w:p w14:paraId="6E6F8EE4" w14:textId="77777777" w:rsidR="00CE0A95" w:rsidRDefault="00000000">
      <w:pPr>
        <w:pStyle w:val="FirstParagraph"/>
      </w:pPr>
      <w:r>
        <w:t xml:space="preserve">On </w:t>
      </w:r>
      <w:r>
        <w:rPr>
          <w:b/>
          <w:bCs/>
        </w:rPr>
        <w:t>10 July 2026</w:t>
      </w:r>
      <w:r>
        <w:t xml:space="preserve">, we visited the </w:t>
      </w:r>
      <w:r>
        <w:rPr>
          <w:b/>
          <w:bCs/>
        </w:rPr>
        <w:t>Latvian Ethnographic Open-Air Museum</w:t>
      </w:r>
      <w:r>
        <w:t xml:space="preserve"> (Latvijas Etnogrāfiskais brīvdabas muzejs, LEBM) in Riga to document the reconstruction history of the </w:t>
      </w:r>
      <w:r>
        <w:rPr>
          <w:b/>
          <w:bCs/>
        </w:rPr>
        <w:t>Dēliņi Farmstead</w:t>
      </w:r>
      <w:r>
        <w:t>. Following discussions with the museum staff, we selected the main farmhouse as a compact but representative case study for demonstrating how museum collections, archival records, library resources, and multilingual heritage knowledge can be brought together into a single interoperable digital twin.</w:t>
      </w:r>
    </w:p>
    <w:p w14:paraId="48C9B498" w14:textId="77777777" w:rsidR="00CE0A95" w:rsidRDefault="00CE0A95">
      <w:pPr>
        <w:pStyle w:val="BodyText"/>
      </w:pPr>
    </w:p>
    <w:p w14:paraId="7D21F71E" w14:textId="77777777" w:rsidR="00CE0A95" w:rsidRDefault="00000000">
      <w:pPr>
        <w:pStyle w:val="BodyText"/>
      </w:pPr>
      <w:r>
        <w:t xml:space="preserve">This working paper has three complementary purposes. First, it presents the </w:t>
      </w:r>
      <w:r>
        <w:rPr>
          <w:i/>
          <w:iCs/>
        </w:rPr>
        <w:t>Dēliņi Farmstead</w:t>
      </w:r>
      <w:r>
        <w:t xml:space="preserve"> as an executable implementation of the Heritage Digital Twin Ontology (HDTO). Second, it uses that implementation as the basis for a cooperation proposal with the </w:t>
      </w:r>
      <w:r>
        <w:rPr>
          <w:i/>
          <w:iCs/>
        </w:rPr>
        <w:t>Latvian Ethnographic Open-Air Museum</w:t>
      </w:r>
      <w:r>
        <w:t xml:space="preserve"> and future European heritage initiatives. Third, it provides practical implementation feedback to the </w:t>
      </w:r>
      <w:r>
        <w:rPr>
          <w:i/>
          <w:iCs/>
        </w:rPr>
        <w:t>ECHOES technical team</w:t>
      </w:r>
      <w:r>
        <w:t xml:space="preserve"> by demonstrating how HDTO can be operationalised within everyday museum practice and identifying implementation patterns that may support wider adoption of the ontology.</w:t>
      </w:r>
    </w:p>
    <w:p w14:paraId="1B123A2E" w14:textId="77777777" w:rsidR="00CE0A95" w:rsidRDefault="00000000">
      <w:r>
        <w:br w:type="page"/>
      </w:r>
    </w:p>
    <w:p w14:paraId="254EA8FD" w14:textId="77777777" w:rsidR="00CE0A95" w:rsidRDefault="00000000">
      <w:pPr>
        <w:pStyle w:val="Heading1"/>
      </w:pPr>
      <w:bookmarkStart w:id="2" w:name="observational-and-data-aquisition"/>
      <w:bookmarkStart w:id="3" w:name="_Toc239495437"/>
      <w:bookmarkEnd w:id="0"/>
      <w:r>
        <w:lastRenderedPageBreak/>
        <w:t>Observational and Data Aquisition</w:t>
      </w:r>
      <w:bookmarkEnd w:id="3"/>
    </w:p>
    <w:p w14:paraId="55B5C72D" w14:textId="77777777" w:rsidR="00CE0A95" w:rsidRDefault="00000000">
      <w:pPr>
        <w:pStyle w:val="FirstParagraph"/>
      </w:pPr>
      <w:r>
        <w:t>The main farmhouse consists of four principal spaces:</w:t>
      </w:r>
    </w:p>
    <w:p w14:paraId="39A6FE50" w14:textId="77777777" w:rsidR="00CE0A95" w:rsidRDefault="00000000">
      <w:pPr>
        <w:numPr>
          <w:ilvl w:val="0"/>
          <w:numId w:val="2"/>
        </w:numPr>
      </w:pPr>
      <w:r>
        <w:t>master bedroom,</w:t>
      </w:r>
    </w:p>
    <w:p w14:paraId="56770B4B" w14:textId="77777777" w:rsidR="00CE0A95" w:rsidRDefault="00000000">
      <w:pPr>
        <w:numPr>
          <w:ilvl w:val="0"/>
          <w:numId w:val="2"/>
        </w:numPr>
      </w:pPr>
      <w:r>
        <w:t>living room,</w:t>
      </w:r>
    </w:p>
    <w:p w14:paraId="2FF919FC" w14:textId="77777777" w:rsidR="00CE0A95" w:rsidRDefault="00000000">
      <w:pPr>
        <w:numPr>
          <w:ilvl w:val="0"/>
          <w:numId w:val="2"/>
        </w:numPr>
      </w:pPr>
      <w:r>
        <w:t>kitchen,</w:t>
      </w:r>
    </w:p>
    <w:p w14:paraId="026694F1" w14:textId="77777777" w:rsidR="00CE0A95" w:rsidRDefault="00000000">
      <w:pPr>
        <w:numPr>
          <w:ilvl w:val="0"/>
          <w:numId w:val="2"/>
        </w:numPr>
      </w:pPr>
      <w:r>
        <w:t>anteroom.</w:t>
      </w:r>
    </w:p>
    <w:p w14:paraId="346CA476" w14:textId="77777777" w:rsidR="00CE0A95" w:rsidRDefault="00000000">
      <w:pPr>
        <w:pStyle w:val="FirstParagraph"/>
      </w:pPr>
      <w:r>
        <w:t>Our objective was not to create a complete inventory of the farmstead but to construct a small, reviewable digital twin that demonstrates semantic interoperability across different cultural heritage domains.</w:t>
      </w:r>
    </w:p>
    <w:p w14:paraId="46EE2493" w14:textId="77777777" w:rsidR="00CE0A95" w:rsidRDefault="00000000">
      <w:pPr>
        <w:pStyle w:val="BodyText"/>
      </w:pPr>
      <w:r>
        <w:t>The observational corpus is organised into four top-level collections, each representing a distinct professional domain.</w:t>
      </w:r>
    </w:p>
    <w:p w14:paraId="38FE06DA" w14:textId="77777777" w:rsidR="00CE0A95" w:rsidRDefault="00000000">
      <w:pPr>
        <w:pStyle w:val="Heading3"/>
      </w:pPr>
      <w:bookmarkStart w:id="4" w:name="farmstead-museum-collections"/>
      <w:bookmarkStart w:id="5" w:name="_Toc239495438"/>
      <w:r>
        <w:t>Farmstead (Museum collections)</w:t>
      </w:r>
      <w:bookmarkEnd w:id="5"/>
    </w:p>
    <w:p w14:paraId="04599ECF" w14:textId="77777777" w:rsidR="00CE0A95" w:rsidRDefault="00000000">
      <w:pPr>
        <w:pStyle w:val="FirstParagraph"/>
      </w:pPr>
      <w:r>
        <w:t>This folder contains our photographic observations of the reconstructed buildings and selected museum artefacts.</w:t>
      </w:r>
    </w:p>
    <w:p w14:paraId="7D2E14DB" w14:textId="77777777" w:rsidR="00CE0A95" w:rsidRDefault="00CE0A95">
      <w:pPr>
        <w:pStyle w:val="BodyText"/>
      </w:pPr>
    </w:p>
    <w:p w14:paraId="6BE31575" w14:textId="77777777" w:rsidR="00CE0A95" w:rsidRDefault="00000000">
      <w:pPr>
        <w:pStyle w:val="BodyText"/>
      </w:pPr>
      <w:r>
        <w:t>The artefacts are intentionally separated from the rooms. Although, for example, the leather shoe is displayed in the living room, it is not yet known whether it originally belonged to the Dēliņi Farmstead. Separating artefacts from architectural spaces avoids introducing unsupported semantic assumptions at the observational stage.</w:t>
      </w:r>
    </w:p>
    <w:p w14:paraId="01BB2C1C" w14:textId="77777777" w:rsidR="00CE0A95" w:rsidRDefault="00000000">
      <w:pPr>
        <w:pStyle w:val="BodyText"/>
      </w:pPr>
      <w:r>
        <w:t>The photographs document both the reconstructed building and architectural details that are relevant for understanding the reconstruction process, such as roof construction.</w:t>
      </w:r>
    </w:p>
    <w:p w14:paraId="0497D25E" w14:textId="77777777" w:rsidR="00CE0A95" w:rsidRDefault="00000000">
      <w:pPr>
        <w:pStyle w:val="BodyText"/>
      </w:pPr>
      <w:r>
        <w:t xml:space="preserve">These observations naturally lend themselves to representation using </w:t>
      </w:r>
      <w:r>
        <w:rPr>
          <w:b/>
          <w:bCs/>
        </w:rPr>
        <w:t>CIDOC CRM</w:t>
      </w:r>
      <w:r>
        <w:t xml:space="preserve">, or its heritage digital twin profile </w:t>
      </w:r>
      <w:r>
        <w:rPr>
          <w:b/>
          <w:bCs/>
        </w:rPr>
        <w:t>HDTO</w:t>
      </w:r>
      <w:r>
        <w:t>, where buildings, rooms, architectural elements and museum objects are described according to museum documentation practice.</w:t>
      </w:r>
    </w:p>
    <w:p w14:paraId="4F6E095C" w14:textId="77777777" w:rsidR="00CE0A95" w:rsidRDefault="00000000">
      <w:pPr>
        <w:pStyle w:val="BodyText"/>
      </w:pPr>
      <w:r>
        <w:t xml:space="preserve">Our primary focus is </w:t>
      </w:r>
      <w:r>
        <w:rPr>
          <w:rStyle w:val="VerbatimChar"/>
        </w:rPr>
        <w:t>farmhouse (dzīvojamā māja)</w:t>
      </w:r>
      <w:r>
        <w:t xml:space="preserve">. We included only a small number of photographs of </w:t>
      </w:r>
      <w:r>
        <w:rPr>
          <w:rStyle w:val="VerbatimChar"/>
        </w:rPr>
        <w:t>granary (klēts)</w:t>
      </w:r>
      <w:r>
        <w:t xml:space="preserve">, together with overview photographs of </w:t>
      </w:r>
      <w:r>
        <w:rPr>
          <w:rStyle w:val="VerbatimChar"/>
        </w:rPr>
        <w:t>farmhouse (dzīvojamā māja)</w:t>
      </w:r>
      <w:r>
        <w:t xml:space="preserve">, </w:t>
      </w:r>
      <w:r>
        <w:rPr>
          <w:rStyle w:val="VerbatimChar"/>
        </w:rPr>
        <w:t>granary (klēts)</w:t>
      </w:r>
      <w:r>
        <w:t xml:space="preserve">, and </w:t>
      </w:r>
      <w:r>
        <w:rPr>
          <w:rStyle w:val="VerbatimChar"/>
        </w:rPr>
        <w:t>granary and cart shed (klēts - ratnīca)</w:t>
      </w:r>
      <w:r>
        <w:t>, to demonstrate that the model naturally scales beyond a single building. The same approach can be extended to the entire Dēliņi Farmstead, to all Livonian buildings reconstructed within the Latvian Ethnographic Open-Air Museum, and ultimately to related collections held by other institutions, such as the Ventspils Seaside Open Air Museum. In the demonstrator we will illustrate this interoperability by incorporating one reconstructed building from Ventspils.</w:t>
      </w:r>
    </w:p>
    <w:p w14:paraId="4B69FB82" w14:textId="77777777" w:rsidR="00CE0A95" w:rsidRDefault="00000000">
      <w:pPr>
        <w:pStyle w:val="BodyText"/>
      </w:pPr>
      <w:r>
        <w:lastRenderedPageBreak/>
        <w:t>This illustrates the value of heritage digital twins. Researchers can investigate the documentary, architectural, and material evidence relating to Livonian buildings across multiple institutions without physically visiting geographically dispersed collections or repeatedly handling often fragile archival records and museum objects. Rather than replacing the physical collections, the digital twin provides an interoperable, reviewable representation that supports research, comparison, and semantic enrichment while preserving the authority of the original collections.</w:t>
      </w:r>
    </w:p>
    <w:p w14:paraId="3BE286C3" w14:textId="77777777" w:rsidR="00CE0A95" w:rsidRDefault="00000000">
      <w:pPr>
        <w:pStyle w:val="Heading3"/>
      </w:pPr>
      <w:bookmarkStart w:id="6" w:name="folio-archival-collections"/>
      <w:bookmarkStart w:id="7" w:name="_Toc239495439"/>
      <w:bookmarkEnd w:id="4"/>
      <w:r>
        <w:t>Folio (Archival collections)</w:t>
      </w:r>
      <w:bookmarkEnd w:id="7"/>
    </w:p>
    <w:p w14:paraId="7C58CD30" w14:textId="77777777" w:rsidR="00CE0A95" w:rsidRDefault="00000000">
      <w:pPr>
        <w:pStyle w:val="FirstParagraph"/>
      </w:pPr>
      <w:r>
        <w:t>The second collection contains photographic reproductions of archival documentation consulted during the museum visit.</w:t>
      </w:r>
    </w:p>
    <w:p w14:paraId="75C4AF48" w14:textId="77777777" w:rsidR="00CE0A95" w:rsidRDefault="00CE0A95">
      <w:pPr>
        <w:pStyle w:val="BodyText"/>
      </w:pPr>
    </w:p>
    <w:p w14:paraId="15855F4F" w14:textId="77777777" w:rsidR="00CE0A95" w:rsidRDefault="00000000">
      <w:pPr>
        <w:pStyle w:val="BodyText"/>
      </w:pPr>
      <w:r>
        <w:t>The archival material documents different phases in the history of the farmstead.</w:t>
      </w:r>
    </w:p>
    <w:p w14:paraId="38A620CF" w14:textId="77777777" w:rsidR="00CE0A95" w:rsidRDefault="00000000">
      <w:pPr>
        <w:numPr>
          <w:ilvl w:val="0"/>
          <w:numId w:val="3"/>
        </w:numPr>
      </w:pPr>
      <w:r>
        <w:rPr>
          <w:b/>
          <w:bCs/>
        </w:rPr>
        <w:t>Box 1</w:t>
      </w:r>
      <w:r>
        <w:t xml:space="preserve"> primarily contains documentation relating to the identification, documentation, and dismantling of the original buildings on the Livonian coast. It contains Folder 1, Folder 2, and a photo envelope with historical photographs.</w:t>
      </w:r>
    </w:p>
    <w:p w14:paraId="58456723" w14:textId="77777777" w:rsidR="00CE0A95" w:rsidRDefault="00000000">
      <w:pPr>
        <w:numPr>
          <w:ilvl w:val="0"/>
          <w:numId w:val="3"/>
        </w:numPr>
      </w:pPr>
      <w:r>
        <w:rPr>
          <w:b/>
          <w:bCs/>
        </w:rPr>
        <w:t>Box 2</w:t>
      </w:r>
      <w:r>
        <w:t xml:space="preserve"> primarily documents the transport, reconstruction, and subsequent maintenance of the buildings within the museum.</w:t>
      </w:r>
    </w:p>
    <w:p w14:paraId="79927D8E" w14:textId="77777777" w:rsidR="00CE0A95" w:rsidRDefault="00000000">
      <w:pPr>
        <w:pStyle w:val="FirstParagraph"/>
      </w:pPr>
      <w:r>
        <w:t xml:space="preserve">The archival hierarchy closely resembles a conventional archival arrangement described using </w:t>
      </w:r>
      <w:r>
        <w:rPr>
          <w:b/>
          <w:bCs/>
        </w:rPr>
        <w:t>ISAD(G)</w:t>
      </w:r>
      <w:r>
        <w:t>, with description generally stopping at folder level while selected photographs and documents receive item-level description.</w:t>
      </w:r>
    </w:p>
    <w:p w14:paraId="03E7BA9C" w14:textId="77777777" w:rsidR="00CE0A95" w:rsidRDefault="00000000">
      <w:pPr>
        <w:pStyle w:val="BodyText"/>
      </w:pPr>
      <w:r>
        <w:t xml:space="preserve">For the purposes of interoperability, however, we model these materials using </w:t>
      </w:r>
      <w:r>
        <w:rPr>
          <w:b/>
          <w:bCs/>
        </w:rPr>
        <w:t>RiC-O</w:t>
      </w:r>
      <w:r>
        <w:t>, whose graph-based model provides considerably richer connections with museum collections and other documentary resources.</w:t>
      </w:r>
      <w:r>
        <w:rPr>
          <w:rStyle w:val="FootnoteReference"/>
        </w:rPr>
        <w:footnoteReference w:id="1"/>
      </w:r>
    </w:p>
    <w:p w14:paraId="6BEE9643" w14:textId="77777777" w:rsidR="00CE0A95" w:rsidRDefault="00000000">
      <w:pPr>
        <w:pStyle w:val="BodyText"/>
      </w:pPr>
      <w:r>
        <w:t>This choice reflects the institutional context of the Latvian Ethnographic Open-Air Museum. Although its primary mission is museological rather than archival, it naturally maintains an operational archive documenting the acquisition, reconstruction, conservation, and maintenance of its buildings and collections. Such records are essential for understanding the provenance of the reconstructed farmsteads, yet they are often managed separately from the museum collections that they document.</w:t>
      </w:r>
    </w:p>
    <w:p w14:paraId="3B076CE5" w14:textId="77777777" w:rsidR="00CE0A95" w:rsidRDefault="00000000">
      <w:pPr>
        <w:pStyle w:val="BodyText"/>
      </w:pPr>
      <w:r>
        <w:t xml:space="preserve">Using RiC allows these operational records to remain archivally coherent while connecting them directly to museum objects described with CIDOC CRM or HDTO. At the same time, the RiC representation can be linked naturally to archival records held by the National </w:t>
      </w:r>
      <w:r>
        <w:lastRenderedPageBreak/>
        <w:t>Archives of Latvia, the Latvian Folklore Archive, and other archival institutions without requiring the museum to reorganise its collections according to archival principles.</w:t>
      </w:r>
    </w:p>
    <w:p w14:paraId="26E95E0A" w14:textId="77777777" w:rsidR="00CE0A95" w:rsidRDefault="00000000">
      <w:pPr>
        <w:pStyle w:val="BodyText"/>
      </w:pPr>
      <w:r>
        <w:t>Many museums periodically transfer records of permanent historical value to professional archives, while archival institutions increasingly support museums through digitisation programmes and digital preservation services. Adopting an archival conceptual model for documentary evidence therefore improves interoperability across the wider cultural heritage ecosystem without changing the museum’s primary collection management practices.</w:t>
      </w:r>
    </w:p>
    <w:p w14:paraId="61C97F18" w14:textId="77777777" w:rsidR="00CE0A95" w:rsidRDefault="00000000">
      <w:pPr>
        <w:pStyle w:val="BodyText"/>
      </w:pPr>
      <w:r>
        <w:t>Traditionally, these archival materials are consulted on site by visiting researchers alongside the museum collections. In this demonstrator, we instead construct a reviewable digital representation that enables researchers to investigate the relationships between museum objects, archival records, and published documentation through a single interoperable knowledge graph while preserving the provenance and authority of each source.</w:t>
      </w:r>
    </w:p>
    <w:p w14:paraId="0A1DB747" w14:textId="77777777" w:rsidR="00CE0A95" w:rsidRDefault="00000000">
      <w:pPr>
        <w:pStyle w:val="Heading3"/>
      </w:pPr>
      <w:bookmarkStart w:id="8" w:name="bibliography-library-resources"/>
      <w:bookmarkStart w:id="9" w:name="_Toc239495440"/>
      <w:bookmarkEnd w:id="6"/>
      <w:r>
        <w:t>Bibliography (Library resources)</w:t>
      </w:r>
      <w:bookmarkEnd w:id="9"/>
    </w:p>
    <w:p w14:paraId="310CE66D" w14:textId="77777777" w:rsidR="00CE0A95" w:rsidRDefault="00000000">
      <w:pPr>
        <w:pStyle w:val="FirstParagraph"/>
      </w:pPr>
      <w:r>
        <w:t>The third collection contains documentary resources relevant to the farmstead.</w:t>
      </w:r>
    </w:p>
    <w:p w14:paraId="56F0AFF3" w14:textId="77777777" w:rsidR="00CE0A95" w:rsidRDefault="00000000">
      <w:pPr>
        <w:pStyle w:val="BodyText"/>
      </w:pPr>
      <w:r>
        <w:t xml:space="preserve">Rather than downloading documents or manually copying bibliographic metadata, we created a </w:t>
      </w:r>
      <w:r>
        <w:rPr>
          <w:b/>
          <w:bCs/>
        </w:rPr>
        <w:t>WACZ</w:t>
      </w:r>
      <w:r>
        <w:t xml:space="preserve"> web archive containing stable snapshots of selected resources, including</w:t>
      </w:r>
    </w:p>
    <w:p w14:paraId="6A9ADAA3" w14:textId="77777777" w:rsidR="00CE0A95" w:rsidRDefault="00000000">
      <w:pPr>
        <w:pStyle w:val="Compact"/>
        <w:numPr>
          <w:ilvl w:val="0"/>
          <w:numId w:val="4"/>
        </w:numPr>
      </w:pPr>
      <w:r>
        <w:t>an OPAC record from the Latvian National Library;</w:t>
      </w:r>
    </w:p>
    <w:p w14:paraId="51C2857E" w14:textId="77777777" w:rsidR="00CE0A95" w:rsidRDefault="00000000">
      <w:pPr>
        <w:pStyle w:val="Compact"/>
        <w:numPr>
          <w:ilvl w:val="0"/>
          <w:numId w:val="4"/>
        </w:numPr>
      </w:pPr>
      <w:r>
        <w:t>a blog article describing the ethnographer who documented the Dēliņi Farmstead;</w:t>
      </w:r>
    </w:p>
    <w:p w14:paraId="2E880A4B" w14:textId="77777777" w:rsidR="00CE0A95" w:rsidRDefault="00000000">
      <w:pPr>
        <w:pStyle w:val="Compact"/>
        <w:numPr>
          <w:ilvl w:val="0"/>
          <w:numId w:val="4"/>
        </w:numPr>
      </w:pPr>
      <w:r>
        <w:t>educational material introducing Livonian culture through activities taking place in the reconstructed farmhouse.</w:t>
      </w:r>
    </w:p>
    <w:p w14:paraId="33FF98B8" w14:textId="77777777" w:rsidR="00CE0A95" w:rsidRDefault="00000000">
      <w:pPr>
        <w:pStyle w:val="FirstParagraph"/>
      </w:pPr>
      <w:r>
        <w:t xml:space="preserve">These resources naturally follow </w:t>
      </w:r>
      <w:r>
        <w:rPr>
          <w:b/>
          <w:bCs/>
        </w:rPr>
        <w:t>Dublin Core</w:t>
      </w:r>
      <w:r>
        <w:t xml:space="preserve"> bibliographic practice while remaining reproducible through web archiving.</w:t>
      </w:r>
    </w:p>
    <w:p w14:paraId="6F928A88" w14:textId="77777777" w:rsidR="00CE0A95" w:rsidRDefault="00000000">
      <w:pPr>
        <w:pStyle w:val="BodyText"/>
      </w:pPr>
      <w:r>
        <w:t>Our approach extends the use of WACZ beyond conventional web archiving. We use WACZ files as reproducible acquisition packages that preserve both the retrieved resources and the context in which they were observed. This provides several advantages.</w:t>
      </w:r>
    </w:p>
    <w:p w14:paraId="63D96C61" w14:textId="77777777" w:rsidR="00CE0A95" w:rsidRDefault="00000000">
      <w:pPr>
        <w:numPr>
          <w:ilvl w:val="0"/>
          <w:numId w:val="5"/>
        </w:numPr>
      </w:pPr>
      <w:r>
        <w:rPr>
          <w:b/>
          <w:bCs/>
        </w:rPr>
        <w:t>Reproducible acquisition.</w:t>
      </w:r>
      <w:r>
        <w:t xml:space="preserve"> WACZ files preserve authoritative snapshots of bibliographic records and web resources exactly as they were observed, independently of the underlying library or content management system.</w:t>
      </w:r>
    </w:p>
    <w:p w14:paraId="271FB183" w14:textId="77777777" w:rsidR="00CE0A95" w:rsidRDefault="00000000">
      <w:pPr>
        <w:numPr>
          <w:ilvl w:val="0"/>
          <w:numId w:val="5"/>
        </w:numPr>
      </w:pPr>
      <w:r>
        <w:rPr>
          <w:b/>
          <w:bCs/>
        </w:rPr>
        <w:t>Provenance.</w:t>
      </w:r>
      <w:r>
        <w:t xml:space="preserve"> The capture records when and from where each resource was retrieved, allowing the provenance of bibliographic metadata and associated web resources to be reconstructed and reviewed.</w:t>
      </w:r>
    </w:p>
    <w:p w14:paraId="05E9B421" w14:textId="77777777" w:rsidR="00CE0A95" w:rsidRDefault="00000000">
      <w:pPr>
        <w:numPr>
          <w:ilvl w:val="0"/>
          <w:numId w:val="5"/>
        </w:numPr>
      </w:pPr>
      <w:r>
        <w:rPr>
          <w:b/>
          <w:bCs/>
        </w:rPr>
        <w:t>Heterogeneous sources.</w:t>
      </w:r>
      <w:r>
        <w:t xml:space="preserve"> WACZ allows bibliographic records, institutional websites, blogs, educational materials, and other web resources to be collected using the same reproducible workflow. In this demonstrator, for example, the </w:t>
      </w:r>
      <w:r>
        <w:lastRenderedPageBreak/>
        <w:t>Livones.net website provides valuable contextual information despite not being represented as a conventional bibliographic resource.</w:t>
      </w:r>
    </w:p>
    <w:p w14:paraId="71AFF8AD" w14:textId="77777777" w:rsidR="00CE0A95" w:rsidRDefault="00000000">
      <w:pPr>
        <w:pStyle w:val="FirstParagraph"/>
      </w:pPr>
      <w:r>
        <w:t xml:space="preserve">The resulting WACZ files become observational archives of documentary evidence. Using </w:t>
      </w:r>
      <w:r>
        <w:rPr>
          <w:b/>
          <w:bCs/>
        </w:rPr>
        <w:t>fscontext</w:t>
      </w:r>
      <w:r>
        <w:t>, both conventional library resources and other web-based documentary materials can be organised into a common contextual collection and subsequently reviewed using the same semantic workflow. The result is a lightweight cross-domain catalogue that integrates library metadata with other documentary resources without requiring the participating institutions to adopt a common library system.</w:t>
      </w:r>
    </w:p>
    <w:p w14:paraId="06E408E0" w14:textId="77777777" w:rsidR="00CE0A95" w:rsidRDefault="00000000">
      <w:pPr>
        <w:pStyle w:val="Heading3"/>
      </w:pPr>
      <w:bookmarkStart w:id="10" w:name="language"/>
      <w:bookmarkStart w:id="11" w:name="_Toc239495441"/>
      <w:bookmarkEnd w:id="8"/>
      <w:r>
        <w:t>Language</w:t>
      </w:r>
      <w:bookmarkEnd w:id="11"/>
    </w:p>
    <w:p w14:paraId="75352EF2" w14:textId="77777777" w:rsidR="00CE0A95" w:rsidRDefault="00000000">
      <w:pPr>
        <w:pStyle w:val="FirstParagraph"/>
      </w:pPr>
      <w:r>
        <w:t>The final collection contains a small multilingual reference vocabulary describing the concepts required by the demonstrator.</w:t>
      </w:r>
    </w:p>
    <w:p w14:paraId="1456F540" w14:textId="77777777" w:rsidR="00CE0A95" w:rsidRDefault="00000000">
      <w:pPr>
        <w:pStyle w:val="BodyText"/>
      </w:pPr>
      <w:r>
        <w:t>Rather than attempting to build a complete dictionary, this collection provides the minimal terminology required to describe the buildings, rooms, architectural elements, artefacts, and surrounding landscape.</w:t>
      </w:r>
    </w:p>
    <w:p w14:paraId="670B4B20" w14:textId="77777777" w:rsidR="00CE0A95" w:rsidRDefault="00000000">
      <w:pPr>
        <w:pStyle w:val="BodyText"/>
      </w:pPr>
      <w:r>
        <w:t xml:space="preserve">The vocabulary includes English, Latvian, Livonian, and, where relevant, Russian representations. It may be implemented using </w:t>
      </w:r>
      <w:r>
        <w:rPr>
          <w:b/>
          <w:bCs/>
        </w:rPr>
        <w:t>Wikibase Lexemes</w:t>
      </w:r>
      <w:r>
        <w:t xml:space="preserve">, providing a lightweight operational implementation of </w:t>
      </w:r>
      <w:r>
        <w:rPr>
          <w:b/>
          <w:bCs/>
        </w:rPr>
        <w:t>OntoLex-Lemon</w:t>
      </w:r>
      <w:r>
        <w:t xml:space="preserve"> sufficient for multilingual annotation and text generation.</w:t>
      </w:r>
    </w:p>
    <w:p w14:paraId="374DF147" w14:textId="77777777" w:rsidR="00CE0A95" w:rsidRDefault="00000000">
      <w:r>
        <w:br w:type="page"/>
      </w:r>
    </w:p>
    <w:p w14:paraId="442E04CA" w14:textId="77777777" w:rsidR="00CE0A95" w:rsidRDefault="00000000">
      <w:pPr>
        <w:pStyle w:val="Heading1"/>
      </w:pPr>
      <w:bookmarkStart w:id="12" w:name="Xcc2f1767245dc6de8fc66e7580aeb1fbe18fa25"/>
      <w:bookmarkStart w:id="13" w:name="_Toc239495442"/>
      <w:bookmarkEnd w:id="2"/>
      <w:bookmarkEnd w:id="10"/>
      <w:r>
        <w:lastRenderedPageBreak/>
        <w:t>Building an Interoperable Heritage Digital Twin</w:t>
      </w:r>
      <w:bookmarkEnd w:id="13"/>
    </w:p>
    <w:p w14:paraId="347A849D" w14:textId="77777777" w:rsidR="00CE0A95" w:rsidRDefault="00000000">
      <w:pPr>
        <w:pStyle w:val="FirstParagraph"/>
      </w:pPr>
      <w:r>
        <w:t>The Dēliņi demonstrator combines four complementary knowledge domains, each described using the conceptual model that is most appropriate for its professional community.</w:t>
      </w:r>
    </w:p>
    <w:tbl>
      <w:tblPr>
        <w:tblStyle w:val="Table"/>
        <w:tblW w:w="0" w:type="auto"/>
        <w:tblLook w:val="0020" w:firstRow="1" w:lastRow="0" w:firstColumn="0" w:lastColumn="0" w:noHBand="0" w:noVBand="0"/>
      </w:tblPr>
      <w:tblGrid>
        <w:gridCol w:w="1505"/>
        <w:gridCol w:w="3990"/>
      </w:tblGrid>
      <w:tr w:rsidR="00CE0A95" w14:paraId="20708C2D" w14:textId="77777777" w:rsidTr="00CE0A95">
        <w:trPr>
          <w:cnfStyle w:val="100000000000" w:firstRow="1" w:lastRow="0" w:firstColumn="0" w:lastColumn="0" w:oddVBand="0" w:evenVBand="0" w:oddHBand="0" w:evenHBand="0" w:firstRowFirstColumn="0" w:firstRowLastColumn="0" w:lastRowFirstColumn="0" w:lastRowLastColumn="0"/>
          <w:tblHeader/>
        </w:trPr>
        <w:tc>
          <w:tcPr>
            <w:tcW w:w="0" w:type="auto"/>
          </w:tcPr>
          <w:p w14:paraId="5B3E3C99" w14:textId="77777777" w:rsidR="00CE0A95" w:rsidRDefault="00000000">
            <w:pPr>
              <w:pStyle w:val="Compact"/>
            </w:pPr>
            <w:r>
              <w:t>Collection</w:t>
            </w:r>
          </w:p>
        </w:tc>
        <w:tc>
          <w:tcPr>
            <w:tcW w:w="0" w:type="auto"/>
          </w:tcPr>
          <w:p w14:paraId="7DA790F2" w14:textId="77777777" w:rsidR="00CE0A95" w:rsidRDefault="00000000">
            <w:pPr>
              <w:pStyle w:val="Compact"/>
            </w:pPr>
            <w:r>
              <w:t>Primary conceptual model</w:t>
            </w:r>
          </w:p>
        </w:tc>
      </w:tr>
      <w:tr w:rsidR="00CE0A95" w14:paraId="797EC495" w14:textId="77777777">
        <w:tc>
          <w:tcPr>
            <w:tcW w:w="0" w:type="auto"/>
          </w:tcPr>
          <w:p w14:paraId="18BE625B" w14:textId="77777777" w:rsidR="00CE0A95" w:rsidRDefault="00000000">
            <w:pPr>
              <w:pStyle w:val="Compact"/>
            </w:pPr>
            <w:r>
              <w:t>Farmstead</w:t>
            </w:r>
          </w:p>
        </w:tc>
        <w:tc>
          <w:tcPr>
            <w:tcW w:w="0" w:type="auto"/>
          </w:tcPr>
          <w:p w14:paraId="5AD005E3" w14:textId="77777777" w:rsidR="00CE0A95" w:rsidRDefault="00000000">
            <w:pPr>
              <w:pStyle w:val="Compact"/>
            </w:pPr>
            <w:r>
              <w:t>HDTO / CIDOC CRM</w:t>
            </w:r>
          </w:p>
        </w:tc>
      </w:tr>
      <w:tr w:rsidR="00CE0A95" w14:paraId="7C945172" w14:textId="77777777">
        <w:tc>
          <w:tcPr>
            <w:tcW w:w="0" w:type="auto"/>
          </w:tcPr>
          <w:p w14:paraId="0F487048" w14:textId="77777777" w:rsidR="00CE0A95" w:rsidRDefault="00000000">
            <w:pPr>
              <w:pStyle w:val="Compact"/>
            </w:pPr>
            <w:r>
              <w:t>Folio</w:t>
            </w:r>
          </w:p>
        </w:tc>
        <w:tc>
          <w:tcPr>
            <w:tcW w:w="0" w:type="auto"/>
          </w:tcPr>
          <w:p w14:paraId="69084036" w14:textId="77777777" w:rsidR="00CE0A95" w:rsidRDefault="00000000">
            <w:pPr>
              <w:pStyle w:val="Compact"/>
            </w:pPr>
            <w:r>
              <w:t>RiC-O</w:t>
            </w:r>
          </w:p>
        </w:tc>
      </w:tr>
      <w:tr w:rsidR="00CE0A95" w14:paraId="4B714156" w14:textId="77777777">
        <w:tc>
          <w:tcPr>
            <w:tcW w:w="0" w:type="auto"/>
          </w:tcPr>
          <w:p w14:paraId="61058FF4" w14:textId="77777777" w:rsidR="00CE0A95" w:rsidRDefault="00000000">
            <w:pPr>
              <w:pStyle w:val="Compact"/>
            </w:pPr>
            <w:r>
              <w:t>Bibliography</w:t>
            </w:r>
          </w:p>
        </w:tc>
        <w:tc>
          <w:tcPr>
            <w:tcW w:w="0" w:type="auto"/>
          </w:tcPr>
          <w:p w14:paraId="2D706220" w14:textId="77777777" w:rsidR="00CE0A95" w:rsidRDefault="00000000">
            <w:pPr>
              <w:pStyle w:val="Compact"/>
            </w:pPr>
            <w:r>
              <w:t>Dublin Core</w:t>
            </w:r>
          </w:p>
        </w:tc>
      </w:tr>
      <w:tr w:rsidR="00CE0A95" w14:paraId="7E8145FD" w14:textId="77777777">
        <w:tc>
          <w:tcPr>
            <w:tcW w:w="0" w:type="auto"/>
          </w:tcPr>
          <w:p w14:paraId="52E466AB" w14:textId="77777777" w:rsidR="00CE0A95" w:rsidRDefault="00000000">
            <w:pPr>
              <w:pStyle w:val="Compact"/>
            </w:pPr>
            <w:r>
              <w:t>Language</w:t>
            </w:r>
          </w:p>
        </w:tc>
        <w:tc>
          <w:tcPr>
            <w:tcW w:w="0" w:type="auto"/>
          </w:tcPr>
          <w:p w14:paraId="1F439394" w14:textId="77777777" w:rsidR="00CE0A95" w:rsidRDefault="00000000">
            <w:pPr>
              <w:pStyle w:val="Compact"/>
            </w:pPr>
            <w:r>
              <w:t>OntoLex-Lemon / Wikibase Lexemes</w:t>
            </w:r>
          </w:p>
        </w:tc>
      </w:tr>
    </w:tbl>
    <w:p w14:paraId="40670813" w14:textId="77777777" w:rsidR="00CE0A95" w:rsidRDefault="00000000">
      <w:pPr>
        <w:pStyle w:val="BodyText"/>
      </w:pPr>
      <w:r>
        <w:t>Our objective is not to replace these conceptual models with a universal ontology. Instead, each domain retains its own conceptualisation while interoperability is established through semantic review and a shared operational knowledge graph.</w:t>
      </w:r>
    </w:p>
    <w:p w14:paraId="4BADA2D5" w14:textId="77777777" w:rsidR="00CE0A95" w:rsidRDefault="00000000">
      <w:pPr>
        <w:pStyle w:val="BodyText"/>
      </w:pPr>
      <w:r>
        <w:t>Each reviewed heritage subject is represented as a Wikibase item that serves as the operational representation of the subject within the demonstrator. The corresponding semantic descriptions remain expressible in their native conceptual models, allowing the resulting knowledge graph to interoperate with museum, archival, bibliographic, and linguistic information systems.</w:t>
      </w:r>
    </w:p>
    <w:p w14:paraId="5F4CAEBA" w14:textId="77777777" w:rsidR="00CE0A95" w:rsidRDefault="00000000">
      <w:pPr>
        <w:pStyle w:val="BodyText"/>
      </w:pPr>
      <w:r>
        <w:t>Observations—including photographs, archival reproductions, and WACZ captures—provide the evidential basis for semantic review. The review process establishes explicit correspondences between the participating domains using a small operational vocabulary linking heritage objects, archival records, bibliographic resources, and multilingual concepts.</w:t>
      </w:r>
    </w:p>
    <w:p w14:paraId="1BD7FE3F" w14:textId="77777777" w:rsidR="00CE0A95" w:rsidRDefault="00000000">
      <w:pPr>
        <w:pStyle w:val="BodyText"/>
      </w:pPr>
      <w:r>
        <w:t>The resulting knowledge graph is therefore not a new universal ontology but a semantic integration layer that preserves the authority of each contributing domain while making their relationships explicit and reviewable.</w:t>
      </w:r>
    </w:p>
    <w:p w14:paraId="48418736" w14:textId="77777777" w:rsidR="00CE0A95" w:rsidRDefault="00000000">
      <w:pPr>
        <w:pStyle w:val="Heading2"/>
      </w:pPr>
      <w:bookmarkStart w:id="14" w:name="farmstead"/>
      <w:bookmarkStart w:id="15" w:name="_Toc239495443"/>
      <w:r>
        <w:t>Farmstead</w:t>
      </w:r>
      <w:bookmarkEnd w:id="15"/>
    </w:p>
    <w:tbl>
      <w:tblPr>
        <w:tblStyle w:val="Table"/>
        <w:tblW w:w="5000" w:type="pct"/>
        <w:tblLayout w:type="fixed"/>
        <w:tblLook w:val="0000" w:firstRow="0" w:lastRow="0" w:firstColumn="0" w:lastColumn="0" w:noHBand="0" w:noVBand="0"/>
      </w:tblPr>
      <w:tblGrid>
        <w:gridCol w:w="9360"/>
      </w:tblGrid>
      <w:tr w:rsidR="00CE0A95" w14:paraId="5927F6CB" w14:textId="77777777">
        <w:tc>
          <w:tcPr>
            <w:tcW w:w="7920" w:type="dxa"/>
          </w:tcPr>
          <w:p w14:paraId="14ECF1AB" w14:textId="77777777" w:rsidR="00CE0A95" w:rsidRDefault="00000000">
            <w:pPr>
              <w:pStyle w:val="ImageCaption"/>
              <w:spacing w:before="200"/>
            </w:pPr>
            <w:bookmarkStart w:id="16" w:name="tbl-farmstead-overview"/>
            <w:r>
              <w:t>Table 1: Dēliņi Farmstead. The farmhouse, opposing granary, and granary and cart shed are visible in the photographic documentation.</w:t>
            </w:r>
          </w:p>
          <w:tbl>
            <w:tblPr>
              <w:tblStyle w:val="Table"/>
              <w:tblW w:w="5000" w:type="pct"/>
              <w:tblLayout w:type="fixed"/>
              <w:tblLook w:val="0000" w:firstRow="0" w:lastRow="0" w:firstColumn="0" w:lastColumn="0" w:noHBand="0" w:noVBand="0"/>
            </w:tblPr>
            <w:tblGrid>
              <w:gridCol w:w="7679"/>
              <w:gridCol w:w="1465"/>
            </w:tblGrid>
            <w:tr w:rsidR="00CE0A95" w14:paraId="198B74B1" w14:textId="77777777">
              <w:tc>
                <w:tcPr>
                  <w:tcW w:w="6650" w:type="dxa"/>
                </w:tcPr>
                <w:p w14:paraId="60FFF8CC" w14:textId="77777777" w:rsidR="00CE0A95" w:rsidRDefault="00000000">
                  <w:pPr>
                    <w:pStyle w:val="Compact"/>
                    <w:jc w:val="center"/>
                  </w:pPr>
                  <w:r>
                    <w:lastRenderedPageBreak/>
                    <w:t xml:space="preserve">We made four photographs of the part of the farmstead that we partially documented. The photographs show the </w:t>
                  </w:r>
                  <w:r>
                    <w:rPr>
                      <w:rStyle w:val="VerbatimChar"/>
                    </w:rPr>
                    <w:t>farmhouse</w:t>
                  </w:r>
                  <w:r>
                    <w:t>, the opposing granary (</w:t>
                  </w:r>
                  <w:r>
                    <w:rPr>
                      <w:i/>
                      <w:iCs/>
                    </w:rPr>
                    <w:t>klēts</w:t>
                  </w:r>
                  <w:r>
                    <w:t>), and the undocumented `granary and cart shed (</w:t>
                  </w:r>
                  <w:r>
                    <w:rPr>
                      <w:i/>
                      <w:iCs/>
                    </w:rPr>
                    <w:t>klēts - ratnīca</w:t>
                  </w:r>
                  <w:r>
                    <w:t>).</w:t>
                  </w:r>
                </w:p>
              </w:tc>
              <w:tc>
                <w:tcPr>
                  <w:tcW w:w="1269" w:type="dxa"/>
                </w:tcPr>
                <w:p w14:paraId="56F8957B" w14:textId="77777777" w:rsidR="00CE0A95" w:rsidRDefault="00000000">
                  <w:pPr>
                    <w:pStyle w:val="Compact"/>
                    <w:jc w:val="center"/>
                  </w:pPr>
                  <w:r>
                    <w:rPr>
                      <w:noProof/>
                    </w:rPr>
                    <w:drawing>
                      <wp:inline distT="0" distB="0" distL="0" distR="0" wp14:anchorId="034ED70B" wp14:editId="47E209D5">
                        <wp:extent cx="3657600" cy="2663952"/>
                        <wp:effectExtent l="0" t="0" r="0" b="0"/>
                        <wp:docPr id="20" name="Picture" descr="Dēliņi Farmstead overview"/>
                        <wp:cNvGraphicFramePr/>
                        <a:graphic xmlns:a="http://schemas.openxmlformats.org/drawingml/2006/main">
                          <a:graphicData uri="http://schemas.openxmlformats.org/drawingml/2006/picture">
                            <pic:pic xmlns:pic="http://schemas.openxmlformats.org/drawingml/2006/picture">
                              <pic:nvPicPr>
                                <pic:cNvPr id="21" name="Picture" descr="jpg/delini/P7101563_thumbnail.jpg"/>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3657600" cy="2663952"/>
                                </a:xfrm>
                                <a:prstGeom prst="rect">
                                  <a:avLst/>
                                </a:prstGeom>
                                <a:noFill/>
                                <a:ln w="9525">
                                  <a:noFill/>
                                  <a:headEnd/>
                                  <a:tailEnd/>
                                </a:ln>
                              </pic:spPr>
                            </pic:pic>
                          </a:graphicData>
                        </a:graphic>
                      </wp:inline>
                    </w:drawing>
                  </w:r>
                </w:p>
              </w:tc>
            </w:tr>
            <w:bookmarkEnd w:id="16"/>
          </w:tbl>
          <w:p w14:paraId="16085816" w14:textId="77777777" w:rsidR="00CE0A95" w:rsidRDefault="00CE0A95"/>
        </w:tc>
      </w:tr>
    </w:tbl>
    <w:p w14:paraId="6D33A96D" w14:textId="77777777" w:rsidR="00CE0A95" w:rsidRDefault="00000000">
      <w:pPr>
        <w:pStyle w:val="BodyText"/>
      </w:pPr>
      <w:r>
        <w:lastRenderedPageBreak/>
        <w:t>The documentation of the farmstead shows some advantages and some dilemmas of using Heritage Digital Twins. This document aims to provide a feedback to the developers of the HDT Ontology and to the LEBM.</w:t>
      </w:r>
    </w:p>
    <w:p w14:paraId="71F7B913" w14:textId="77777777" w:rsidR="00CE0A95" w:rsidRDefault="00CE0A95">
      <w:pPr>
        <w:pStyle w:val="BodyText"/>
      </w:pPr>
    </w:p>
    <w:p w14:paraId="4783FF1E" w14:textId="77777777" w:rsidR="00CE0A95" w:rsidRDefault="00000000">
      <w:pPr>
        <w:pStyle w:val="BodyText"/>
      </w:pPr>
      <w:r>
        <w:t>Currently HDT-O creates new subclasses of CIDOC, the conceptual model and ontology for museums without guidance on use for other heritage objects that are stored in archives and libraries. The LEBM is an excellent case study, because its collection has both museum artefacts and archival records, and it publishes books and other bibliographical objects.</w:t>
      </w:r>
    </w:p>
    <w:p w14:paraId="2DDF0D6C" w14:textId="77777777" w:rsidR="00CE0A95" w:rsidRDefault="00000000">
      <w:pPr>
        <w:pStyle w:val="BodyText"/>
      </w:pPr>
      <w:r>
        <w:t xml:space="preserve">Our suggested implementation of the HDT-O is influenced by RiC-O, which is itself a CIDOC-inspired model for archives. RiC is particularly helpful with leaving the level of description flexible, using Records as the central object, and any combination of records as a </w:t>
      </w:r>
      <w:r>
        <w:rPr>
          <w:rStyle w:val="VerbatimChar"/>
        </w:rPr>
        <w:t>Record set</w:t>
      </w:r>
      <w:r>
        <w:t xml:space="preserve"> while any part of the record is a </w:t>
      </w:r>
      <w:r>
        <w:rPr>
          <w:rStyle w:val="VerbatimChar"/>
        </w:rPr>
        <w:t>Record part</w:t>
      </w:r>
      <w:r>
        <w:t xml:space="preserve">. For example, if a carton paper holding two black-and-white photographs (as in our Box 1 - Folder 3) example, each of the two photographs can be described as </w:t>
      </w:r>
      <w:r>
        <w:rPr>
          <w:rStyle w:val="VerbatimChar"/>
        </w:rPr>
        <w:t>record part</w:t>
      </w:r>
      <w:r>
        <w:t xml:space="preserve"> and a single carton in the folder as a </w:t>
      </w:r>
      <w:r>
        <w:rPr>
          <w:rStyle w:val="VerbatimChar"/>
        </w:rPr>
        <w:t>record</w:t>
      </w:r>
      <w:r>
        <w:t xml:space="preserve">. Then, new record sets can be created with subgroupings of records for </w:t>
      </w:r>
      <w:r>
        <w:rPr>
          <w:rStyle w:val="VerbatimChar"/>
        </w:rPr>
        <w:t>Folder 3</w:t>
      </w:r>
      <w:r>
        <w:t>, or thematically regrouping Folder 3 and Folder 1/2 or other records. This organisation is rather similar to the HDT and its components.</w:t>
      </w:r>
    </w:p>
    <w:p w14:paraId="6112B4CF" w14:textId="77777777" w:rsidR="00CE0A95" w:rsidRDefault="00000000">
      <w:pPr>
        <w:pStyle w:val="BodyText"/>
      </w:pPr>
      <w:r>
        <w:t xml:space="preserve">We believe that a HDT digital twin should offer “a level of description” that is in fact a level of inspection: a digital representation of details, artefacts, records, bibliographic material that should be studied together in a single digital environment. We believe that the HDT class is therefore similar to a </w:t>
      </w:r>
      <w:r>
        <w:rPr>
          <w:rStyle w:val="VerbatimChar"/>
        </w:rPr>
        <w:t>record set</w:t>
      </w:r>
      <w:r>
        <w:t>, which is in itself a contextualised, curated (sub)collection of records, regardless of their origin, physical storage.</w:t>
      </w:r>
    </w:p>
    <w:p w14:paraId="25AF5B77" w14:textId="77777777" w:rsidR="00CE0A95" w:rsidRDefault="00000000">
      <w:pPr>
        <w:pStyle w:val="BodyText"/>
      </w:pPr>
      <w:r>
        <w:t>Taking this parallel to CIDOC, it requires judgement if we believe that a single Thing (artefact), or a set of them should make a digital twin.</w:t>
      </w:r>
    </w:p>
    <w:p w14:paraId="5354BE25" w14:textId="77777777" w:rsidR="00CE0A95" w:rsidRDefault="00000000">
      <w:pPr>
        <w:pStyle w:val="BodyText"/>
      </w:pPr>
      <w:r>
        <w:lastRenderedPageBreak/>
        <w:t xml:space="preserve">Let’s make this problem more concrete with the Dēlini farmstead. The farmstead is a collection of built structures: buildings, a well, fences. Digital twins in architecture usually relate to a building, and we believe that it is a logical first step to create an inspection area. But what is a building. Our </w:t>
      </w:r>
      <w:r>
        <w:rPr>
          <w:rStyle w:val="VerbatimChar"/>
        </w:rPr>
        <w:t>farmhouse (dzīvojamā māja)</w:t>
      </w:r>
      <w:r>
        <w:t xml:space="preserve"> has many details or parts: a living room, a master bedroom, a kitchen, a built-in oven, a roof, a main entrance door, the door has a lock. And it is a display area of artefacts that originally were in use in the house, or a curator saw that such an artefact could have been in use, though the actual artefact comes from different Northern Kurzeme collections. For example, we describe a large spoon next to the oven, or a sash on display in the master bedroom.</w:t>
      </w:r>
    </w:p>
    <w:p w14:paraId="750F6A14" w14:textId="77777777" w:rsidR="00CE0A95" w:rsidRDefault="00000000">
      <w:pPr>
        <w:pStyle w:val="BodyText"/>
      </w:pPr>
      <w:r>
        <w:t>The level of inspection is not an intrinsic property of the heritage object but a curatorial decision. The same sash may participate simultaneously in the digital twin of the main farmhouse, in a thematic inspection of Livonian tablet-woven sashes, and in an object-level digital twin devoted exclusively to its material analysis. Our Wikibase implementation supports these overlapping inspection contexts by representing each reviewed heritage subject as a single graph node linked through explicit semantic relationships rather than nested hierarchies.</w:t>
      </w:r>
    </w:p>
    <w:p w14:paraId="6B657CE5" w14:textId="77777777" w:rsidR="00CE0A95" w:rsidRDefault="00000000">
      <w:pPr>
        <w:pStyle w:val="BodyText"/>
      </w:pPr>
      <w:r>
        <w:t xml:space="preserve">From the museum’s perspective, each object that has an individual inventory number is the unit of description in the inventory book. If we treat the </w:t>
      </w:r>
      <w:r>
        <w:rPr>
          <w:rStyle w:val="VerbatimChar"/>
        </w:rPr>
        <w:t>farmhouse (dzīvojamā māja)</w:t>
      </w:r>
      <w:r>
        <w:t xml:space="preserve"> as the unit of inspection, i.e., the subject of the digital twin, then the rooms, the roof, and possibly the artefacts in the </w:t>
      </w:r>
      <w:r>
        <w:rPr>
          <w:rStyle w:val="VerbatimChar"/>
        </w:rPr>
        <w:t>farmhouse (dzīvojamā māja)</w:t>
      </w:r>
      <w:r>
        <w:t xml:space="preserve"> are HDT-O components. It would be logical to make the sash in the master bedroom and the large spoon and the leather shoes found next to the living room components, too.</w:t>
      </w:r>
    </w:p>
    <w:p w14:paraId="2F75524E" w14:textId="77777777" w:rsidR="00CE0A95" w:rsidRDefault="00000000">
      <w:pPr>
        <w:pStyle w:val="BodyText"/>
      </w:pPr>
      <w:r>
        <w:t xml:space="preserve">Yet, the </w:t>
      </w:r>
      <w:r>
        <w:rPr>
          <w:rStyle w:val="VerbatimChar"/>
        </w:rPr>
        <w:t>sash</w:t>
      </w:r>
      <w:r>
        <w:t xml:space="preserve"> could be inspected among the sashes of LEBM collection, or the </w:t>
      </w:r>
      <w:r>
        <w:rPr>
          <w:rStyle w:val="VerbatimChar"/>
        </w:rPr>
        <w:t>leather shoe</w:t>
      </w:r>
      <w:r>
        <w:t xml:space="preserve"> among its footware, and the </w:t>
      </w:r>
      <w:r>
        <w:rPr>
          <w:rStyle w:val="VerbatimChar"/>
        </w:rPr>
        <w:t>big spoon</w:t>
      </w:r>
      <w:r>
        <w:t xml:space="preserve"> among the household objects. In RiC-O, we could easily create new contextual, curated sets of their records, and we can do this in CIDOC, too. And, if we wanted to, we could make a HDT-O for a single sash as well. We could place it into a digital inspection area where its fabric could be examined under microscopical photographs, or small samples of its fabric and dye inspected with chemical analysis.</w:t>
      </w:r>
    </w:p>
    <w:p w14:paraId="42E35094" w14:textId="77777777" w:rsidR="00CE0A95" w:rsidRDefault="00000000">
      <w:pPr>
        <w:pStyle w:val="BodyText"/>
      </w:pPr>
      <w:r>
        <w:t>In fact, we do not see that a digital twin has a natural ‘level of inspection’ the way an archival record usually has a natural level of description (a single record, a folder in a box of records, the box itself)</w:t>
      </w:r>
    </w:p>
    <w:p w14:paraId="25971A3B" w14:textId="77777777" w:rsidR="00CE0A95" w:rsidRDefault="00000000">
      <w:pPr>
        <w:pStyle w:val="BodyText"/>
      </w:pPr>
      <w:r>
        <w:t>Our implementation in Wikibase allows to stage different inspection areas. We can imagine the individual buildings of the Dēlini Farmstead as digital twins, but we can equally support the inspection of a collection of sashes or a single sash. This requires a solid collection theory and mereology that should be represented consistently in HDT-O. What is the relationship of HDT objects that belong to a single farmstead? What is the relationship of HDT Objects that can potentially be represented in a HDT object but also as components of others?</w:t>
      </w:r>
    </w:p>
    <w:p w14:paraId="30D60275" w14:textId="77777777" w:rsidR="00CE0A95" w:rsidRDefault="00000000">
      <w:pPr>
        <w:pStyle w:val="Heading2"/>
      </w:pPr>
      <w:bookmarkStart w:id="17" w:name="granary"/>
      <w:bookmarkStart w:id="18" w:name="_Toc239495444"/>
      <w:bookmarkEnd w:id="14"/>
      <w:r>
        <w:lastRenderedPageBreak/>
        <w:t>Granary</w:t>
      </w:r>
      <w:bookmarkEnd w:id="18"/>
    </w:p>
    <w:p w14:paraId="1D28FEC0" w14:textId="77777777" w:rsidR="00CE0A95" w:rsidRDefault="00000000">
      <w:pPr>
        <w:pStyle w:val="BlockText"/>
      </w:pPr>
      <w:r>
        <w:t>We should use the actual name of the buildings</w:t>
      </w:r>
    </w:p>
    <w:tbl>
      <w:tblPr>
        <w:tblStyle w:val="Table"/>
        <w:tblW w:w="5000" w:type="pct"/>
        <w:tblLayout w:type="fixed"/>
        <w:tblLook w:val="0000" w:firstRow="0" w:lastRow="0" w:firstColumn="0" w:lastColumn="0" w:noHBand="0" w:noVBand="0"/>
      </w:tblPr>
      <w:tblGrid>
        <w:gridCol w:w="9360"/>
      </w:tblGrid>
      <w:tr w:rsidR="00CE0A95" w14:paraId="5C91CFD4" w14:textId="77777777">
        <w:tc>
          <w:tcPr>
            <w:tcW w:w="7920" w:type="dxa"/>
          </w:tcPr>
          <w:p w14:paraId="48C1C0B9" w14:textId="77777777" w:rsidR="00CE0A95" w:rsidRDefault="00000000">
            <w:pPr>
              <w:pStyle w:val="ImageCaption"/>
              <w:spacing w:before="200"/>
            </w:pPr>
            <w:bookmarkStart w:id="19" w:name="tbl-granary"/>
            <w:r>
              <w:t>Table 2: The granary (</w:t>
            </w:r>
            <w:r>
              <w:rPr>
                <w:iCs/>
              </w:rPr>
              <w:t>klēts</w:t>
            </w:r>
            <w:r>
              <w:t>) as a constituent part of the Dēliņi Farmstead.</w:t>
            </w:r>
          </w:p>
          <w:tbl>
            <w:tblPr>
              <w:tblStyle w:val="Table"/>
              <w:tblW w:w="5000" w:type="pct"/>
              <w:tblLayout w:type="fixed"/>
              <w:tblLook w:val="0000" w:firstRow="0" w:lastRow="0" w:firstColumn="0" w:lastColumn="0" w:noHBand="0" w:noVBand="0"/>
            </w:tblPr>
            <w:tblGrid>
              <w:gridCol w:w="918"/>
              <w:gridCol w:w="8226"/>
            </w:tblGrid>
            <w:tr w:rsidR="00CE0A95" w14:paraId="361F8BCA" w14:textId="77777777">
              <w:tc>
                <w:tcPr>
                  <w:tcW w:w="795" w:type="dxa"/>
                </w:tcPr>
                <w:p w14:paraId="4C0B6328" w14:textId="77777777" w:rsidR="00CE0A95" w:rsidRDefault="00000000">
                  <w:pPr>
                    <w:pStyle w:val="Compact"/>
                    <w:jc w:val="center"/>
                  </w:pPr>
                  <w:r>
                    <w:rPr>
                      <w:noProof/>
                    </w:rPr>
                    <w:drawing>
                      <wp:inline distT="0" distB="0" distL="0" distR="0" wp14:anchorId="460DA490" wp14:editId="207BC930">
                        <wp:extent cx="3657600" cy="2663952"/>
                        <wp:effectExtent l="0" t="0" r="0" b="0"/>
                        <wp:docPr id="25" name="Picture" descr="Granary"/>
                        <wp:cNvGraphicFramePr/>
                        <a:graphic xmlns:a="http://schemas.openxmlformats.org/drawingml/2006/main">
                          <a:graphicData uri="http://schemas.openxmlformats.org/drawingml/2006/picture">
                            <pic:pic xmlns:pic="http://schemas.openxmlformats.org/drawingml/2006/picture">
                              <pic:nvPicPr>
                                <pic:cNvPr id="26" name="Picture" descr="jpg/delini/P7101567_thumbnail.jpg"/>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3657600" cy="2663952"/>
                                </a:xfrm>
                                <a:prstGeom prst="rect">
                                  <a:avLst/>
                                </a:prstGeom>
                                <a:noFill/>
                                <a:ln w="9525">
                                  <a:noFill/>
                                  <a:headEnd/>
                                  <a:tailEnd/>
                                </a:ln>
                              </pic:spPr>
                            </pic:pic>
                          </a:graphicData>
                        </a:graphic>
                      </wp:inline>
                    </w:drawing>
                  </w:r>
                </w:p>
              </w:tc>
              <w:tc>
                <w:tcPr>
                  <w:tcW w:w="7124" w:type="dxa"/>
                </w:tcPr>
                <w:p w14:paraId="6BE7C939" w14:textId="77777777" w:rsidR="00CE0A95" w:rsidRDefault="00000000">
                  <w:pPr>
                    <w:pStyle w:val="Compact"/>
                    <w:jc w:val="center"/>
                  </w:pPr>
                  <w:r>
                    <w:t xml:space="preserve">The </w:t>
                  </w:r>
                  <w:r>
                    <w:rPr>
                      <w:rStyle w:val="VerbatimChar"/>
                    </w:rPr>
                    <w:t>granary (klēts)</w:t>
                  </w:r>
                  <w:r>
                    <w:t xml:space="preserve"> is documented with only a single photograph. It illustrates how the farmstead can be described through its constituent parts, including buildings and other structures such as fences or wells.</w:t>
                  </w:r>
                </w:p>
              </w:tc>
            </w:tr>
            <w:bookmarkEnd w:id="19"/>
          </w:tbl>
          <w:p w14:paraId="7342966D" w14:textId="77777777" w:rsidR="00CE0A95" w:rsidRDefault="00CE0A95"/>
        </w:tc>
      </w:tr>
    </w:tbl>
    <w:p w14:paraId="60DED826" w14:textId="77777777" w:rsidR="00CE0A95" w:rsidRDefault="00000000">
      <w:pPr>
        <w:pStyle w:val="Heading2"/>
      </w:pPr>
      <w:bookmarkStart w:id="20" w:name="farmhouse"/>
      <w:bookmarkStart w:id="21" w:name="_Toc239495445"/>
      <w:bookmarkEnd w:id="17"/>
      <w:r>
        <w:t>Farmhouse</w:t>
      </w:r>
      <w:bookmarkEnd w:id="21"/>
    </w:p>
    <w:tbl>
      <w:tblPr>
        <w:tblStyle w:val="Table"/>
        <w:tblW w:w="5000" w:type="pct"/>
        <w:tblLayout w:type="fixed"/>
        <w:tblLook w:val="0000" w:firstRow="0" w:lastRow="0" w:firstColumn="0" w:lastColumn="0" w:noHBand="0" w:noVBand="0"/>
      </w:tblPr>
      <w:tblGrid>
        <w:gridCol w:w="9360"/>
      </w:tblGrid>
      <w:tr w:rsidR="00CE0A95" w14:paraId="19AD839C" w14:textId="77777777">
        <w:tc>
          <w:tcPr>
            <w:tcW w:w="7920" w:type="dxa"/>
          </w:tcPr>
          <w:p w14:paraId="6017055E" w14:textId="77777777" w:rsidR="00CE0A95" w:rsidRDefault="00000000">
            <w:pPr>
              <w:pStyle w:val="ImageCaption"/>
              <w:spacing w:before="200"/>
            </w:pPr>
            <w:bookmarkStart w:id="22" w:name="tbl-farmhouse"/>
            <w:r>
              <w:t>Table 3: The farmhouse (</w:t>
            </w:r>
            <w:r>
              <w:rPr>
                <w:iCs/>
              </w:rPr>
              <w:t>dzīvojamā māja</w:t>
            </w:r>
            <w:r>
              <w:t>) photographed from the entrance side, with the well visible in front of the building.</w:t>
            </w:r>
          </w:p>
          <w:tbl>
            <w:tblPr>
              <w:tblStyle w:val="Table"/>
              <w:tblW w:w="5000" w:type="pct"/>
              <w:tblLayout w:type="fixed"/>
              <w:tblLook w:val="0000" w:firstRow="0" w:lastRow="0" w:firstColumn="0" w:lastColumn="0" w:noHBand="0" w:noVBand="0"/>
            </w:tblPr>
            <w:tblGrid>
              <w:gridCol w:w="992"/>
              <w:gridCol w:w="8152"/>
            </w:tblGrid>
            <w:tr w:rsidR="00CE0A95" w14:paraId="3A536A7D" w14:textId="77777777">
              <w:tc>
                <w:tcPr>
                  <w:tcW w:w="859" w:type="dxa"/>
                </w:tcPr>
                <w:p w14:paraId="6E35BFA3" w14:textId="77777777" w:rsidR="00CE0A95" w:rsidRDefault="00000000">
                  <w:pPr>
                    <w:pStyle w:val="Compact"/>
                    <w:jc w:val="center"/>
                  </w:pPr>
                  <w:r>
                    <w:rPr>
                      <w:noProof/>
                    </w:rPr>
                    <w:drawing>
                      <wp:inline distT="0" distB="0" distL="0" distR="0" wp14:anchorId="0397FFFB" wp14:editId="58C88AA5">
                        <wp:extent cx="3657600" cy="2670048"/>
                        <wp:effectExtent l="0" t="0" r="0" b="0"/>
                        <wp:docPr id="30" name="Picture" descr="Dēliņi farmhouse"/>
                        <wp:cNvGraphicFramePr/>
                        <a:graphic xmlns:a="http://schemas.openxmlformats.org/drawingml/2006/main">
                          <a:graphicData uri="http://schemas.openxmlformats.org/drawingml/2006/picture">
                            <pic:pic xmlns:pic="http://schemas.openxmlformats.org/drawingml/2006/picture">
                              <pic:nvPicPr>
                                <pic:cNvPr id="31" name="Picture" descr="jpg/delini/P7101565_thumbnail.jpg"/>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3657600" cy="2670048"/>
                                </a:xfrm>
                                <a:prstGeom prst="rect">
                                  <a:avLst/>
                                </a:prstGeom>
                                <a:noFill/>
                                <a:ln w="9525">
                                  <a:noFill/>
                                  <a:headEnd/>
                                  <a:tailEnd/>
                                </a:ln>
                              </pic:spPr>
                            </pic:pic>
                          </a:graphicData>
                        </a:graphic>
                      </wp:inline>
                    </w:drawing>
                  </w:r>
                </w:p>
              </w:tc>
              <w:tc>
                <w:tcPr>
                  <w:tcW w:w="7060" w:type="dxa"/>
                </w:tcPr>
                <w:p w14:paraId="1F05BDEA" w14:textId="77777777" w:rsidR="00CE0A95" w:rsidRDefault="00000000">
                  <w:pPr>
                    <w:pStyle w:val="Compact"/>
                    <w:jc w:val="center"/>
                  </w:pPr>
                  <w:r>
                    <w:t>We created five images of the farmhouse (</w:t>
                  </w:r>
                  <w:r>
                    <w:rPr>
                      <w:i/>
                      <w:iCs/>
                    </w:rPr>
                    <w:t>dzīvojamā māja</w:t>
                  </w:r>
                  <w:r>
                    <w:t>) from two directions, a few of which are nearly identical. They show the building from the side of the entrance and also make the well, another structural part of the farmstead, visible in front of the building.</w:t>
                  </w:r>
                </w:p>
              </w:tc>
            </w:tr>
            <w:bookmarkEnd w:id="22"/>
          </w:tbl>
          <w:p w14:paraId="2D2904E5" w14:textId="77777777" w:rsidR="00CE0A95" w:rsidRDefault="00CE0A95"/>
        </w:tc>
      </w:tr>
    </w:tbl>
    <w:p w14:paraId="309EB6EA" w14:textId="77777777" w:rsidR="00CE0A95" w:rsidRDefault="00000000">
      <w:pPr>
        <w:pStyle w:val="BodyText"/>
      </w:pPr>
      <w:r>
        <w:t xml:space="preserve">We created five images of the </w:t>
      </w:r>
      <w:r>
        <w:rPr>
          <w:rStyle w:val="VerbatimChar"/>
        </w:rPr>
        <w:t>farmhouse (dzīvojamā māja)</w:t>
      </w:r>
      <w:r>
        <w:t xml:space="preserve"> from two directions, out of which a few are nearly identical. They show the building from the side of the entrance, and they also make the well (another structural part of the farmstead) visible in front of the building.</w:t>
      </w:r>
    </w:p>
    <w:p w14:paraId="53DBEE2C" w14:textId="77777777" w:rsidR="00CE0A95" w:rsidRDefault="00000000">
      <w:pPr>
        <w:pStyle w:val="Heading4"/>
      </w:pPr>
      <w:bookmarkStart w:id="23" w:name="details"/>
      <w:r>
        <w:lastRenderedPageBreak/>
        <w:t>Details</w:t>
      </w:r>
    </w:p>
    <w:p w14:paraId="374CEC8B" w14:textId="77777777" w:rsidR="00CE0A95" w:rsidRDefault="00000000">
      <w:pPr>
        <w:pStyle w:val="FirstParagraph"/>
      </w:pPr>
      <w:r>
        <w:t xml:space="preserve">The details depict well-identifiable constituent parts of the building. If we treat the building as the unit of description, these details are parts of the building. We organise the details into five sets: the </w:t>
      </w:r>
      <w:r>
        <w:rPr>
          <w:rStyle w:val="VerbatimChar"/>
        </w:rPr>
        <w:t>door</w:t>
      </w:r>
      <w:r>
        <w:t xml:space="preserve">, the </w:t>
      </w:r>
      <w:r>
        <w:rPr>
          <w:rStyle w:val="VerbatimChar"/>
        </w:rPr>
        <w:t>oven</w:t>
      </w:r>
      <w:r>
        <w:t xml:space="preserve">, the </w:t>
      </w:r>
      <w:r>
        <w:rPr>
          <w:rStyle w:val="VerbatimChar"/>
        </w:rPr>
        <w:t>roof</w:t>
      </w:r>
      <w:r>
        <w:t xml:space="preserve">, which are built-in, not detachable parts of </w:t>
      </w:r>
      <w:r>
        <w:rPr>
          <w:rStyle w:val="VerbatimChar"/>
        </w:rPr>
        <w:t>farmhouse</w:t>
      </w:r>
      <w:r>
        <w:t xml:space="preserve">. We created photographs in the </w:t>
      </w:r>
      <w:r>
        <w:rPr>
          <w:rStyle w:val="VerbatimChar"/>
        </w:rPr>
        <w:t>master bedroom</w:t>
      </w:r>
      <w:r>
        <w:t xml:space="preserve"> and the </w:t>
      </w:r>
      <w:r>
        <w:rPr>
          <w:rStyle w:val="VerbatimChar"/>
        </w:rPr>
        <w:t>living room</w:t>
      </w:r>
      <w:r>
        <w:t>. These parts of the building also contain movable artefacts, various ethnographical objects.</w:t>
      </w:r>
    </w:p>
    <w:tbl>
      <w:tblPr>
        <w:tblStyle w:val="Table"/>
        <w:tblW w:w="5000" w:type="pct"/>
        <w:tblLayout w:type="fixed"/>
        <w:tblLook w:val="0000" w:firstRow="0" w:lastRow="0" w:firstColumn="0" w:lastColumn="0" w:noHBand="0" w:noVBand="0"/>
      </w:tblPr>
      <w:tblGrid>
        <w:gridCol w:w="9360"/>
      </w:tblGrid>
      <w:tr w:rsidR="00CE0A95" w14:paraId="6D6B6594" w14:textId="77777777">
        <w:tc>
          <w:tcPr>
            <w:tcW w:w="7920" w:type="dxa"/>
          </w:tcPr>
          <w:p w14:paraId="1D1B732E" w14:textId="77777777" w:rsidR="00CE0A95" w:rsidRDefault="00000000">
            <w:pPr>
              <w:pStyle w:val="ImageCaption"/>
              <w:spacing w:before="200"/>
            </w:pPr>
            <w:bookmarkStart w:id="24" w:name="tbl-living-room-detail"/>
            <w:r>
              <w:t>Table 4: Living room detail. About a quarter of the living room cubic space is shown on one photograph, and another detail shows a weaving loom and a spinning wheel.</w:t>
            </w:r>
          </w:p>
          <w:tbl>
            <w:tblPr>
              <w:tblStyle w:val="Table"/>
              <w:tblW w:w="5000" w:type="pct"/>
              <w:tblLayout w:type="fixed"/>
              <w:tblLook w:val="0000" w:firstRow="0" w:lastRow="0" w:firstColumn="0" w:lastColumn="0" w:noHBand="0" w:noVBand="0"/>
            </w:tblPr>
            <w:tblGrid>
              <w:gridCol w:w="8148"/>
              <w:gridCol w:w="996"/>
            </w:tblGrid>
            <w:tr w:rsidR="00CE0A95" w14:paraId="04D87736" w14:textId="77777777">
              <w:tc>
                <w:tcPr>
                  <w:tcW w:w="7056" w:type="dxa"/>
                </w:tcPr>
                <w:p w14:paraId="411E67A7" w14:textId="77777777" w:rsidR="00CE0A95" w:rsidRDefault="00000000">
                  <w:pPr>
                    <w:pStyle w:val="Compact"/>
                    <w:jc w:val="center"/>
                  </w:pPr>
                  <w:r>
                    <w:rPr>
                      <w:rStyle w:val="VerbatimChar"/>
                    </w:rPr>
                    <w:t>Living room (detail)</w:t>
                  </w:r>
                  <w:r>
                    <w:t>: Our detail of the living room shows a table with various jars. The living room can be described as a part of the house, but the contents of the living room are original or recreated artefacts. We did not provide a 360° photographic evidence of the living room.</w:t>
                  </w:r>
                </w:p>
              </w:tc>
              <w:tc>
                <w:tcPr>
                  <w:tcW w:w="863" w:type="dxa"/>
                </w:tcPr>
                <w:p w14:paraId="467B577F" w14:textId="77777777" w:rsidR="00CE0A95" w:rsidRDefault="00000000">
                  <w:pPr>
                    <w:pStyle w:val="Compact"/>
                    <w:jc w:val="center"/>
                  </w:pPr>
                  <w:r>
                    <w:rPr>
                      <w:noProof/>
                    </w:rPr>
                    <w:drawing>
                      <wp:inline distT="0" distB="0" distL="0" distR="0" wp14:anchorId="40AAB7C3" wp14:editId="579A62AE">
                        <wp:extent cx="3657600" cy="2743200"/>
                        <wp:effectExtent l="0" t="0" r="0" b="0"/>
                        <wp:docPr id="34" name="Picture" descr="Living room detail"/>
                        <wp:cNvGraphicFramePr/>
                        <a:graphic xmlns:a="http://schemas.openxmlformats.org/drawingml/2006/main">
                          <a:graphicData uri="http://schemas.openxmlformats.org/drawingml/2006/picture">
                            <pic:pic xmlns:pic="http://schemas.openxmlformats.org/drawingml/2006/picture">
                              <pic:nvPicPr>
                                <pic:cNvPr id="35" name="Picture" descr="jpg/delini/P7101551_thumbnail.jpg"/>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bookmarkEnd w:id="24"/>
          </w:tbl>
          <w:p w14:paraId="7F61FE72" w14:textId="77777777" w:rsidR="00CE0A95" w:rsidRDefault="00CE0A95"/>
        </w:tc>
      </w:tr>
    </w:tbl>
    <w:p w14:paraId="4C24DCDF" w14:textId="77777777" w:rsidR="00CE0A95"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CE0A95" w14:paraId="47D5F6F0" w14:textId="77777777">
        <w:tc>
          <w:tcPr>
            <w:tcW w:w="7920" w:type="dxa"/>
          </w:tcPr>
          <w:p w14:paraId="3D3A2576" w14:textId="77777777" w:rsidR="00CE0A95" w:rsidRDefault="00000000">
            <w:pPr>
              <w:pStyle w:val="ImageCaption"/>
              <w:spacing w:before="200"/>
            </w:pPr>
            <w:bookmarkStart w:id="25" w:name="tbl-master-bedroom-detail"/>
            <w:r>
              <w:t>Table 5: Master bedroom detail. Most of the room is visible in a single photograph, including two windows, a bed, a table and a chair.</w:t>
            </w:r>
          </w:p>
          <w:tbl>
            <w:tblPr>
              <w:tblStyle w:val="Table"/>
              <w:tblW w:w="5000" w:type="pct"/>
              <w:tblLayout w:type="fixed"/>
              <w:tblLook w:val="0000" w:firstRow="0" w:lastRow="0" w:firstColumn="0" w:lastColumn="0" w:noHBand="0" w:noVBand="0"/>
            </w:tblPr>
            <w:tblGrid>
              <w:gridCol w:w="897"/>
              <w:gridCol w:w="8247"/>
            </w:tblGrid>
            <w:tr w:rsidR="00CE0A95" w14:paraId="04D8E11E" w14:textId="77777777">
              <w:tc>
                <w:tcPr>
                  <w:tcW w:w="777" w:type="dxa"/>
                </w:tcPr>
                <w:p w14:paraId="7ABC0085" w14:textId="77777777" w:rsidR="00CE0A95" w:rsidRDefault="00000000">
                  <w:pPr>
                    <w:pStyle w:val="Compact"/>
                    <w:jc w:val="center"/>
                  </w:pPr>
                  <w:r>
                    <w:rPr>
                      <w:noProof/>
                    </w:rPr>
                    <w:lastRenderedPageBreak/>
                    <w:drawing>
                      <wp:inline distT="0" distB="0" distL="0" distR="0" wp14:anchorId="10F8159C" wp14:editId="2D455353">
                        <wp:extent cx="3657600" cy="2743200"/>
                        <wp:effectExtent l="0" t="0" r="0" b="0"/>
                        <wp:docPr id="38" name="Picture" descr="Master bedroom detail"/>
                        <wp:cNvGraphicFramePr/>
                        <a:graphic xmlns:a="http://schemas.openxmlformats.org/drawingml/2006/main">
                          <a:graphicData uri="http://schemas.openxmlformats.org/drawingml/2006/picture">
                            <pic:pic xmlns:pic="http://schemas.openxmlformats.org/drawingml/2006/picture">
                              <pic:nvPicPr>
                                <pic:cNvPr id="39" name="Picture" descr="jpg/delini/P7101554_thumbnail.jpg"/>
                                <pic:cNvPicPr>
                                  <a:picLocks noChangeAspect="1" noChangeArrowheads="1"/>
                                </pic:cNvPicPr>
                              </pic:nvPicPr>
                              <pic:blipFill>
                                <a:blip r:embed="rId14"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c>
                <w:tcPr>
                  <w:tcW w:w="7142" w:type="dxa"/>
                </w:tcPr>
                <w:p w14:paraId="196CFAA9" w14:textId="77777777" w:rsidR="00CE0A95" w:rsidRDefault="00000000">
                  <w:pPr>
                    <w:pStyle w:val="Compact"/>
                    <w:jc w:val="center"/>
                  </w:pPr>
                  <w:r>
                    <w:rPr>
                      <w:rStyle w:val="VerbatimChar"/>
                    </w:rPr>
                    <w:t>Master bedroom (detail)</w:t>
                  </w:r>
                  <w:r>
                    <w:t xml:space="preserve">: The master bedroom is not photographed in 360° view, but due to the smaller size of this room, most of it is visible in the photograph, including two windows, a bed, a table and a chair. Two artefacts, the bed (which itself holds several artefacts) and a sash, are described among the </w:t>
                  </w:r>
                  <w:r>
                    <w:rPr>
                      <w:i/>
                      <w:iCs/>
                    </w:rPr>
                    <w:t>Artefacts</w:t>
                  </w:r>
                  <w:r>
                    <w:t xml:space="preserve"> displayed in the house.</w:t>
                  </w:r>
                </w:p>
              </w:tc>
            </w:tr>
            <w:bookmarkEnd w:id="25"/>
          </w:tbl>
          <w:p w14:paraId="0F40E676" w14:textId="77777777" w:rsidR="00CE0A95" w:rsidRDefault="00CE0A95"/>
        </w:tc>
      </w:tr>
    </w:tbl>
    <w:p w14:paraId="766F2642" w14:textId="77777777" w:rsidR="00CE0A95" w:rsidRDefault="00000000">
      <w:pPr>
        <w:pStyle w:val="Heading4"/>
      </w:pPr>
      <w:bookmarkStart w:id="26" w:name="artefacts"/>
      <w:bookmarkEnd w:id="23"/>
      <w:r>
        <w:lastRenderedPageBreak/>
        <w:t>Artefacts</w:t>
      </w:r>
    </w:p>
    <w:p w14:paraId="211BA059" w14:textId="77777777" w:rsidR="00CE0A95" w:rsidRDefault="00000000">
      <w:pPr>
        <w:pStyle w:val="FirstParagraph"/>
      </w:pPr>
      <w:r>
        <w:t>We chose four artefacts from the house. While currently they are on display in the house, and for a visitor or researcher they appear to be a part of the house, it is not clear if the objects were moved together from the farmstead, or were collected elsewhere in Northern Kurzeme.</w:t>
      </w:r>
    </w:p>
    <w:p w14:paraId="3BE33F3D" w14:textId="77777777" w:rsidR="00CE0A95" w:rsidRDefault="00000000">
      <w:pPr>
        <w:pStyle w:val="BodyText"/>
      </w:pPr>
      <w:r>
        <w:t>The distinction between a detail and an artefact is that the artefact itself is a unit of description, and has its own inventory number.</w:t>
      </w:r>
    </w:p>
    <w:tbl>
      <w:tblPr>
        <w:tblStyle w:val="Table"/>
        <w:tblW w:w="5000" w:type="pct"/>
        <w:tblLayout w:type="fixed"/>
        <w:tblLook w:val="0000" w:firstRow="0" w:lastRow="0" w:firstColumn="0" w:lastColumn="0" w:noHBand="0" w:noVBand="0"/>
      </w:tblPr>
      <w:tblGrid>
        <w:gridCol w:w="9360"/>
      </w:tblGrid>
      <w:tr w:rsidR="00CE0A95" w14:paraId="46DBE0CE" w14:textId="77777777">
        <w:tc>
          <w:tcPr>
            <w:tcW w:w="7920" w:type="dxa"/>
          </w:tcPr>
          <w:p w14:paraId="17FDD6E3" w14:textId="77777777" w:rsidR="00CE0A95" w:rsidRDefault="00000000">
            <w:pPr>
              <w:pStyle w:val="ImageCaption"/>
              <w:spacing w:before="200"/>
            </w:pPr>
            <w:bookmarkStart w:id="27" w:name="tbl-leather-shoes"/>
            <w:r>
              <w:t xml:space="preserve">Table 6: The </w:t>
            </w:r>
            <w:r>
              <w:rPr>
                <w:rStyle w:val="VerbatimChar"/>
              </w:rPr>
              <w:t>leather shoes (BDM 6169)</w:t>
            </w:r>
            <w:r>
              <w:t xml:space="preserve"> are photographed from the front and back.</w:t>
            </w:r>
          </w:p>
          <w:tbl>
            <w:tblPr>
              <w:tblStyle w:val="Table"/>
              <w:tblW w:w="5000" w:type="pct"/>
              <w:tblLayout w:type="fixed"/>
              <w:tblLook w:val="0000" w:firstRow="0" w:lastRow="0" w:firstColumn="0" w:lastColumn="0" w:noHBand="0" w:noVBand="0"/>
            </w:tblPr>
            <w:tblGrid>
              <w:gridCol w:w="4627"/>
              <w:gridCol w:w="4517"/>
            </w:tblGrid>
            <w:tr w:rsidR="00CE0A95" w14:paraId="5BAC553A" w14:textId="77777777">
              <w:tc>
                <w:tcPr>
                  <w:tcW w:w="4007" w:type="dxa"/>
                </w:tcPr>
                <w:p w14:paraId="00298023" w14:textId="77777777" w:rsidR="00CE0A95" w:rsidRDefault="00000000">
                  <w:pPr>
                    <w:pStyle w:val="Compact"/>
                    <w:jc w:val="center"/>
                  </w:pPr>
                  <w:r>
                    <w:rPr>
                      <w:noProof/>
                    </w:rPr>
                    <w:drawing>
                      <wp:inline distT="0" distB="0" distL="0" distR="0" wp14:anchorId="781BBCB7" wp14:editId="6779231F">
                        <wp:extent cx="3657600" cy="2743200"/>
                        <wp:effectExtent l="0" t="0" r="0" b="0"/>
                        <wp:docPr id="43" name="Picture" descr="Leather shoes, front view"/>
                        <wp:cNvGraphicFramePr/>
                        <a:graphic xmlns:a="http://schemas.openxmlformats.org/drawingml/2006/main">
                          <a:graphicData uri="http://schemas.openxmlformats.org/drawingml/2006/picture">
                            <pic:pic xmlns:pic="http://schemas.openxmlformats.org/drawingml/2006/picture">
                              <pic:nvPicPr>
                                <pic:cNvPr id="44" name="Picture" descr="jpg/delini/P7101540_thumbnail.jpg"/>
                                <pic:cNvPicPr>
                                  <a:picLocks noChangeAspect="1" noChangeArrowheads="1"/>
                                </pic:cNvPicPr>
                              </pic:nvPicPr>
                              <pic:blipFill>
                                <a:blip r:embed="rId15"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c>
                <w:tcPr>
                  <w:tcW w:w="3912" w:type="dxa"/>
                </w:tcPr>
                <w:p w14:paraId="53255EA2" w14:textId="77777777" w:rsidR="00CE0A95" w:rsidRDefault="00000000">
                  <w:pPr>
                    <w:pStyle w:val="Compact"/>
                    <w:jc w:val="center"/>
                  </w:pPr>
                  <w:r>
                    <w:rPr>
                      <w:noProof/>
                    </w:rPr>
                    <w:drawing>
                      <wp:inline distT="0" distB="0" distL="0" distR="0" wp14:anchorId="01D04196" wp14:editId="69EDEBBA">
                        <wp:extent cx="3657600" cy="2743200"/>
                        <wp:effectExtent l="0" t="0" r="0" b="0"/>
                        <wp:docPr id="46" name="Picture" descr="Leather shoes, back view"/>
                        <wp:cNvGraphicFramePr/>
                        <a:graphic xmlns:a="http://schemas.openxmlformats.org/drawingml/2006/main">
                          <a:graphicData uri="http://schemas.openxmlformats.org/drawingml/2006/picture">
                            <pic:pic xmlns:pic="http://schemas.openxmlformats.org/drawingml/2006/picture">
                              <pic:nvPicPr>
                                <pic:cNvPr id="47" name="Picture" descr="jpg/delini/P7101542_thumbnail.jpg"/>
                                <pic:cNvPicPr>
                                  <a:picLocks noChangeAspect="1" noChangeArrowheads="1"/>
                                </pic:cNvPicPr>
                              </pic:nvPicPr>
                              <pic:blipFill>
                                <a:blip r:embed="rId16"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bookmarkEnd w:id="27"/>
          </w:tbl>
          <w:p w14:paraId="7D4E7B44" w14:textId="77777777" w:rsidR="00CE0A95" w:rsidRDefault="00CE0A95"/>
        </w:tc>
      </w:tr>
    </w:tbl>
    <w:p w14:paraId="7C4C1779" w14:textId="77777777" w:rsidR="00CE0A95"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CE0A95" w14:paraId="2EE2395D" w14:textId="77777777">
        <w:tc>
          <w:tcPr>
            <w:tcW w:w="7920" w:type="dxa"/>
          </w:tcPr>
          <w:p w14:paraId="0E2D7898" w14:textId="77777777" w:rsidR="00CE0A95" w:rsidRDefault="00000000">
            <w:pPr>
              <w:pStyle w:val="ImageCaption"/>
              <w:spacing w:before="200"/>
            </w:pPr>
            <w:bookmarkStart w:id="28" w:name="tbl-leather-shoes-inspection"/>
            <w:r>
              <w:lastRenderedPageBreak/>
              <w:t>Table 7: Inspection photograph of the leather shoes during documentation.</w:t>
            </w:r>
          </w:p>
          <w:tbl>
            <w:tblPr>
              <w:tblStyle w:val="Table"/>
              <w:tblW w:w="5000" w:type="pct"/>
              <w:tblLayout w:type="fixed"/>
              <w:tblLook w:val="0000" w:firstRow="0" w:lastRow="0" w:firstColumn="0" w:lastColumn="0" w:noHBand="0" w:noVBand="0"/>
            </w:tblPr>
            <w:tblGrid>
              <w:gridCol w:w="6275"/>
              <w:gridCol w:w="2869"/>
            </w:tblGrid>
            <w:tr w:rsidR="00CE0A95" w14:paraId="4F016CD0" w14:textId="77777777">
              <w:tc>
                <w:tcPr>
                  <w:tcW w:w="5434" w:type="dxa"/>
                </w:tcPr>
                <w:p w14:paraId="0178079C" w14:textId="77777777" w:rsidR="00CE0A95" w:rsidRDefault="00000000">
                  <w:pPr>
                    <w:pStyle w:val="Compact"/>
                    <w:jc w:val="center"/>
                  </w:pPr>
                  <w:r>
                    <w:t xml:space="preserve">We also created an </w:t>
                  </w:r>
                  <w:r>
                    <w:rPr>
                      <w:i/>
                      <w:iCs/>
                    </w:rPr>
                    <w:t>inspection</w:t>
                  </w:r>
                  <w:r>
                    <w:t xml:space="preserve"> photograph. This photograph documents the curatorial activity associated with the digital twin.</w:t>
                  </w:r>
                </w:p>
              </w:tc>
              <w:tc>
                <w:tcPr>
                  <w:tcW w:w="2485" w:type="dxa"/>
                </w:tcPr>
                <w:p w14:paraId="74C89B79" w14:textId="77777777" w:rsidR="00CE0A95" w:rsidRDefault="00000000">
                  <w:pPr>
                    <w:pStyle w:val="Compact"/>
                    <w:jc w:val="center"/>
                  </w:pPr>
                  <w:r>
                    <w:rPr>
                      <w:noProof/>
                    </w:rPr>
                    <w:drawing>
                      <wp:inline distT="0" distB="0" distL="0" distR="0" wp14:anchorId="5CEAA976" wp14:editId="38A3407E">
                        <wp:extent cx="3657600" cy="2706624"/>
                        <wp:effectExtent l="0" t="0" r="0" b="0"/>
                        <wp:docPr id="50" name="Picture" descr="Inspection photograph of the leather shoes"/>
                        <wp:cNvGraphicFramePr/>
                        <a:graphic xmlns:a="http://schemas.openxmlformats.org/drawingml/2006/main">
                          <a:graphicData uri="http://schemas.openxmlformats.org/drawingml/2006/picture">
                            <pic:pic xmlns:pic="http://schemas.openxmlformats.org/drawingml/2006/picture">
                              <pic:nvPicPr>
                                <pic:cNvPr id="51" name="Picture" descr="jpg/delini/P7101545_thumbnail.jpg"/>
                                <pic:cNvPicPr>
                                  <a:picLocks noChangeAspect="1" noChangeArrowheads="1"/>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3657600" cy="2706624"/>
                                </a:xfrm>
                                <a:prstGeom prst="rect">
                                  <a:avLst/>
                                </a:prstGeom>
                                <a:noFill/>
                                <a:ln w="9525">
                                  <a:noFill/>
                                  <a:headEnd/>
                                  <a:tailEnd/>
                                </a:ln>
                              </pic:spPr>
                            </pic:pic>
                          </a:graphicData>
                        </a:graphic>
                      </wp:inline>
                    </w:drawing>
                  </w:r>
                </w:p>
              </w:tc>
            </w:tr>
            <w:bookmarkEnd w:id="28"/>
          </w:tbl>
          <w:p w14:paraId="04B856AF" w14:textId="77777777" w:rsidR="00CE0A95" w:rsidRDefault="00CE0A95"/>
        </w:tc>
      </w:tr>
    </w:tbl>
    <w:p w14:paraId="37BF6AB2" w14:textId="77777777" w:rsidR="00CE0A95"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CE0A95" w14:paraId="76887082" w14:textId="77777777">
        <w:tc>
          <w:tcPr>
            <w:tcW w:w="7920" w:type="dxa"/>
          </w:tcPr>
          <w:p w14:paraId="456CF433" w14:textId="77777777" w:rsidR="00CE0A95" w:rsidRDefault="00000000">
            <w:pPr>
              <w:pStyle w:val="ImageCaption"/>
              <w:spacing w:before="200"/>
            </w:pPr>
            <w:bookmarkStart w:id="29" w:name="tbl-big-spoon"/>
            <w:r>
              <w:t xml:space="preserve">Table 8: The </w:t>
            </w:r>
            <w:r>
              <w:rPr>
                <w:rStyle w:val="VerbatimChar"/>
              </w:rPr>
              <w:t>big spoon (BDM 7611)</w:t>
            </w:r>
            <w:r>
              <w:t xml:space="preserve"> is photographed in situ behind the fireplace, next to the oven.</w:t>
            </w:r>
          </w:p>
          <w:tbl>
            <w:tblPr>
              <w:tblStyle w:val="Table"/>
              <w:tblW w:w="5000" w:type="pct"/>
              <w:tblLayout w:type="fixed"/>
              <w:tblLook w:val="0000" w:firstRow="0" w:lastRow="0" w:firstColumn="0" w:lastColumn="0" w:noHBand="0" w:noVBand="0"/>
            </w:tblPr>
            <w:tblGrid>
              <w:gridCol w:w="3941"/>
              <w:gridCol w:w="5203"/>
            </w:tblGrid>
            <w:tr w:rsidR="00CE0A95" w14:paraId="707D4751" w14:textId="77777777">
              <w:tc>
                <w:tcPr>
                  <w:tcW w:w="3413" w:type="dxa"/>
                </w:tcPr>
                <w:p w14:paraId="7FE11194" w14:textId="77777777" w:rsidR="00CE0A95" w:rsidRDefault="00000000">
                  <w:pPr>
                    <w:pStyle w:val="Compact"/>
                    <w:jc w:val="center"/>
                  </w:pPr>
                  <w:r>
                    <w:rPr>
                      <w:noProof/>
                    </w:rPr>
                    <w:drawing>
                      <wp:inline distT="0" distB="0" distL="0" distR="0" wp14:anchorId="4B9A9A93" wp14:editId="5F7578AC">
                        <wp:extent cx="2743200" cy="3657600"/>
                        <wp:effectExtent l="0" t="0" r="0" b="0"/>
                        <wp:docPr id="54" name="Picture" descr="Big spoon"/>
                        <wp:cNvGraphicFramePr/>
                        <a:graphic xmlns:a="http://schemas.openxmlformats.org/drawingml/2006/main">
                          <a:graphicData uri="http://schemas.openxmlformats.org/drawingml/2006/picture">
                            <pic:pic xmlns:pic="http://schemas.openxmlformats.org/drawingml/2006/picture">
                              <pic:nvPicPr>
                                <pic:cNvPr id="55" name="Picture" descr="jpg/delini/P7101537_thumbnail.jpg"/>
                                <pic:cNvPicPr>
                                  <a:picLocks noChangeAspect="1" noChangeArrowheads="1"/>
                                </pic:cNvPicPr>
                              </pic:nvPicPr>
                              <pic:blipFill>
                                <a:blip r:embed="rId18" cstate="email">
                                  <a:extLst>
                                    <a:ext uri="{28A0092B-C50C-407E-A947-70E740481C1C}">
                                      <a14:useLocalDpi xmlns:a14="http://schemas.microsoft.com/office/drawing/2010/main"/>
                                    </a:ext>
                                  </a:extLst>
                                </a:blip>
                                <a:stretch>
                                  <a:fillRect/>
                                </a:stretch>
                              </pic:blipFill>
                              <pic:spPr bwMode="auto">
                                <a:xfrm>
                                  <a:off x="0" y="0"/>
                                  <a:ext cx="2743200" cy="3657600"/>
                                </a:xfrm>
                                <a:prstGeom prst="rect">
                                  <a:avLst/>
                                </a:prstGeom>
                                <a:noFill/>
                                <a:ln w="9525">
                                  <a:noFill/>
                                  <a:headEnd/>
                                  <a:tailEnd/>
                                </a:ln>
                              </pic:spPr>
                            </pic:pic>
                          </a:graphicData>
                        </a:graphic>
                      </wp:inline>
                    </w:drawing>
                  </w:r>
                </w:p>
              </w:tc>
              <w:tc>
                <w:tcPr>
                  <w:tcW w:w="4506" w:type="dxa"/>
                </w:tcPr>
                <w:p w14:paraId="786C5EC9" w14:textId="77777777" w:rsidR="00CE0A95" w:rsidRDefault="00000000">
                  <w:pPr>
                    <w:pStyle w:val="Compact"/>
                    <w:jc w:val="center"/>
                  </w:pPr>
                  <w:r>
                    <w:rPr>
                      <w:noProof/>
                    </w:rPr>
                    <w:drawing>
                      <wp:inline distT="0" distB="0" distL="0" distR="0" wp14:anchorId="0BA1332A" wp14:editId="632A0E5A">
                        <wp:extent cx="2743200" cy="3657600"/>
                        <wp:effectExtent l="0" t="0" r="0" b="0"/>
                        <wp:docPr id="57" name="Picture" descr="Big spoon in situ"/>
                        <wp:cNvGraphicFramePr/>
                        <a:graphic xmlns:a="http://schemas.openxmlformats.org/drawingml/2006/main">
                          <a:graphicData uri="http://schemas.openxmlformats.org/drawingml/2006/picture">
                            <pic:pic xmlns:pic="http://schemas.openxmlformats.org/drawingml/2006/picture">
                              <pic:nvPicPr>
                                <pic:cNvPr id="58" name="Picture" descr="jpg/delini/P7101538_thumbnail.jpg"/>
                                <pic:cNvPicPr>
                                  <a:picLocks noChangeAspect="1" noChangeArrowheads="1"/>
                                </pic:cNvPicPr>
                              </pic:nvPicPr>
                              <pic:blipFill>
                                <a:blip r:embed="rId19" cstate="email">
                                  <a:extLst>
                                    <a:ext uri="{28A0092B-C50C-407E-A947-70E740481C1C}">
                                      <a14:useLocalDpi xmlns:a14="http://schemas.microsoft.com/office/drawing/2010/main"/>
                                    </a:ext>
                                  </a:extLst>
                                </a:blip>
                                <a:stretch>
                                  <a:fillRect/>
                                </a:stretch>
                              </pic:blipFill>
                              <pic:spPr bwMode="auto">
                                <a:xfrm>
                                  <a:off x="0" y="0"/>
                                  <a:ext cx="2743200" cy="3657600"/>
                                </a:xfrm>
                                <a:prstGeom prst="rect">
                                  <a:avLst/>
                                </a:prstGeom>
                                <a:noFill/>
                                <a:ln w="9525">
                                  <a:noFill/>
                                  <a:headEnd/>
                                  <a:tailEnd/>
                                </a:ln>
                              </pic:spPr>
                            </pic:pic>
                          </a:graphicData>
                        </a:graphic>
                      </wp:inline>
                    </w:drawing>
                  </w:r>
                </w:p>
              </w:tc>
            </w:tr>
            <w:bookmarkEnd w:id="29"/>
          </w:tbl>
          <w:p w14:paraId="1125E9D6" w14:textId="77777777" w:rsidR="00CE0A95" w:rsidRDefault="00CE0A95"/>
        </w:tc>
      </w:tr>
    </w:tbl>
    <w:p w14:paraId="6B512D26" w14:textId="77777777" w:rsidR="00CE0A95" w:rsidRDefault="00000000">
      <w:pPr>
        <w:pStyle w:val="BodyText"/>
      </w:pPr>
      <w:r>
        <w:lastRenderedPageBreak/>
        <w:t xml:space="preserve">The </w:t>
      </w:r>
      <w:r>
        <w:rPr>
          <w:rStyle w:val="VerbatimChar"/>
        </w:rPr>
        <w:t>bed (inventory number missing)</w:t>
      </w:r>
      <w:r>
        <w:t xml:space="preserve"> is located in the master bedroom. It is covered with a colorful textile blanket typical to Northern Kurzeme and it has a pillow above the mattress. So, in fact, the bed itself could be described as a single artefact in the house, or as a set of related artefacts.</w:t>
      </w:r>
    </w:p>
    <w:tbl>
      <w:tblPr>
        <w:tblStyle w:val="Table"/>
        <w:tblW w:w="5000" w:type="pct"/>
        <w:tblLayout w:type="fixed"/>
        <w:tblLook w:val="0000" w:firstRow="0" w:lastRow="0" w:firstColumn="0" w:lastColumn="0" w:noHBand="0" w:noVBand="0"/>
      </w:tblPr>
      <w:tblGrid>
        <w:gridCol w:w="9360"/>
      </w:tblGrid>
      <w:tr w:rsidR="00CE0A95" w14:paraId="00BA0E07" w14:textId="77777777">
        <w:tc>
          <w:tcPr>
            <w:tcW w:w="7920" w:type="dxa"/>
          </w:tcPr>
          <w:p w14:paraId="243E09CF" w14:textId="77777777" w:rsidR="00CE0A95" w:rsidRDefault="00000000">
            <w:pPr>
              <w:pStyle w:val="ImageCaption"/>
              <w:spacing w:before="200"/>
            </w:pPr>
            <w:bookmarkStart w:id="30" w:name="tbl-sash-bed"/>
            <w:r>
              <w:t>Table 9: The sash and bed displayed in the master bedroom.</w:t>
            </w:r>
          </w:p>
          <w:tbl>
            <w:tblPr>
              <w:tblStyle w:val="Table"/>
              <w:tblW w:w="5000" w:type="pct"/>
              <w:tblLayout w:type="fixed"/>
              <w:tblLook w:val="0000" w:firstRow="0" w:lastRow="0" w:firstColumn="0" w:lastColumn="0" w:noHBand="0" w:noVBand="0"/>
            </w:tblPr>
            <w:tblGrid>
              <w:gridCol w:w="2626"/>
              <w:gridCol w:w="6518"/>
            </w:tblGrid>
            <w:tr w:rsidR="00CE0A95" w14:paraId="6824696F" w14:textId="77777777">
              <w:tc>
                <w:tcPr>
                  <w:tcW w:w="2274" w:type="dxa"/>
                </w:tcPr>
                <w:p w14:paraId="7B0B1F8A" w14:textId="77777777" w:rsidR="00CE0A95" w:rsidRDefault="00000000">
                  <w:pPr>
                    <w:pStyle w:val="Compact"/>
                    <w:jc w:val="center"/>
                  </w:pPr>
                  <w:r>
                    <w:rPr>
                      <w:noProof/>
                    </w:rPr>
                    <w:drawing>
                      <wp:inline distT="0" distB="0" distL="0" distR="0" wp14:anchorId="7212A4F4" wp14:editId="13D1655B">
                        <wp:extent cx="2743200" cy="3657600"/>
                        <wp:effectExtent l="0" t="0" r="0" b="0"/>
                        <wp:docPr id="61" name="Picture" descr="Tablet-woven sash"/>
                        <wp:cNvGraphicFramePr/>
                        <a:graphic xmlns:a="http://schemas.openxmlformats.org/drawingml/2006/main">
                          <a:graphicData uri="http://schemas.openxmlformats.org/drawingml/2006/picture">
                            <pic:pic xmlns:pic="http://schemas.openxmlformats.org/drawingml/2006/picture">
                              <pic:nvPicPr>
                                <pic:cNvPr id="62" name="Picture" descr="jpg/delini/P7101561_thumbnail.jpg"/>
                                <pic:cNvPicPr>
                                  <a:picLocks noChangeAspect="1" noChangeArrowheads="1"/>
                                </pic:cNvPicPr>
                              </pic:nvPicPr>
                              <pic:blipFill>
                                <a:blip r:embed="rId20" cstate="email">
                                  <a:extLst>
                                    <a:ext uri="{28A0092B-C50C-407E-A947-70E740481C1C}">
                                      <a14:useLocalDpi xmlns:a14="http://schemas.microsoft.com/office/drawing/2010/main"/>
                                    </a:ext>
                                  </a:extLst>
                                </a:blip>
                                <a:stretch>
                                  <a:fillRect/>
                                </a:stretch>
                              </pic:blipFill>
                              <pic:spPr bwMode="auto">
                                <a:xfrm>
                                  <a:off x="0" y="0"/>
                                  <a:ext cx="2743200" cy="3657600"/>
                                </a:xfrm>
                                <a:prstGeom prst="rect">
                                  <a:avLst/>
                                </a:prstGeom>
                                <a:noFill/>
                                <a:ln w="9525">
                                  <a:noFill/>
                                  <a:headEnd/>
                                  <a:tailEnd/>
                                </a:ln>
                              </pic:spPr>
                            </pic:pic>
                          </a:graphicData>
                        </a:graphic>
                      </wp:inline>
                    </w:drawing>
                  </w:r>
                </w:p>
              </w:tc>
              <w:tc>
                <w:tcPr>
                  <w:tcW w:w="5645" w:type="dxa"/>
                </w:tcPr>
                <w:p w14:paraId="74C5ED10" w14:textId="77777777" w:rsidR="00CE0A95" w:rsidRDefault="00000000">
                  <w:pPr>
                    <w:pStyle w:val="Compact"/>
                    <w:jc w:val="center"/>
                  </w:pPr>
                  <w:r>
                    <w:rPr>
                      <w:noProof/>
                    </w:rPr>
                    <w:drawing>
                      <wp:inline distT="0" distB="0" distL="0" distR="0" wp14:anchorId="02F575E1" wp14:editId="5070D613">
                        <wp:extent cx="3657600" cy="2743200"/>
                        <wp:effectExtent l="0" t="0" r="0" b="0"/>
                        <wp:docPr id="64" name="Picture" descr="Bed in the master bedroom"/>
                        <wp:cNvGraphicFramePr/>
                        <a:graphic xmlns:a="http://schemas.openxmlformats.org/drawingml/2006/main">
                          <a:graphicData uri="http://schemas.openxmlformats.org/drawingml/2006/picture">
                            <pic:pic xmlns:pic="http://schemas.openxmlformats.org/drawingml/2006/picture">
                              <pic:nvPicPr>
                                <pic:cNvPr id="65" name="Picture" descr="jpg/delini/P7101556_thumbnail.jpg"/>
                                <pic:cNvPicPr>
                                  <a:picLocks noChangeAspect="1" noChangeArrowheads="1"/>
                                </pic:cNvPicPr>
                              </pic:nvPicPr>
                              <pic:blipFill>
                                <a:blip r:embed="rId21"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tr w:rsidR="00CE0A95" w14:paraId="7AD7062B" w14:textId="77777777">
              <w:tc>
                <w:tcPr>
                  <w:tcW w:w="2274" w:type="dxa"/>
                </w:tcPr>
                <w:p w14:paraId="57EDB372" w14:textId="77777777" w:rsidR="00CE0A95" w:rsidRDefault="00000000">
                  <w:pPr>
                    <w:pStyle w:val="Compact"/>
                    <w:jc w:val="center"/>
                  </w:pPr>
                  <w:r>
                    <w:t xml:space="preserve">The </w:t>
                  </w:r>
                  <w:r>
                    <w:rPr>
                      <w:rStyle w:val="VerbatimChar"/>
                    </w:rPr>
                    <w:t>sash (BDM zpn 8246)</w:t>
                  </w:r>
                  <w:r>
                    <w:t xml:space="preserve"> is a black, pink and red tablet-woven sash photographed hanging in the master bedroom.</w:t>
                  </w:r>
                </w:p>
              </w:tc>
              <w:tc>
                <w:tcPr>
                  <w:tcW w:w="5645" w:type="dxa"/>
                </w:tcPr>
                <w:p w14:paraId="5509FA60" w14:textId="77777777" w:rsidR="00CE0A95" w:rsidRDefault="00000000">
                  <w:pPr>
                    <w:pStyle w:val="Compact"/>
                    <w:jc w:val="center"/>
                  </w:pPr>
                  <w:r>
                    <w:t xml:space="preserve">The </w:t>
                  </w:r>
                  <w:r>
                    <w:rPr>
                      <w:rStyle w:val="VerbatimChar"/>
                    </w:rPr>
                    <w:t>bed (inventory number missing)</w:t>
                  </w:r>
                  <w:r>
                    <w:t xml:space="preserve"> is located in the master bedroom. It is covered with a colourful textile blanket typical of Northern Kurzeme and has a pillow above the mattress. The bed could therefore be described either as a single artefact or as a set of related artefacts.</w:t>
                  </w:r>
                </w:p>
              </w:tc>
            </w:tr>
            <w:bookmarkEnd w:id="30"/>
          </w:tbl>
          <w:p w14:paraId="2614A2E6" w14:textId="77777777" w:rsidR="00CE0A95" w:rsidRDefault="00CE0A95"/>
        </w:tc>
      </w:tr>
    </w:tbl>
    <w:p w14:paraId="7CB8C60E" w14:textId="77777777" w:rsidR="00CE0A95" w:rsidRDefault="00000000">
      <w:pPr>
        <w:pStyle w:val="Heading2"/>
      </w:pPr>
      <w:bookmarkStart w:id="31" w:name="folio"/>
      <w:bookmarkStart w:id="32" w:name="_Toc239495446"/>
      <w:bookmarkEnd w:id="20"/>
      <w:bookmarkEnd w:id="26"/>
      <w:r>
        <w:t>Folio</w:t>
      </w:r>
      <w:bookmarkEnd w:id="32"/>
    </w:p>
    <w:p w14:paraId="57930B09" w14:textId="77777777" w:rsidR="00CE0A95" w:rsidRDefault="00000000">
      <w:pPr>
        <w:pStyle w:val="FirstParagraph"/>
      </w:pPr>
      <w:r>
        <w:t>We made one photograph of the folio itself.</w:t>
      </w:r>
    </w:p>
    <w:p w14:paraId="3F1B38B4" w14:textId="77777777" w:rsidR="00CE0A95" w:rsidRDefault="00000000">
      <w:pPr>
        <w:pStyle w:val="Heading3"/>
      </w:pPr>
      <w:bookmarkStart w:id="33" w:name="box-1"/>
      <w:bookmarkStart w:id="34" w:name="_Toc239495447"/>
      <w:r>
        <w:t>Box 1</w:t>
      </w:r>
      <w:bookmarkEnd w:id="34"/>
    </w:p>
    <w:p w14:paraId="125B2277" w14:textId="77777777" w:rsidR="00CE0A95" w:rsidRDefault="00000000">
      <w:pPr>
        <w:pStyle w:val="Heading4"/>
      </w:pPr>
      <w:bookmarkStart w:id="35" w:name="folder-1"/>
      <w:r>
        <w:t>Folder 1</w:t>
      </w:r>
    </w:p>
    <w:tbl>
      <w:tblPr>
        <w:tblStyle w:val="Table"/>
        <w:tblW w:w="5000" w:type="pct"/>
        <w:tblLayout w:type="fixed"/>
        <w:tblLook w:val="0000" w:firstRow="0" w:lastRow="0" w:firstColumn="0" w:lastColumn="0" w:noHBand="0" w:noVBand="0"/>
      </w:tblPr>
      <w:tblGrid>
        <w:gridCol w:w="9360"/>
      </w:tblGrid>
      <w:tr w:rsidR="00CE0A95" w14:paraId="43055EF0" w14:textId="77777777">
        <w:tc>
          <w:tcPr>
            <w:tcW w:w="7920" w:type="dxa"/>
          </w:tcPr>
          <w:p w14:paraId="4D45F73C" w14:textId="77777777" w:rsidR="00CE0A95" w:rsidRDefault="00000000">
            <w:pPr>
              <w:pStyle w:val="ImageCaption"/>
              <w:spacing w:before="200"/>
            </w:pPr>
            <w:bookmarkStart w:id="36" w:name="tbl-box-1"/>
            <w:r>
              <w:t>Table 10: Box 1, containing three folders and a photo envelope.</w:t>
            </w:r>
          </w:p>
          <w:tbl>
            <w:tblPr>
              <w:tblStyle w:val="Table"/>
              <w:tblW w:w="5000" w:type="pct"/>
              <w:tblLayout w:type="fixed"/>
              <w:tblLook w:val="0000" w:firstRow="0" w:lastRow="0" w:firstColumn="0" w:lastColumn="0" w:noHBand="0" w:noVBand="0"/>
            </w:tblPr>
            <w:tblGrid>
              <w:gridCol w:w="7425"/>
              <w:gridCol w:w="1719"/>
            </w:tblGrid>
            <w:tr w:rsidR="00CE0A95" w14:paraId="5084E8B1" w14:textId="77777777">
              <w:tc>
                <w:tcPr>
                  <w:tcW w:w="6430" w:type="dxa"/>
                </w:tcPr>
                <w:p w14:paraId="102AA7FE" w14:textId="77777777" w:rsidR="00CE0A95" w:rsidRDefault="00000000">
                  <w:pPr>
                    <w:pStyle w:val="Compact"/>
                    <w:jc w:val="center"/>
                  </w:pPr>
                  <w:r>
                    <w:lastRenderedPageBreak/>
                    <w:t>We made a photograph of the box itself. This box contains three folders and a photo envelope.</w:t>
                  </w:r>
                </w:p>
              </w:tc>
              <w:tc>
                <w:tcPr>
                  <w:tcW w:w="1489" w:type="dxa"/>
                </w:tcPr>
                <w:p w14:paraId="4F7B8407" w14:textId="77777777" w:rsidR="00CE0A95" w:rsidRDefault="00000000">
                  <w:pPr>
                    <w:pStyle w:val="Compact"/>
                    <w:jc w:val="center"/>
                  </w:pPr>
                  <w:r>
                    <w:rPr>
                      <w:noProof/>
                    </w:rPr>
                    <w:drawing>
                      <wp:inline distT="0" distB="0" distL="0" distR="0" wp14:anchorId="3657CFDA" wp14:editId="2620B948">
                        <wp:extent cx="3657600" cy="2731008"/>
                        <wp:effectExtent l="0" t="0" r="0" b="0"/>
                        <wp:docPr id="70" name="Picture" descr="Box 1"/>
                        <wp:cNvGraphicFramePr/>
                        <a:graphic xmlns:a="http://schemas.openxmlformats.org/drawingml/2006/main">
                          <a:graphicData uri="http://schemas.openxmlformats.org/drawingml/2006/picture">
                            <pic:pic xmlns:pic="http://schemas.openxmlformats.org/drawingml/2006/picture">
                              <pic:nvPicPr>
                                <pic:cNvPr id="71" name="Picture" descr="jpg/delini/box_1_folder_1/P7101635_thumbnail.jpg"/>
                                <pic:cNvPicPr>
                                  <a:picLocks noChangeAspect="1" noChangeArrowheads="1"/>
                                </pic:cNvPicPr>
                              </pic:nvPicPr>
                              <pic:blipFill>
                                <a:blip r:embed="rId22" cstate="email">
                                  <a:extLst>
                                    <a:ext uri="{28A0092B-C50C-407E-A947-70E740481C1C}">
                                      <a14:useLocalDpi xmlns:a14="http://schemas.microsoft.com/office/drawing/2010/main"/>
                                    </a:ext>
                                  </a:extLst>
                                </a:blip>
                                <a:stretch>
                                  <a:fillRect/>
                                </a:stretch>
                              </pic:blipFill>
                              <pic:spPr bwMode="auto">
                                <a:xfrm>
                                  <a:off x="0" y="0"/>
                                  <a:ext cx="3657600" cy="2731008"/>
                                </a:xfrm>
                                <a:prstGeom prst="rect">
                                  <a:avLst/>
                                </a:prstGeom>
                                <a:noFill/>
                                <a:ln w="9525">
                                  <a:noFill/>
                                  <a:headEnd/>
                                  <a:tailEnd/>
                                </a:ln>
                              </pic:spPr>
                            </pic:pic>
                          </a:graphicData>
                        </a:graphic>
                      </wp:inline>
                    </w:drawing>
                  </w:r>
                </w:p>
              </w:tc>
            </w:tr>
            <w:bookmarkEnd w:id="36"/>
          </w:tbl>
          <w:p w14:paraId="15DFBA93" w14:textId="77777777" w:rsidR="00CE0A95" w:rsidRDefault="00CE0A95"/>
        </w:tc>
      </w:tr>
    </w:tbl>
    <w:p w14:paraId="4017E63E" w14:textId="77777777" w:rsidR="00CE0A95" w:rsidRDefault="00000000">
      <w:pPr>
        <w:pStyle w:val="BodyText"/>
      </w:pPr>
      <w:r>
        <w:lastRenderedPageBreak/>
        <w:t xml:space="preserve">We reproduced 7 document pages from </w:t>
      </w:r>
      <w:r>
        <w:rPr>
          <w:rStyle w:val="VerbatimChar"/>
        </w:rPr>
        <w:t>Folder 1</w:t>
      </w:r>
      <w:r>
        <w:t>, and made a photograph of the folder itself. This folder contains various documents: a hand-written note on the biographical data of the inhabitants of the farmstead before disassembly and relocation, blueprint drawings, etc.</w:t>
      </w:r>
    </w:p>
    <w:tbl>
      <w:tblPr>
        <w:tblStyle w:val="Table"/>
        <w:tblW w:w="5000" w:type="pct"/>
        <w:tblLayout w:type="fixed"/>
        <w:tblLook w:val="0000" w:firstRow="0" w:lastRow="0" w:firstColumn="0" w:lastColumn="0" w:noHBand="0" w:noVBand="0"/>
      </w:tblPr>
      <w:tblGrid>
        <w:gridCol w:w="9360"/>
      </w:tblGrid>
      <w:tr w:rsidR="00CE0A95" w14:paraId="22A70589" w14:textId="77777777">
        <w:tc>
          <w:tcPr>
            <w:tcW w:w="7920" w:type="dxa"/>
          </w:tcPr>
          <w:p w14:paraId="6FE8B62E" w14:textId="77777777" w:rsidR="00CE0A95" w:rsidRDefault="00000000">
            <w:pPr>
              <w:pStyle w:val="ImageCaption"/>
              <w:spacing w:before="200"/>
            </w:pPr>
            <w:bookmarkStart w:id="37" w:name="tbl-box-1-contents"/>
            <w:r>
              <w:t>Table 11: Two example records from the box.</w:t>
            </w:r>
          </w:p>
          <w:tbl>
            <w:tblPr>
              <w:tblStyle w:val="Table"/>
              <w:tblW w:w="5000" w:type="pct"/>
              <w:tblLayout w:type="fixed"/>
              <w:tblLook w:val="0000" w:firstRow="0" w:lastRow="0" w:firstColumn="0" w:lastColumn="0" w:noHBand="0" w:noVBand="0"/>
            </w:tblPr>
            <w:tblGrid>
              <w:gridCol w:w="4572"/>
              <w:gridCol w:w="4572"/>
            </w:tblGrid>
            <w:tr w:rsidR="00CE0A95" w14:paraId="57EF39A1" w14:textId="77777777">
              <w:tc>
                <w:tcPr>
                  <w:tcW w:w="3960" w:type="dxa"/>
                </w:tcPr>
                <w:p w14:paraId="4DA204DC" w14:textId="77777777" w:rsidR="00CE0A95" w:rsidRDefault="00000000">
                  <w:pPr>
                    <w:pStyle w:val="Compact"/>
                    <w:jc w:val="center"/>
                  </w:pPr>
                  <w:r>
                    <w:rPr>
                      <w:noProof/>
                    </w:rPr>
                    <w:drawing>
                      <wp:inline distT="0" distB="0" distL="0" distR="0" wp14:anchorId="292EA491" wp14:editId="64B2457D">
                        <wp:extent cx="3657600" cy="2752344"/>
                        <wp:effectExtent l="0" t="0" r="0" b="0"/>
                        <wp:docPr id="74" name="Picture" descr="Box 1"/>
                        <wp:cNvGraphicFramePr/>
                        <a:graphic xmlns:a="http://schemas.openxmlformats.org/drawingml/2006/main">
                          <a:graphicData uri="http://schemas.openxmlformats.org/drawingml/2006/picture">
                            <pic:pic xmlns:pic="http://schemas.openxmlformats.org/drawingml/2006/picture">
                              <pic:nvPicPr>
                                <pic:cNvPr id="75" name="Picture" descr="jpg/delini/box_1_folder_1/P7101622_thumbnail.jpg"/>
                                <pic:cNvPicPr>
                                  <a:picLocks noChangeAspect="1" noChangeArrowheads="1"/>
                                </pic:cNvPicPr>
                              </pic:nvPicPr>
                              <pic:blipFill>
                                <a:blip r:embed="rId23" cstate="email">
                                  <a:extLst>
                                    <a:ext uri="{28A0092B-C50C-407E-A947-70E740481C1C}">
                                      <a14:useLocalDpi xmlns:a14="http://schemas.microsoft.com/office/drawing/2010/main"/>
                                    </a:ext>
                                  </a:extLst>
                                </a:blip>
                                <a:stretch>
                                  <a:fillRect/>
                                </a:stretch>
                              </pic:blipFill>
                              <pic:spPr bwMode="auto">
                                <a:xfrm>
                                  <a:off x="0" y="0"/>
                                  <a:ext cx="3657600" cy="2752344"/>
                                </a:xfrm>
                                <a:prstGeom prst="rect">
                                  <a:avLst/>
                                </a:prstGeom>
                                <a:noFill/>
                                <a:ln w="9525">
                                  <a:noFill/>
                                  <a:headEnd/>
                                  <a:tailEnd/>
                                </a:ln>
                              </pic:spPr>
                            </pic:pic>
                          </a:graphicData>
                        </a:graphic>
                      </wp:inline>
                    </w:drawing>
                  </w:r>
                </w:p>
              </w:tc>
              <w:tc>
                <w:tcPr>
                  <w:tcW w:w="3960" w:type="dxa"/>
                </w:tcPr>
                <w:p w14:paraId="5BA15964" w14:textId="77777777" w:rsidR="00CE0A95" w:rsidRDefault="00000000">
                  <w:pPr>
                    <w:pStyle w:val="Compact"/>
                    <w:jc w:val="center"/>
                  </w:pPr>
                  <w:r>
                    <w:rPr>
                      <w:noProof/>
                    </w:rPr>
                    <w:drawing>
                      <wp:inline distT="0" distB="0" distL="0" distR="0" wp14:anchorId="38E2670F" wp14:editId="717305CC">
                        <wp:extent cx="3657600" cy="2752344"/>
                        <wp:effectExtent l="0" t="0" r="0" b="0"/>
                        <wp:docPr id="77" name="Picture" descr="Box 1"/>
                        <wp:cNvGraphicFramePr/>
                        <a:graphic xmlns:a="http://schemas.openxmlformats.org/drawingml/2006/main">
                          <a:graphicData uri="http://schemas.openxmlformats.org/drawingml/2006/picture">
                            <pic:pic xmlns:pic="http://schemas.openxmlformats.org/drawingml/2006/picture">
                              <pic:nvPicPr>
                                <pic:cNvPr id="78" name="Picture" descr="jpg/delini/box_1_folder_1/P7101623_thumbnail.jpg"/>
                                <pic:cNvPicPr>
                                  <a:picLocks noChangeAspect="1" noChangeArrowheads="1"/>
                                </pic:cNvPicPr>
                              </pic:nvPicPr>
                              <pic:blipFill>
                                <a:blip r:embed="rId24" cstate="email">
                                  <a:extLst>
                                    <a:ext uri="{28A0092B-C50C-407E-A947-70E740481C1C}">
                                      <a14:useLocalDpi xmlns:a14="http://schemas.microsoft.com/office/drawing/2010/main"/>
                                    </a:ext>
                                  </a:extLst>
                                </a:blip>
                                <a:stretch>
                                  <a:fillRect/>
                                </a:stretch>
                              </pic:blipFill>
                              <pic:spPr bwMode="auto">
                                <a:xfrm>
                                  <a:off x="0" y="0"/>
                                  <a:ext cx="3657600" cy="2752344"/>
                                </a:xfrm>
                                <a:prstGeom prst="rect">
                                  <a:avLst/>
                                </a:prstGeom>
                                <a:noFill/>
                                <a:ln w="9525">
                                  <a:noFill/>
                                  <a:headEnd/>
                                  <a:tailEnd/>
                                </a:ln>
                              </pic:spPr>
                            </pic:pic>
                          </a:graphicData>
                        </a:graphic>
                      </wp:inline>
                    </w:drawing>
                  </w:r>
                </w:p>
              </w:tc>
            </w:tr>
            <w:bookmarkEnd w:id="37"/>
          </w:tbl>
          <w:p w14:paraId="0F82A956" w14:textId="77777777" w:rsidR="00CE0A95" w:rsidRDefault="00CE0A95"/>
        </w:tc>
      </w:tr>
    </w:tbl>
    <w:p w14:paraId="7C8C2292" w14:textId="77777777" w:rsidR="00CE0A95" w:rsidRDefault="00000000">
      <w:pPr>
        <w:pStyle w:val="Heading4"/>
      </w:pPr>
      <w:bookmarkStart w:id="38" w:name="folder-2-bdm-czm-110"/>
      <w:bookmarkEnd w:id="35"/>
      <w:r>
        <w:t>Folder 2: BDM CZM 110</w:t>
      </w:r>
    </w:p>
    <w:p w14:paraId="27173805" w14:textId="77777777" w:rsidR="00CE0A95" w:rsidRDefault="00000000">
      <w:pPr>
        <w:pStyle w:val="FirstParagraph"/>
      </w:pPr>
      <w:r>
        <w:t xml:space="preserve">We reproduced 12 pages from </w:t>
      </w:r>
      <w:r>
        <w:rPr>
          <w:rStyle w:val="VerbatimChar"/>
        </w:rPr>
        <w:t>Folder 2</w:t>
      </w:r>
      <w:r>
        <w:t xml:space="preserve"> documenting the disassembling of the building, and made a photograph of the folder itself. The 12 carton pages are A4 (GOST 9327-60) pages that hold one black and white photograph each, and contain their identification number.</w:t>
      </w:r>
    </w:p>
    <w:tbl>
      <w:tblPr>
        <w:tblStyle w:val="Table"/>
        <w:tblW w:w="5000" w:type="pct"/>
        <w:tblLayout w:type="fixed"/>
        <w:tblLook w:val="0000" w:firstRow="0" w:lastRow="0" w:firstColumn="0" w:lastColumn="0" w:noHBand="0" w:noVBand="0"/>
      </w:tblPr>
      <w:tblGrid>
        <w:gridCol w:w="9360"/>
      </w:tblGrid>
      <w:tr w:rsidR="00CE0A95" w14:paraId="5FF3EAA8" w14:textId="77777777">
        <w:tc>
          <w:tcPr>
            <w:tcW w:w="7920" w:type="dxa"/>
          </w:tcPr>
          <w:p w14:paraId="40CCF0C2" w14:textId="77777777" w:rsidR="00CE0A95" w:rsidRDefault="00000000">
            <w:pPr>
              <w:pStyle w:val="ImageCaption"/>
              <w:spacing w:before="200"/>
            </w:pPr>
            <w:bookmarkStart w:id="39" w:name="tbl-folder-2"/>
            <w:r>
              <w:lastRenderedPageBreak/>
              <w:t xml:space="preserve">Table 12: Examples from </w:t>
            </w:r>
            <w:r>
              <w:rPr>
                <w:rStyle w:val="VerbatimChar"/>
              </w:rPr>
              <w:t>Folder 2 (BDM CZM 110)</w:t>
            </w:r>
            <w:r>
              <w:t>, documenting the dismantling of the building.</w:t>
            </w:r>
          </w:p>
          <w:tbl>
            <w:tblPr>
              <w:tblStyle w:val="Table"/>
              <w:tblW w:w="5000" w:type="pct"/>
              <w:tblLayout w:type="fixed"/>
              <w:tblLook w:val="0000" w:firstRow="0" w:lastRow="0" w:firstColumn="0" w:lastColumn="0" w:noHBand="0" w:noVBand="0"/>
            </w:tblPr>
            <w:tblGrid>
              <w:gridCol w:w="4572"/>
              <w:gridCol w:w="4572"/>
            </w:tblGrid>
            <w:tr w:rsidR="00CE0A95" w14:paraId="1CDD7173" w14:textId="77777777">
              <w:tc>
                <w:tcPr>
                  <w:tcW w:w="3960" w:type="dxa"/>
                </w:tcPr>
                <w:p w14:paraId="113D0D42" w14:textId="77777777" w:rsidR="00CE0A95" w:rsidRDefault="00000000">
                  <w:pPr>
                    <w:pStyle w:val="Compact"/>
                    <w:jc w:val="center"/>
                  </w:pPr>
                  <w:r>
                    <w:t>Folder 2 archival record</w:t>
                  </w:r>
                </w:p>
              </w:tc>
              <w:tc>
                <w:tcPr>
                  <w:tcW w:w="3960" w:type="dxa"/>
                </w:tcPr>
                <w:p w14:paraId="6E325B17" w14:textId="77777777" w:rsidR="00CE0A95" w:rsidRDefault="00000000">
                  <w:pPr>
                    <w:pStyle w:val="Compact"/>
                    <w:jc w:val="center"/>
                  </w:pPr>
                  <w:r>
                    <w:t>Folder 2 archival record</w:t>
                  </w:r>
                </w:p>
              </w:tc>
            </w:tr>
            <w:bookmarkEnd w:id="39"/>
          </w:tbl>
          <w:p w14:paraId="7656186C" w14:textId="77777777" w:rsidR="00CE0A95" w:rsidRDefault="00CE0A95"/>
        </w:tc>
      </w:tr>
    </w:tbl>
    <w:p w14:paraId="2B7E1FF3" w14:textId="77777777" w:rsidR="00CE0A95" w:rsidRDefault="00000000">
      <w:pPr>
        <w:pStyle w:val="BodyText"/>
      </w:pPr>
      <w:r>
        <w:t xml:space="preserve">We reproduced 12 pages from </w:t>
      </w:r>
      <w:r>
        <w:rPr>
          <w:rStyle w:val="VerbatimChar"/>
        </w:rPr>
        <w:t>Folder 2</w:t>
      </w:r>
      <w:r>
        <w:t xml:space="preserve"> documenting the dismantling of the building and made a photograph of the folder itself. The 12 cardboard sheets are A4 (GOST 9327-60) and each holds one black-and-white photograph together with its identification number.</w:t>
      </w:r>
    </w:p>
    <w:p w14:paraId="209C7CDA" w14:textId="77777777" w:rsidR="00CE0A95" w:rsidRDefault="00000000">
      <w:pPr>
        <w:pStyle w:val="Heading4"/>
      </w:pPr>
      <w:bookmarkStart w:id="40" w:name="folder-3"/>
      <w:bookmarkEnd w:id="38"/>
      <w:r>
        <w:t>Folder 3</w:t>
      </w:r>
    </w:p>
    <w:p w14:paraId="2E6E8D4A" w14:textId="77777777" w:rsidR="00CE0A95" w:rsidRDefault="00000000">
      <w:pPr>
        <w:pStyle w:val="FirstParagraph"/>
      </w:pPr>
      <w:r>
        <w:t xml:space="preserve">We reproduced 22 pages from </w:t>
      </w:r>
      <w:r>
        <w:rPr>
          <w:rStyle w:val="VerbatimChar"/>
        </w:rPr>
        <w:t>Folder 3</w:t>
      </w:r>
      <w:r>
        <w:t>, documenting the building in its original form before dismantling, and photographed the folder itself. The 22 A4 sheets (GOST 9327-60) each hold two black-and-white photographs.</w:t>
      </w:r>
    </w:p>
    <w:tbl>
      <w:tblPr>
        <w:tblStyle w:val="Table"/>
        <w:tblW w:w="5000" w:type="pct"/>
        <w:tblLayout w:type="fixed"/>
        <w:tblLook w:val="0000" w:firstRow="0" w:lastRow="0" w:firstColumn="0" w:lastColumn="0" w:noHBand="0" w:noVBand="0"/>
      </w:tblPr>
      <w:tblGrid>
        <w:gridCol w:w="9360"/>
      </w:tblGrid>
      <w:tr w:rsidR="00CE0A95" w14:paraId="0618DA47" w14:textId="77777777">
        <w:tc>
          <w:tcPr>
            <w:tcW w:w="7920" w:type="dxa"/>
          </w:tcPr>
          <w:p w14:paraId="622F1E68" w14:textId="77777777" w:rsidR="00CE0A95" w:rsidRDefault="00000000">
            <w:pPr>
              <w:pStyle w:val="ImageCaption"/>
              <w:spacing w:before="200"/>
            </w:pPr>
            <w:bookmarkStart w:id="41" w:name="tbl-folder-3"/>
            <w:r>
              <w:t xml:space="preserve">Table 13: Examples from </w:t>
            </w:r>
            <w:r>
              <w:rPr>
                <w:rStyle w:val="VerbatimChar"/>
              </w:rPr>
              <w:t>Folder 3</w:t>
            </w:r>
            <w:r>
              <w:t>, documenting the farmhouse in its original form before dismantling.</w:t>
            </w:r>
          </w:p>
          <w:tbl>
            <w:tblPr>
              <w:tblStyle w:val="Table"/>
              <w:tblW w:w="5000" w:type="pct"/>
              <w:tblLayout w:type="fixed"/>
              <w:tblLook w:val="0000" w:firstRow="0" w:lastRow="0" w:firstColumn="0" w:lastColumn="0" w:noHBand="0" w:noVBand="0"/>
            </w:tblPr>
            <w:tblGrid>
              <w:gridCol w:w="4572"/>
              <w:gridCol w:w="4572"/>
            </w:tblGrid>
            <w:tr w:rsidR="00CE0A95" w14:paraId="37294599" w14:textId="77777777">
              <w:tc>
                <w:tcPr>
                  <w:tcW w:w="3960" w:type="dxa"/>
                </w:tcPr>
                <w:p w14:paraId="44AE6368" w14:textId="77777777" w:rsidR="00CE0A95" w:rsidRDefault="00000000">
                  <w:pPr>
                    <w:pStyle w:val="Compact"/>
                    <w:jc w:val="center"/>
                  </w:pPr>
                  <w:r>
                    <w:rPr>
                      <w:noProof/>
                    </w:rPr>
                    <w:drawing>
                      <wp:inline distT="0" distB="0" distL="0" distR="0" wp14:anchorId="5337FDA9" wp14:editId="736E81B6">
                        <wp:extent cx="3657600" cy="2743200"/>
                        <wp:effectExtent l="0" t="0" r="0" b="0"/>
                        <wp:docPr id="84" name="Picture" descr="Folder 3 archival record"/>
                        <wp:cNvGraphicFramePr/>
                        <a:graphic xmlns:a="http://schemas.openxmlformats.org/drawingml/2006/main">
                          <a:graphicData uri="http://schemas.openxmlformats.org/drawingml/2006/picture">
                            <pic:pic xmlns:pic="http://schemas.openxmlformats.org/drawingml/2006/picture">
                              <pic:nvPicPr>
                                <pic:cNvPr id="85" name="Picture" descr="jpg/delini/P7101631_thumbnail.jpg"/>
                                <pic:cNvPicPr>
                                  <a:picLocks noChangeAspect="1" noChangeArrowheads="1"/>
                                </pic:cNvPicPr>
                              </pic:nvPicPr>
                              <pic:blipFill>
                                <a:blip r:embed="rId25"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c>
                <w:tcPr>
                  <w:tcW w:w="3960" w:type="dxa"/>
                </w:tcPr>
                <w:p w14:paraId="71286EA3" w14:textId="77777777" w:rsidR="00CE0A95" w:rsidRDefault="00000000">
                  <w:pPr>
                    <w:pStyle w:val="Compact"/>
                    <w:jc w:val="center"/>
                  </w:pPr>
                  <w:r>
                    <w:rPr>
                      <w:noProof/>
                    </w:rPr>
                    <w:drawing>
                      <wp:inline distT="0" distB="0" distL="0" distR="0" wp14:anchorId="152F6D24" wp14:editId="6990CF53">
                        <wp:extent cx="3657600" cy="2743200"/>
                        <wp:effectExtent l="0" t="0" r="0" b="0"/>
                        <wp:docPr id="87" name="Picture" descr="Folder 3 archival record"/>
                        <wp:cNvGraphicFramePr/>
                        <a:graphic xmlns:a="http://schemas.openxmlformats.org/drawingml/2006/main">
                          <a:graphicData uri="http://schemas.openxmlformats.org/drawingml/2006/picture">
                            <pic:pic xmlns:pic="http://schemas.openxmlformats.org/drawingml/2006/picture">
                              <pic:nvPicPr>
                                <pic:cNvPr id="88" name="Picture" descr="jpg/delini/P7101590_thumbnail.jpg"/>
                                <pic:cNvPicPr>
                                  <a:picLocks noChangeAspect="1" noChangeArrowheads="1"/>
                                </pic:cNvPicPr>
                              </pic:nvPicPr>
                              <pic:blipFill>
                                <a:blip r:embed="rId26"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bookmarkEnd w:id="41"/>
          </w:tbl>
          <w:p w14:paraId="455FC517" w14:textId="77777777" w:rsidR="00CE0A95" w:rsidRDefault="00CE0A95"/>
        </w:tc>
      </w:tr>
    </w:tbl>
    <w:p w14:paraId="027A7DE2" w14:textId="77777777" w:rsidR="00CE0A95" w:rsidRDefault="00000000">
      <w:pPr>
        <w:pStyle w:val="Heading4"/>
      </w:pPr>
      <w:bookmarkStart w:id="42" w:name="photo-envelope"/>
      <w:bookmarkEnd w:id="40"/>
      <w:r>
        <w:t>Photo Envelope</w:t>
      </w:r>
    </w:p>
    <w:tbl>
      <w:tblPr>
        <w:tblStyle w:val="Table"/>
        <w:tblW w:w="5000" w:type="pct"/>
        <w:tblLayout w:type="fixed"/>
        <w:tblLook w:val="0000" w:firstRow="0" w:lastRow="0" w:firstColumn="0" w:lastColumn="0" w:noHBand="0" w:noVBand="0"/>
      </w:tblPr>
      <w:tblGrid>
        <w:gridCol w:w="9360"/>
      </w:tblGrid>
      <w:tr w:rsidR="00CE0A95" w14:paraId="2B8C5AAD" w14:textId="77777777">
        <w:tc>
          <w:tcPr>
            <w:tcW w:w="7920" w:type="dxa"/>
          </w:tcPr>
          <w:p w14:paraId="303C0166" w14:textId="77777777" w:rsidR="00CE0A95" w:rsidRDefault="00000000">
            <w:pPr>
              <w:pStyle w:val="ImageCaption"/>
              <w:spacing w:before="200"/>
            </w:pPr>
            <w:bookmarkStart w:id="43" w:name="tbl-photo-envelope"/>
            <w:r>
              <w:t>Table 14: The photo envelope and examples of the historical photographic material it contains.</w:t>
            </w:r>
          </w:p>
          <w:tbl>
            <w:tblPr>
              <w:tblStyle w:val="Table"/>
              <w:tblW w:w="5000" w:type="pct"/>
              <w:tblLayout w:type="fixed"/>
              <w:tblLook w:val="0000" w:firstRow="0" w:lastRow="0" w:firstColumn="0" w:lastColumn="0" w:noHBand="0" w:noVBand="0"/>
            </w:tblPr>
            <w:tblGrid>
              <w:gridCol w:w="2837"/>
              <w:gridCol w:w="6307"/>
            </w:tblGrid>
            <w:tr w:rsidR="00CE0A95" w14:paraId="4AABBB3D" w14:textId="77777777">
              <w:tc>
                <w:tcPr>
                  <w:tcW w:w="2457" w:type="dxa"/>
                </w:tcPr>
                <w:p w14:paraId="090E65AD" w14:textId="77777777" w:rsidR="00CE0A95" w:rsidRDefault="00000000">
                  <w:pPr>
                    <w:pStyle w:val="Compact"/>
                    <w:jc w:val="center"/>
                  </w:pPr>
                  <w:r>
                    <w:rPr>
                      <w:noProof/>
                    </w:rPr>
                    <w:lastRenderedPageBreak/>
                    <w:drawing>
                      <wp:inline distT="0" distB="0" distL="0" distR="0" wp14:anchorId="19BDDD77" wp14:editId="255FDC3D">
                        <wp:extent cx="3657600" cy="2743200"/>
                        <wp:effectExtent l="0" t="0" r="0" b="0"/>
                        <wp:docPr id="92" name="Picture" descr="Photo envelope"/>
                        <wp:cNvGraphicFramePr/>
                        <a:graphic xmlns:a="http://schemas.openxmlformats.org/drawingml/2006/main">
                          <a:graphicData uri="http://schemas.openxmlformats.org/drawingml/2006/picture">
                            <pic:pic xmlns:pic="http://schemas.openxmlformats.org/drawingml/2006/picture">
                              <pic:nvPicPr>
                                <pic:cNvPr id="93" name="Picture" descr="jpg/delini/box_1_photo_envelope/P7101586_thumbnail.jpg"/>
                                <pic:cNvPicPr>
                                  <a:picLocks noChangeAspect="1" noChangeArrowheads="1"/>
                                </pic:cNvPicPr>
                              </pic:nvPicPr>
                              <pic:blipFill>
                                <a:blip r:embed="rId27"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c>
                <w:tcPr>
                  <w:tcW w:w="5462" w:type="dxa"/>
                </w:tcPr>
                <w:p w14:paraId="085F4A22" w14:textId="77777777" w:rsidR="00CE0A95" w:rsidRDefault="00000000">
                  <w:pPr>
                    <w:pStyle w:val="Compact"/>
                    <w:jc w:val="center"/>
                  </w:pPr>
                  <w:r>
                    <w:rPr>
                      <w:noProof/>
                    </w:rPr>
                    <w:drawing>
                      <wp:inline distT="0" distB="0" distL="0" distR="0" wp14:anchorId="4698F129" wp14:editId="4AB1E30A">
                        <wp:extent cx="3657600" cy="2743200"/>
                        <wp:effectExtent l="0" t="0" r="0" b="0"/>
                        <wp:docPr id="95" name="Picture" descr="Photograph from the photo envelope"/>
                        <wp:cNvGraphicFramePr/>
                        <a:graphic xmlns:a="http://schemas.openxmlformats.org/drawingml/2006/main">
                          <a:graphicData uri="http://schemas.openxmlformats.org/drawingml/2006/picture">
                            <pic:pic xmlns:pic="http://schemas.openxmlformats.org/drawingml/2006/picture">
                              <pic:nvPicPr>
                                <pic:cNvPr id="96" name="Picture" descr="jpg/delini/box_1_photo_envelope/P7101584_thumbnail.jpg"/>
                                <pic:cNvPicPr>
                                  <a:picLocks noChangeAspect="1" noChangeArrowheads="1"/>
                                </pic:cNvPicPr>
                              </pic:nvPicPr>
                              <pic:blipFill>
                                <a:blip r:embed="rId28"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tr w:rsidR="00CE0A95" w14:paraId="6F6D5509" w14:textId="77777777">
              <w:tc>
                <w:tcPr>
                  <w:tcW w:w="2457" w:type="dxa"/>
                </w:tcPr>
                <w:p w14:paraId="393AF88A" w14:textId="77777777" w:rsidR="00CE0A95" w:rsidRDefault="00000000">
                  <w:pPr>
                    <w:pStyle w:val="Compact"/>
                    <w:jc w:val="center"/>
                  </w:pPr>
                  <w:r>
                    <w:t xml:space="preserve">We reproduced six photographs from the photo envelope. </w:t>
                  </w:r>
                  <w:r>
                    <w:rPr>
                      <w:rStyle w:val="VerbatimChar"/>
                    </w:rPr>
                    <w:t>photo_1</w:t>
                  </w:r>
                  <w:r>
                    <w:t xml:space="preserve"> depicts a recognisable man.</w:t>
                  </w:r>
                </w:p>
              </w:tc>
              <w:tc>
                <w:tcPr>
                  <w:tcW w:w="5462" w:type="dxa"/>
                </w:tcPr>
                <w:p w14:paraId="265D96C2" w14:textId="77777777" w:rsidR="00CE0A95" w:rsidRDefault="00000000">
                  <w:pPr>
                    <w:pStyle w:val="Compact"/>
                    <w:jc w:val="center"/>
                  </w:pPr>
                  <w:r>
                    <w:rPr>
                      <w:rStyle w:val="VerbatimChar"/>
                    </w:rPr>
                    <w:t>photo_2</w:t>
                  </w:r>
                  <w:r>
                    <w:t xml:space="preserve"> to </w:t>
                  </w:r>
                  <w:r>
                    <w:rPr>
                      <w:rStyle w:val="VerbatimChar"/>
                    </w:rPr>
                    <w:t>photo_6</w:t>
                  </w:r>
                  <w:r>
                    <w:t xml:space="preserve"> depict the main farmhouse and its interiors after the building was relocated and reconstructed at the museum in 1971. The folder also contains a small published print of the farmstead.</w:t>
                  </w:r>
                </w:p>
              </w:tc>
            </w:tr>
            <w:bookmarkEnd w:id="43"/>
          </w:tbl>
          <w:p w14:paraId="50641BD3" w14:textId="77777777" w:rsidR="00CE0A95" w:rsidRDefault="00CE0A95"/>
        </w:tc>
      </w:tr>
    </w:tbl>
    <w:p w14:paraId="427F5D57" w14:textId="77777777" w:rsidR="00CE0A95" w:rsidRDefault="00000000">
      <w:pPr>
        <w:pStyle w:val="BodyText"/>
      </w:pPr>
      <w:r>
        <w:lastRenderedPageBreak/>
        <w:t>We reproduced six photos of the photo envelope. The folder also contains a small print next to the envelope, which is a published small print of the farmstead.</w:t>
      </w:r>
    </w:p>
    <w:p w14:paraId="2B2C98D1" w14:textId="77777777" w:rsidR="00CE0A95" w:rsidRDefault="00000000">
      <w:pPr>
        <w:numPr>
          <w:ilvl w:val="0"/>
          <w:numId w:val="6"/>
        </w:numPr>
      </w:pPr>
      <w:r>
        <w:rPr>
          <w:rStyle w:val="VerbatimChar"/>
        </w:rPr>
        <w:t>photo_1</w:t>
      </w:r>
      <w:r>
        <w:t xml:space="preserve"> is the photograph of a man who is recognisable.</w:t>
      </w:r>
    </w:p>
    <w:p w14:paraId="68EF44F8" w14:textId="77777777" w:rsidR="00CE0A95" w:rsidRDefault="00000000">
      <w:pPr>
        <w:numPr>
          <w:ilvl w:val="0"/>
          <w:numId w:val="6"/>
        </w:numPr>
      </w:pPr>
      <w:r>
        <w:rPr>
          <w:rStyle w:val="VerbatimChar"/>
        </w:rPr>
        <w:t>photo_2</w:t>
      </w:r>
      <w:r>
        <w:t xml:space="preserve"> … </w:t>
      </w:r>
      <w:r>
        <w:rPr>
          <w:rStyle w:val="VerbatimChar"/>
        </w:rPr>
        <w:t>photo_6</w:t>
      </w:r>
      <w:r>
        <w:t xml:space="preserve"> depict the main house building and its interiors after it was relocated and erected in the museum in 1971..</w:t>
      </w:r>
    </w:p>
    <w:p w14:paraId="3E35BD07" w14:textId="77777777" w:rsidR="00CE0A95" w:rsidRDefault="00000000">
      <w:pPr>
        <w:pStyle w:val="Heading3"/>
      </w:pPr>
      <w:bookmarkStart w:id="44" w:name="box-2"/>
      <w:bookmarkStart w:id="45" w:name="_Toc239495448"/>
      <w:bookmarkEnd w:id="33"/>
      <w:bookmarkEnd w:id="42"/>
      <w:r>
        <w:t>Box 2</w:t>
      </w:r>
      <w:bookmarkEnd w:id="45"/>
    </w:p>
    <w:p w14:paraId="2EA194B4" w14:textId="77777777" w:rsidR="00CE0A95" w:rsidRDefault="00000000">
      <w:pPr>
        <w:pStyle w:val="FirstParagraph"/>
      </w:pPr>
      <w:r>
        <w:t>We only photographed a few documents from Folder 4 in Box 2.</w:t>
      </w:r>
    </w:p>
    <w:tbl>
      <w:tblPr>
        <w:tblStyle w:val="Table"/>
        <w:tblW w:w="5000" w:type="pct"/>
        <w:tblLayout w:type="fixed"/>
        <w:tblLook w:val="0000" w:firstRow="0" w:lastRow="0" w:firstColumn="0" w:lastColumn="0" w:noHBand="0" w:noVBand="0"/>
      </w:tblPr>
      <w:tblGrid>
        <w:gridCol w:w="9360"/>
      </w:tblGrid>
      <w:tr w:rsidR="00CE0A95" w14:paraId="36C4F3C9" w14:textId="77777777">
        <w:tc>
          <w:tcPr>
            <w:tcW w:w="7920" w:type="dxa"/>
          </w:tcPr>
          <w:p w14:paraId="07D28B18" w14:textId="77777777" w:rsidR="00CE0A95" w:rsidRDefault="00000000">
            <w:pPr>
              <w:pStyle w:val="ImageCaption"/>
              <w:spacing w:before="200"/>
            </w:pPr>
            <w:bookmarkStart w:id="46" w:name="tbl-box-2"/>
            <w:r>
              <w:t xml:space="preserve">Table 15: Examples of documents photographed from </w:t>
            </w:r>
            <w:r>
              <w:rPr>
                <w:rStyle w:val="VerbatimChar"/>
              </w:rPr>
              <w:t>Folder 4</w:t>
            </w:r>
            <w:r>
              <w:t xml:space="preserve"> in </w:t>
            </w:r>
            <w:r>
              <w:rPr>
                <w:rStyle w:val="VerbatimChar"/>
              </w:rPr>
              <w:t>Box 2</w:t>
            </w:r>
            <w:r>
              <w:t>.</w:t>
            </w:r>
          </w:p>
          <w:tbl>
            <w:tblPr>
              <w:tblStyle w:val="Table"/>
              <w:tblW w:w="5000" w:type="pct"/>
              <w:tblLayout w:type="fixed"/>
              <w:tblLook w:val="0000" w:firstRow="0" w:lastRow="0" w:firstColumn="0" w:lastColumn="0" w:noHBand="0" w:noVBand="0"/>
            </w:tblPr>
            <w:tblGrid>
              <w:gridCol w:w="4572"/>
              <w:gridCol w:w="4572"/>
            </w:tblGrid>
            <w:tr w:rsidR="00CE0A95" w14:paraId="56C686E7" w14:textId="77777777">
              <w:tc>
                <w:tcPr>
                  <w:tcW w:w="3960" w:type="dxa"/>
                </w:tcPr>
                <w:p w14:paraId="332ED90F" w14:textId="77777777" w:rsidR="00CE0A95" w:rsidRDefault="00000000">
                  <w:pPr>
                    <w:pStyle w:val="Compact"/>
                    <w:jc w:val="center"/>
                  </w:pPr>
                  <w:r>
                    <w:rPr>
                      <w:noProof/>
                    </w:rPr>
                    <w:lastRenderedPageBreak/>
                    <w:drawing>
                      <wp:inline distT="0" distB="0" distL="0" distR="0" wp14:anchorId="6C04631A" wp14:editId="3A4A2D1F">
                        <wp:extent cx="3657600" cy="2731008"/>
                        <wp:effectExtent l="0" t="0" r="0" b="0"/>
                        <wp:docPr id="101" name="Picture" descr="Document from Box 2"/>
                        <wp:cNvGraphicFramePr/>
                        <a:graphic xmlns:a="http://schemas.openxmlformats.org/drawingml/2006/main">
                          <a:graphicData uri="http://schemas.openxmlformats.org/drawingml/2006/picture">
                            <pic:pic xmlns:pic="http://schemas.openxmlformats.org/drawingml/2006/picture">
                              <pic:nvPicPr>
                                <pic:cNvPr id="102" name="Picture" descr="jpg/delini/box_2_folder_4/P7101636_thumbnail.jpg"/>
                                <pic:cNvPicPr>
                                  <a:picLocks noChangeAspect="1" noChangeArrowheads="1"/>
                                </pic:cNvPicPr>
                              </pic:nvPicPr>
                              <pic:blipFill>
                                <a:blip r:embed="rId29" cstate="email">
                                  <a:extLst>
                                    <a:ext uri="{28A0092B-C50C-407E-A947-70E740481C1C}">
                                      <a14:useLocalDpi xmlns:a14="http://schemas.microsoft.com/office/drawing/2010/main"/>
                                    </a:ext>
                                  </a:extLst>
                                </a:blip>
                                <a:stretch>
                                  <a:fillRect/>
                                </a:stretch>
                              </pic:blipFill>
                              <pic:spPr bwMode="auto">
                                <a:xfrm>
                                  <a:off x="0" y="0"/>
                                  <a:ext cx="3657600" cy="2731008"/>
                                </a:xfrm>
                                <a:prstGeom prst="rect">
                                  <a:avLst/>
                                </a:prstGeom>
                                <a:noFill/>
                                <a:ln w="9525">
                                  <a:noFill/>
                                  <a:headEnd/>
                                  <a:tailEnd/>
                                </a:ln>
                              </pic:spPr>
                            </pic:pic>
                          </a:graphicData>
                        </a:graphic>
                      </wp:inline>
                    </w:drawing>
                  </w:r>
                </w:p>
              </w:tc>
              <w:tc>
                <w:tcPr>
                  <w:tcW w:w="3960" w:type="dxa"/>
                </w:tcPr>
                <w:p w14:paraId="2749D6EA" w14:textId="77777777" w:rsidR="00CE0A95" w:rsidRDefault="00000000">
                  <w:pPr>
                    <w:pStyle w:val="Compact"/>
                    <w:jc w:val="center"/>
                  </w:pPr>
                  <w:r>
                    <w:rPr>
                      <w:noProof/>
                    </w:rPr>
                    <w:drawing>
                      <wp:inline distT="0" distB="0" distL="0" distR="0" wp14:anchorId="58FB3EA4" wp14:editId="67A4D9F3">
                        <wp:extent cx="3657600" cy="2743200"/>
                        <wp:effectExtent l="0" t="0" r="0" b="0"/>
                        <wp:docPr id="104" name="Picture" descr="Document from Box 2"/>
                        <wp:cNvGraphicFramePr/>
                        <a:graphic xmlns:a="http://schemas.openxmlformats.org/drawingml/2006/main">
                          <a:graphicData uri="http://schemas.openxmlformats.org/drawingml/2006/picture">
                            <pic:pic xmlns:pic="http://schemas.openxmlformats.org/drawingml/2006/picture">
                              <pic:nvPicPr>
                                <pic:cNvPr id="105" name="Picture" descr="jpg/delini/box_2_folder_4/P7101637_thumbnail.jpg"/>
                                <pic:cNvPicPr>
                                  <a:picLocks noChangeAspect="1" noChangeArrowheads="1"/>
                                </pic:cNvPicPr>
                              </pic:nvPicPr>
                              <pic:blipFill>
                                <a:blip r:embed="rId30"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bookmarkEnd w:id="46"/>
          </w:tbl>
          <w:p w14:paraId="19323917" w14:textId="77777777" w:rsidR="00CE0A95" w:rsidRDefault="00CE0A95"/>
        </w:tc>
      </w:tr>
    </w:tbl>
    <w:p w14:paraId="3CC923FC" w14:textId="77777777" w:rsidR="00CE0A95" w:rsidRDefault="00000000">
      <w:pPr>
        <w:pStyle w:val="Heading4"/>
      </w:pPr>
      <w:bookmarkStart w:id="47" w:name="folder-4"/>
      <w:r>
        <w:lastRenderedPageBreak/>
        <w:t>Folder 4</w:t>
      </w:r>
    </w:p>
    <w:p w14:paraId="0B765CB5" w14:textId="77777777" w:rsidR="00CE0A95" w:rsidRDefault="00000000">
      <w:pPr>
        <w:pStyle w:val="FirstParagraph"/>
      </w:pPr>
      <w:r>
        <w:t xml:space="preserve">We reproduced eight pages from </w:t>
      </w:r>
      <w:r>
        <w:rPr>
          <w:rStyle w:val="VerbatimChar"/>
        </w:rPr>
        <w:t>Folder 4</w:t>
      </w:r>
      <w:r>
        <w:t>, and made a photograph of the folder itself, and a “making of” picture unfolding a large blueprint. These eight pages are various architectural plans for the reconstruction of the farmstead.</w:t>
      </w:r>
    </w:p>
    <w:tbl>
      <w:tblPr>
        <w:tblStyle w:val="Table"/>
        <w:tblW w:w="5000" w:type="pct"/>
        <w:tblLayout w:type="fixed"/>
        <w:tblLook w:val="0000" w:firstRow="0" w:lastRow="0" w:firstColumn="0" w:lastColumn="0" w:noHBand="0" w:noVBand="0"/>
      </w:tblPr>
      <w:tblGrid>
        <w:gridCol w:w="9360"/>
      </w:tblGrid>
      <w:tr w:rsidR="00CE0A95" w14:paraId="08600723" w14:textId="77777777">
        <w:tc>
          <w:tcPr>
            <w:tcW w:w="7920" w:type="dxa"/>
          </w:tcPr>
          <w:p w14:paraId="56CF3D48" w14:textId="77777777" w:rsidR="00CE0A95" w:rsidRDefault="00000000">
            <w:pPr>
              <w:pStyle w:val="ImageCaption"/>
              <w:spacing w:before="200"/>
            </w:pPr>
            <w:bookmarkStart w:id="48" w:name="tbl-folder-4"/>
            <w:r>
              <w:t xml:space="preserve">Table 16: Architectural documentation from </w:t>
            </w:r>
            <w:r>
              <w:rPr>
                <w:rStyle w:val="VerbatimChar"/>
              </w:rPr>
              <w:t>Folder 4</w:t>
            </w:r>
            <w:r>
              <w:t>, including the unfolding of a large blueprint.</w:t>
            </w:r>
          </w:p>
          <w:tbl>
            <w:tblPr>
              <w:tblStyle w:val="Table"/>
              <w:tblW w:w="5000" w:type="pct"/>
              <w:tblLayout w:type="fixed"/>
              <w:tblLook w:val="0000" w:firstRow="0" w:lastRow="0" w:firstColumn="0" w:lastColumn="0" w:noHBand="0" w:noVBand="0"/>
            </w:tblPr>
            <w:tblGrid>
              <w:gridCol w:w="3862"/>
              <w:gridCol w:w="5282"/>
            </w:tblGrid>
            <w:tr w:rsidR="00CE0A95" w14:paraId="7D806A7A" w14:textId="77777777">
              <w:tc>
                <w:tcPr>
                  <w:tcW w:w="3345" w:type="dxa"/>
                </w:tcPr>
                <w:p w14:paraId="676ECF77" w14:textId="77777777" w:rsidR="00CE0A95" w:rsidRDefault="00000000">
                  <w:pPr>
                    <w:pStyle w:val="Compact"/>
                    <w:jc w:val="center"/>
                  </w:pPr>
                  <w:r>
                    <w:rPr>
                      <w:noProof/>
                    </w:rPr>
                    <w:drawing>
                      <wp:inline distT="0" distB="0" distL="0" distR="0" wp14:anchorId="23519182" wp14:editId="57C625CC">
                        <wp:extent cx="3657600" cy="2743200"/>
                        <wp:effectExtent l="0" t="0" r="0" b="0"/>
                        <wp:docPr id="108" name="Picture" descr="Architectural plan from Folder 4"/>
                        <wp:cNvGraphicFramePr/>
                        <a:graphic xmlns:a="http://schemas.openxmlformats.org/drawingml/2006/main">
                          <a:graphicData uri="http://schemas.openxmlformats.org/drawingml/2006/picture">
                            <pic:pic xmlns:pic="http://schemas.openxmlformats.org/drawingml/2006/picture">
                              <pic:nvPicPr>
                                <pic:cNvPr id="109" name="Picture" descr="jpg/delini/box_2_folder_4/P7101642_thumbnail.jpg"/>
                                <pic:cNvPicPr>
                                  <a:picLocks noChangeAspect="1" noChangeArrowheads="1"/>
                                </pic:cNvPicPr>
                              </pic:nvPicPr>
                              <pic:blipFill>
                                <a:blip r:embed="rId31"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c>
                <w:tcPr>
                  <w:tcW w:w="4574" w:type="dxa"/>
                </w:tcPr>
                <w:p w14:paraId="211A000B" w14:textId="77777777" w:rsidR="00CE0A95" w:rsidRDefault="00000000">
                  <w:pPr>
                    <w:pStyle w:val="Compact"/>
                    <w:jc w:val="center"/>
                  </w:pPr>
                  <w:r>
                    <w:rPr>
                      <w:noProof/>
                    </w:rPr>
                    <w:drawing>
                      <wp:inline distT="0" distB="0" distL="0" distR="0" wp14:anchorId="629B6DD5" wp14:editId="3F8B22E3">
                        <wp:extent cx="3657600" cy="2743200"/>
                        <wp:effectExtent l="0" t="0" r="0" b="0"/>
                        <wp:docPr id="111" name="Picture" descr="Unfolding a large architectural plan from Folder 4"/>
                        <wp:cNvGraphicFramePr/>
                        <a:graphic xmlns:a="http://schemas.openxmlformats.org/drawingml/2006/main">
                          <a:graphicData uri="http://schemas.openxmlformats.org/drawingml/2006/picture">
                            <pic:pic xmlns:pic="http://schemas.openxmlformats.org/drawingml/2006/picture">
                              <pic:nvPicPr>
                                <pic:cNvPr id="112" name="Picture" descr="jpg/delini/box_2_folder_4/P7101641_thumbnail.jpg"/>
                                <pic:cNvPicPr>
                                  <a:picLocks noChangeAspect="1" noChangeArrowheads="1"/>
                                </pic:cNvPicPr>
                              </pic:nvPicPr>
                              <pic:blipFill>
                                <a:blip r:embed="rId32" cstate="email">
                                  <a:extLst>
                                    <a:ext uri="{28A0092B-C50C-407E-A947-70E740481C1C}">
                                      <a14:useLocalDpi xmlns:a14="http://schemas.microsoft.com/office/drawing/2010/main"/>
                                    </a:ext>
                                  </a:extLst>
                                </a:blip>
                                <a:stretch>
                                  <a:fillRect/>
                                </a:stretch>
                              </pic:blipFill>
                              <pic:spPr bwMode="auto">
                                <a:xfrm>
                                  <a:off x="0" y="0"/>
                                  <a:ext cx="3657600" cy="2743200"/>
                                </a:xfrm>
                                <a:prstGeom prst="rect">
                                  <a:avLst/>
                                </a:prstGeom>
                                <a:noFill/>
                                <a:ln w="9525">
                                  <a:noFill/>
                                  <a:headEnd/>
                                  <a:tailEnd/>
                                </a:ln>
                              </pic:spPr>
                            </pic:pic>
                          </a:graphicData>
                        </a:graphic>
                      </wp:inline>
                    </w:drawing>
                  </w:r>
                </w:p>
              </w:tc>
            </w:tr>
            <w:bookmarkEnd w:id="48"/>
          </w:tbl>
          <w:p w14:paraId="4281CB46" w14:textId="77777777" w:rsidR="00CE0A95" w:rsidRDefault="00CE0A95"/>
        </w:tc>
      </w:tr>
    </w:tbl>
    <w:p w14:paraId="66FE80DC" w14:textId="77777777" w:rsidR="00CE0A95" w:rsidRDefault="00000000">
      <w:r>
        <w:br w:type="page"/>
      </w:r>
    </w:p>
    <w:p w14:paraId="4CA26C23" w14:textId="77777777" w:rsidR="00CE0A95" w:rsidRDefault="00000000">
      <w:pPr>
        <w:pStyle w:val="Heading1"/>
      </w:pPr>
      <w:bookmarkStart w:id="49" w:name="X0c6109958548cc6b31886e693e01d5c141e0b03"/>
      <w:bookmarkStart w:id="50" w:name="_Toc239495449"/>
      <w:bookmarkEnd w:id="12"/>
      <w:bookmarkEnd w:id="31"/>
      <w:bookmarkEnd w:id="44"/>
      <w:bookmarkEnd w:id="47"/>
      <w:r>
        <w:lastRenderedPageBreak/>
        <w:t>Implementing HDTO in the Dēliņi Demonstrator</w:t>
      </w:r>
      <w:bookmarkEnd w:id="50"/>
    </w:p>
    <w:p w14:paraId="0E1B49FE" w14:textId="77777777" w:rsidR="00CE0A95" w:rsidRDefault="00000000">
      <w:pPr>
        <w:pStyle w:val="FirstParagraph"/>
      </w:pPr>
      <w:r>
        <w:t>The Dēliņi demonstrator provides a concrete environment in which the classes and properties of the Heritage Digital Twin Ontology (HDTO) can be interpreted operationally. Before discussing limitations or possible extensions of HDTO, we first describe the implementation pattern that we use for the demonstrator. The purpose of this section is therefore constructive rather than critical: wherever HDTO already provides an appropriate class or relationship, we use it directly; complementary models are introduced only where the implementation requires semantics that HDTO does not itself provide.</w:t>
      </w:r>
    </w:p>
    <w:p w14:paraId="47F24F7E" w14:textId="77777777" w:rsidR="00CE0A95" w:rsidRDefault="00000000">
      <w:pPr>
        <w:pStyle w:val="Heading3"/>
      </w:pPr>
      <w:bookmarkStart w:id="51" w:name="X3ef4fb566f0bc2f9f32e85e769584a0f33d7331"/>
      <w:bookmarkStart w:id="52" w:name="_Toc239495450"/>
      <w:r>
        <w:t>Human-centric semantic knowledge production</w:t>
      </w:r>
      <w:bookmarkEnd w:id="52"/>
    </w:p>
    <w:p w14:paraId="35E073C9" w14:textId="77777777" w:rsidR="00CE0A95" w:rsidRDefault="00000000">
      <w:pPr>
        <w:pStyle w:val="FirstParagraph"/>
      </w:pPr>
      <w:r>
        <w:t xml:space="preserve">Our general methodology is </w:t>
      </w:r>
      <w:r>
        <w:rPr>
          <w:b/>
          <w:bCs/>
        </w:rPr>
        <w:t>human-centric semantic knowledge production</w:t>
      </w:r>
      <w:r>
        <w:t>. In simple terms, we do not assume that information found in a photograph, document, database or produced by an automated process is correct just because a computer can turn it into structured data.</w:t>
      </w:r>
    </w:p>
    <w:p w14:paraId="7EC6A5C8" w14:textId="77777777" w:rsidR="00CE0A95" w:rsidRDefault="00000000">
      <w:pPr>
        <w:pStyle w:val="BodyText"/>
      </w:pPr>
      <w:r>
        <w:t xml:space="preserve">We call the material that we use to examine what we know </w:t>
      </w:r>
      <w:r>
        <w:rPr>
          <w:b/>
          <w:bCs/>
        </w:rPr>
        <w:t>evidence</w:t>
      </w:r>
      <w:r>
        <w:t xml:space="preserve">. Evidence can be a photograph, an archival record, a museum catalogue, a database record, a publication, or another resource that a curator can inspect. Evidence, just like </w:t>
      </w:r>
      <w:r>
        <w:rPr>
          <w:b/>
          <w:bCs/>
        </w:rPr>
        <w:t>data</w:t>
      </w:r>
      <w:r>
        <w:t>, is not itself accepted knowledge: it must be interpreted to produce new knowledge. It provides the basis on which statements can be proposed and examined. Different pieces of evidence may support the same statement, contradict it, or leave the question unresolved.</w:t>
      </w:r>
    </w:p>
    <w:p w14:paraId="25D2D99A" w14:textId="77777777" w:rsidR="00CE0A95" w:rsidRDefault="00000000">
      <w:pPr>
        <w:pStyle w:val="BodyText"/>
      </w:pPr>
      <w:r>
        <w:t xml:space="preserve">An </w:t>
      </w:r>
      <w:r>
        <w:rPr>
          <w:b/>
          <w:bCs/>
        </w:rPr>
        <w:t>atomic statement</w:t>
      </w:r>
      <w:r>
        <w:t xml:space="preserve"> is the smallest statement that we ask a curator to consider as one question. It says one thing about one subject: for example, </w:t>
      </w:r>
      <w:r>
        <w:rPr>
          <w:b/>
          <w:bCs/>
        </w:rPr>
        <w:t>this object — is a — sash</w:t>
      </w:r>
      <w:r>
        <w:t xml:space="preserve">, or </w:t>
      </w:r>
      <w:r>
        <w:rPr>
          <w:b/>
          <w:bCs/>
        </w:rPr>
        <w:t>this photograph — depicts — the Dēliņi farmhouse</w:t>
      </w:r>
      <w:r>
        <w:t xml:space="preserve">. We represent such a statement as </w:t>
      </w:r>
      <w:r>
        <w:rPr>
          <w:b/>
          <w:bCs/>
        </w:rPr>
        <w:t>subject — predicate — value</w:t>
      </w:r>
      <w:r>
        <w:t xml:space="preserve">. Calling it </w:t>
      </w:r>
      <w:r>
        <w:rPr>
          <w:i/>
          <w:iCs/>
        </w:rPr>
        <w:t>atomic</w:t>
      </w:r>
      <w:r>
        <w:t xml:space="preserve"> does not mean that the statement is simple or certainly true; it only means that, for the purpose of the review, we treat it as one statement that can be examined and decided on independently. We call an atomic statement presented for consideration a </w:t>
      </w:r>
      <w:r>
        <w:rPr>
          <w:b/>
          <w:bCs/>
        </w:rPr>
        <w:t>claim</w:t>
      </w:r>
      <w:r>
        <w:t>, because the purpose of the review is to establish whether that statement holds up to scrutiny. Both humans and computers are fallible: each can make mistakes, but they can also help identify and correct the other’s mistakes. Human-centric semantic knowledge production therefore keeps people in control while making deliberate use of computational assistance.</w:t>
      </w:r>
    </w:p>
    <w:p w14:paraId="24F2AACF" w14:textId="77777777" w:rsidR="00CE0A95" w:rsidRDefault="00000000">
      <w:pPr>
        <w:pStyle w:val="BodyText"/>
      </w:pPr>
      <w:r>
        <w:t xml:space="preserve">Evidence, existing knowledge, and computational processes can give us </w:t>
      </w:r>
      <w:r>
        <w:rPr>
          <w:b/>
          <w:bCs/>
        </w:rPr>
        <w:t>candidate claims</w:t>
      </w:r>
      <w:r>
        <w:t xml:space="preserve">: suggestions about what something is, what it depicts, where it belongs, or how it is related to something else. A human curator remains in control of what becomes accepted knowledge. The curator can accept a claim, reject it when it is wrong, or defer it when there is not enough evidence to decide. We keep a record of the evidence used, who made the decision and when. Only reviewed and accepted claims become part of the </w:t>
      </w:r>
      <w:r>
        <w:rPr>
          <w:b/>
          <w:bCs/>
        </w:rPr>
        <w:t>stabilised knowledge</w:t>
      </w:r>
      <w:r>
        <w:t xml:space="preserve"> that can safely be used as the basis for further research, inference or publication decisions.</w:t>
      </w:r>
    </w:p>
    <w:tbl>
      <w:tblPr>
        <w:tblStyle w:val="Table"/>
        <w:tblW w:w="0" w:type="auto"/>
        <w:jc w:val="center"/>
        <w:tblLook w:val="0600" w:firstRow="0" w:lastRow="0" w:firstColumn="0" w:lastColumn="0" w:noHBand="1" w:noVBand="1"/>
      </w:tblPr>
      <w:tblGrid>
        <w:gridCol w:w="9360"/>
      </w:tblGrid>
      <w:tr w:rsidR="00CE0A95" w14:paraId="7B3084AD" w14:textId="77777777">
        <w:trPr>
          <w:jc w:val="center"/>
        </w:trPr>
        <w:tc>
          <w:tcPr>
            <w:tcW w:w="0" w:type="auto"/>
          </w:tcPr>
          <w:p w14:paraId="0C8F9414" w14:textId="77777777" w:rsidR="00CE0A95" w:rsidRDefault="00000000">
            <w:pPr>
              <w:pStyle w:val="Compact"/>
              <w:jc w:val="center"/>
            </w:pPr>
            <w:r>
              <w:lastRenderedPageBreak/>
              <w:t xml:space="preserve">You can read the current working paper on semantic knowledge production at </w:t>
            </w:r>
            <w:hyperlink r:id="rId33">
              <w:r>
                <w:rPr>
                  <w:rStyle w:val="Hyperlink"/>
                </w:rPr>
                <w:t>https://zenodo.org/records/22099068</w:t>
              </w:r>
            </w:hyperlink>
            <w:r>
              <w:t xml:space="preserve">. The underlying computational algebra is described at </w:t>
            </w:r>
            <w:hyperlink r:id="rId34">
              <w:r>
                <w:rPr>
                  <w:rStyle w:val="Hyperlink"/>
                </w:rPr>
                <w:t>https://zenodo.org/records/22091484</w:t>
              </w:r>
            </w:hyperlink>
            <w:r>
              <w:t>.</w:t>
            </w:r>
          </w:p>
        </w:tc>
      </w:tr>
    </w:tbl>
    <w:p w14:paraId="0F5ED0A5" w14:textId="77777777" w:rsidR="00CE0A95" w:rsidRDefault="00000000">
      <w:pPr>
        <w:pStyle w:val="ImageCaption"/>
      </w:pPr>
      <w:r>
        <w:t xml:space="preserve">You can read the current working paper on semantic knowledge production at </w:t>
      </w:r>
      <w:hyperlink r:id="rId35">
        <w:r>
          <w:rPr>
            <w:rStyle w:val="Hyperlink"/>
          </w:rPr>
          <w:t>https://zenodo.org/records/22099068</w:t>
        </w:r>
      </w:hyperlink>
      <w:r>
        <w:t xml:space="preserve">. The underlying computational algebra is described at </w:t>
      </w:r>
      <w:hyperlink r:id="rId36">
        <w:r>
          <w:rPr>
            <w:rStyle w:val="Hyperlink"/>
          </w:rPr>
          <w:t>https://zenodo.org/records/22091484</w:t>
        </w:r>
      </w:hyperlink>
      <w:r>
        <w:t>.</w:t>
      </w:r>
    </w:p>
    <w:p w14:paraId="4376FDB8" w14:textId="77777777" w:rsidR="00CE0A95" w:rsidRDefault="00000000">
      <w:pPr>
        <w:pStyle w:val="BodyText"/>
      </w:pPr>
      <w:r>
        <w:t>The figure walks through this methodology using four real examples from the Dēliņi case study—a farmhouse, a sash, a bed and an archival photographic record—together with a fictitious person, used so that we can demonstrate questions involving living people without creating personality-rights concerns.</w:t>
      </w:r>
    </w:p>
    <w:p w14:paraId="46F04307" w14:textId="77777777" w:rsidR="00CE0A95" w:rsidRDefault="00000000">
      <w:pPr>
        <w:pStyle w:val="BodyText"/>
      </w:pPr>
      <w:r>
        <w:t>The examples deliberately include mistakes and uncertainty.</w:t>
      </w:r>
    </w:p>
    <w:p w14:paraId="0A482C74" w14:textId="77777777" w:rsidR="00CE0A95" w:rsidRDefault="00000000">
      <w:pPr>
        <w:pStyle w:val="Compact"/>
        <w:numPr>
          <w:ilvl w:val="0"/>
          <w:numId w:val="7"/>
        </w:numPr>
      </w:pPr>
      <w:r>
        <w:t xml:space="preserve">A candidate claim may, for example, wrongly classify the photographed sash as a building; the curator </w:t>
      </w:r>
      <w:r>
        <w:rPr>
          <w:i/>
          <w:iCs/>
        </w:rPr>
        <w:t>rejects</w:t>
      </w:r>
      <w:r>
        <w:t xml:space="preserve"> that claim and it does not enter the stabilised knowledge.</w:t>
      </w:r>
    </w:p>
    <w:p w14:paraId="0DDE0781" w14:textId="77777777" w:rsidR="00CE0A95" w:rsidRDefault="00000000">
      <w:pPr>
        <w:pStyle w:val="Compact"/>
        <w:numPr>
          <w:ilvl w:val="0"/>
          <w:numId w:val="7"/>
        </w:numPr>
      </w:pPr>
      <w:r>
        <w:t xml:space="preserve">Another question may remain unresolved and is therefore </w:t>
      </w:r>
      <w:r>
        <w:rPr>
          <w:i/>
          <w:iCs/>
        </w:rPr>
        <w:t>deferred</w:t>
      </w:r>
      <w:r>
        <w:t xml:space="preserve"> rather than guessed.</w:t>
      </w:r>
    </w:p>
    <w:p w14:paraId="19D29D88" w14:textId="77777777" w:rsidR="00CE0A95" w:rsidRDefault="00000000">
      <w:pPr>
        <w:pStyle w:val="Compact"/>
        <w:numPr>
          <w:ilvl w:val="0"/>
          <w:numId w:val="7"/>
        </w:numPr>
      </w:pPr>
      <w:r>
        <w:t xml:space="preserve">Once claims have been </w:t>
      </w:r>
      <w:r>
        <w:rPr>
          <w:i/>
          <w:iCs/>
        </w:rPr>
        <w:t>reviewed</w:t>
      </w:r>
      <w:r>
        <w:t>, the accepted knowledge can support further conclusions, while its provenance remains available to show how we know what we claim to know.</w:t>
      </w:r>
    </w:p>
    <w:p w14:paraId="3FF230B0" w14:textId="77777777" w:rsidR="00CE0A95" w:rsidRDefault="00000000">
      <w:pPr>
        <w:pStyle w:val="Compact"/>
        <w:numPr>
          <w:ilvl w:val="0"/>
          <w:numId w:val="7"/>
        </w:numPr>
      </w:pPr>
      <w:r>
        <w:t xml:space="preserve">Before an action such as publishing a photograph is taken, relevant rights and policy conditions can also be checked through </w:t>
      </w:r>
      <w:r>
        <w:rPr>
          <w:b/>
          <w:bCs/>
        </w:rPr>
        <w:t>normative claims</w:t>
      </w:r>
      <w:r>
        <w:t xml:space="preserve"> about what is permitted and what is not.</w:t>
      </w:r>
    </w:p>
    <w:p w14:paraId="4942B850" w14:textId="77777777" w:rsidR="00CE0A95" w:rsidRDefault="00000000">
      <w:pPr>
        <w:pStyle w:val="FirstParagraph"/>
      </w:pPr>
      <w:r>
        <w:t>In the following sections we use this same process to build and maintain the Heritage Digital Twin: evidence and existing knowledge provide the basis for candidate claims, people remain in control of their review, accepted knowledge enters the twin, and rejected or unresolved claims are prevented from silently propagating into it.</w:t>
      </w:r>
    </w:p>
    <w:p w14:paraId="1FA5AFE1" w14:textId="77777777" w:rsidR="00CE0A95" w:rsidRDefault="00000000">
      <w:pPr>
        <w:pStyle w:val="Heading3"/>
      </w:pPr>
      <w:bookmarkStart w:id="53" w:name="from-evidence-to-reviewable-claims"/>
      <w:bookmarkStart w:id="54" w:name="_Toc239495451"/>
      <w:bookmarkEnd w:id="51"/>
      <w:r>
        <w:t>From evidence to reviewable claims</w:t>
      </w:r>
      <w:bookmarkEnd w:id="54"/>
    </w:p>
    <w:p w14:paraId="325903E9" w14:textId="77777777" w:rsidR="00CE0A95" w:rsidRDefault="00000000">
      <w:pPr>
        <w:pStyle w:val="FirstParagraph"/>
      </w:pPr>
      <w:r>
        <w:t>We work with three main sources of evidence:</w:t>
      </w:r>
    </w:p>
    <w:p w14:paraId="1BF7CBD3" w14:textId="77777777" w:rsidR="00CE0A95" w:rsidRDefault="00000000">
      <w:pPr>
        <w:pStyle w:val="Compact"/>
        <w:numPr>
          <w:ilvl w:val="0"/>
          <w:numId w:val="8"/>
        </w:numPr>
      </w:pPr>
      <w:r>
        <w:rPr>
          <w:b/>
          <w:bCs/>
        </w:rPr>
        <w:t>Our own recordings</w:t>
      </w:r>
      <w:r>
        <w:t>, such as photographs, RAW image files, sound recordings and video recordings made during fieldwork or documentation.</w:t>
      </w:r>
    </w:p>
    <w:p w14:paraId="0C5330C0" w14:textId="77777777" w:rsidR="00CE0A95" w:rsidRDefault="00000000">
      <w:pPr>
        <w:pStyle w:val="Compact"/>
        <w:numPr>
          <w:ilvl w:val="0"/>
          <w:numId w:val="8"/>
        </w:numPr>
      </w:pPr>
      <w:r>
        <w:rPr>
          <w:b/>
          <w:bCs/>
        </w:rPr>
        <w:t>Web archive collections</w:t>
      </w:r>
      <w:r>
        <w:t>, particularly WACZ files that preserve web pages, images and other resources together with the context in which we found them.</w:t>
      </w:r>
    </w:p>
    <w:p w14:paraId="6E81FA15" w14:textId="77777777" w:rsidR="00CE0A95" w:rsidRDefault="00000000">
      <w:pPr>
        <w:pStyle w:val="Compact"/>
        <w:numPr>
          <w:ilvl w:val="0"/>
          <w:numId w:val="8"/>
        </w:numPr>
      </w:pPr>
      <w:r>
        <w:rPr>
          <w:b/>
          <w:bCs/>
        </w:rPr>
        <w:t>Existing structured data</w:t>
      </w:r>
      <w:r>
        <w:t>, such as statements from Wikidata, other Wikibase instances, MuIS or other sources that provide RDF or similarly structured data.</w:t>
      </w:r>
    </w:p>
    <w:p w14:paraId="0B63EAA6" w14:textId="77777777" w:rsidR="00CE0A95" w:rsidRDefault="00000000">
      <w:pPr>
        <w:pStyle w:val="FirstParagraph"/>
      </w:pPr>
      <w:r>
        <w:t xml:space="preserve">Evidence can therefore be </w:t>
      </w:r>
      <w:r>
        <w:rPr>
          <w:b/>
          <w:bCs/>
        </w:rPr>
        <w:t>multimodal</w:t>
      </w:r>
      <w:r>
        <w:t xml:space="preserve">: an image, sound or video recording, text, web page or structured data can all provide evidence. We use R libraries and OpenRefine to extract, organise, reconcile and reshape these different materials into forms that curators can </w:t>
      </w:r>
      <w:r>
        <w:lastRenderedPageBreak/>
        <w:t>inspect. At this stage we are not trying to put everything into the knowledge graph. We are preparing evidence and candidate claims so that a person can understand what is being proposed and decide what should happen to it.</w:t>
      </w:r>
    </w:p>
    <w:p w14:paraId="132D8EE4" w14:textId="77777777" w:rsidR="00CE0A95" w:rsidRDefault="00000000">
      <w:pPr>
        <w:pStyle w:val="BodyText"/>
      </w:pPr>
      <w:r>
        <w:t xml:space="preserve">A curator can review the same material in different </w:t>
      </w:r>
      <w:r>
        <w:rPr>
          <w:b/>
          <w:bCs/>
        </w:rPr>
        <w:t>scopes</w:t>
      </w:r>
      <w:r>
        <w:t xml:space="preserve">. First, we may need to make claims about the evidence itself. For example: </w:t>
      </w:r>
      <w:r>
        <w:rPr>
          <w:i/>
          <w:iCs/>
        </w:rPr>
        <w:t>Does this JPG belong to our documentation? Is it usable, or is it too blurred? Was it accidentally placed in the wrong folder?</w:t>
      </w:r>
      <w:r>
        <w:t xml:space="preserve"> We can then make claims about what the evidence tells us: </w:t>
      </w:r>
      <w:r>
        <w:rPr>
          <w:i/>
          <w:iCs/>
        </w:rPr>
        <w:t>Does this photograph depict the museum object with inventory number 8246? Does it depict a person? Is the depicted building the Dēliņi farmhouse?</w:t>
      </w:r>
      <w:r>
        <w:t xml:space="preserve"> We call this the </w:t>
      </w:r>
      <w:r>
        <w:rPr>
          <w:b/>
          <w:bCs/>
        </w:rPr>
        <w:t>dual review format</w:t>
      </w:r>
      <w:r>
        <w:t>: we can review claims about the evidence and claims about the heritage entity represented or documented by that evidence.</w:t>
      </w:r>
    </w:p>
    <w:p w14:paraId="55CF773A" w14:textId="77777777" w:rsidR="00CE0A95" w:rsidRDefault="00000000">
      <w:pPr>
        <w:pStyle w:val="BodyText"/>
      </w:pPr>
      <w:r>
        <w:t xml:space="preserve">This distinction is important. Before we can say where a claim came from, we need to know which evidence was actually used and what that evidence documents. Without establishing these relationships, useful </w:t>
      </w:r>
      <w:r>
        <w:rPr>
          <w:b/>
          <w:bCs/>
        </w:rPr>
        <w:t>provenance</w:t>
      </w:r>
      <w:r>
        <w:t xml:space="preserve"> becomes difficult: we cannot reliably explain how we came to know something. The same problem appears later when we ask </w:t>
      </w:r>
      <w:r>
        <w:rPr>
          <w:b/>
          <w:bCs/>
        </w:rPr>
        <w:t>normative questions</w:t>
      </w:r>
      <w:r>
        <w:t>, such as whether a photograph may be published or whether information may be shared with another system. We first need to know which resource we are talking about, what it depicts or documents, where it came from, and which conditions apply to it.</w:t>
      </w:r>
    </w:p>
    <w:p w14:paraId="131DC0F8" w14:textId="77777777" w:rsidR="00CE0A95" w:rsidRDefault="00000000">
      <w:pPr>
        <w:pStyle w:val="Heading3"/>
      </w:pPr>
      <w:bookmarkStart w:id="55" w:name="the-betwixt-review-workbench"/>
      <w:bookmarkStart w:id="56" w:name="_Toc239495452"/>
      <w:bookmarkEnd w:id="53"/>
      <w:r>
        <w:t>The Betwixt review workbench</w:t>
      </w:r>
      <w:bookmarkEnd w:id="56"/>
    </w:p>
    <w:p w14:paraId="778095D9" w14:textId="77777777" w:rsidR="00CE0A95" w:rsidRDefault="00000000">
      <w:pPr>
        <w:pStyle w:val="FirstParagraph"/>
      </w:pPr>
      <w:r>
        <w:rPr>
          <w:b/>
          <w:bCs/>
        </w:rPr>
        <w:t>Betwixt</w:t>
      </w:r>
      <w:r>
        <w:t xml:space="preserve"> is our prototype review workbench. The English word </w:t>
      </w:r>
      <w:r>
        <w:rPr>
          <w:i/>
          <w:iCs/>
        </w:rPr>
        <w:t>betwixt</w:t>
      </w:r>
      <w:r>
        <w:t xml:space="preserve"> means </w:t>
      </w:r>
      <w:r>
        <w:rPr>
          <w:i/>
          <w:iCs/>
        </w:rPr>
        <w:t>in between</w:t>
      </w:r>
      <w:r>
        <w:t>, which describes its role in the workflow. It complements R and OpenRefine by providing a simple intermediate place where evidence and candidate claims can be presented to a human curator before accepted knowledge is incorporated into the next stabilised state.</w:t>
      </w:r>
    </w:p>
    <w:p w14:paraId="1B01A909" w14:textId="77777777" w:rsidR="00CE0A95" w:rsidRDefault="00000000">
      <w:pPr>
        <w:pStyle w:val="BodyText"/>
      </w:pPr>
      <w:r>
        <w:t>The Betwixt workbench turns our general methodology into a practical human review process. The expert does not need to work directly with OpenRefine, complex Excel tables, or RDF-annotated graphs. Evidence and candidate claims are presented in a tabular form, together with short instructions, controlled choices and links to supporting information such as vocabulary definitions or the original source record. Different experts can review different questions: a domain expert may decide what a photograph depicts, a legal expert may review its rights status, and a data steward may decide whether a digital resource is adequate for its intended use.</w:t>
      </w:r>
    </w:p>
    <w:p w14:paraId="29BE73D8" w14:textId="77777777" w:rsidR="00CE0A95" w:rsidRDefault="00000000">
      <w:pPr>
        <w:pStyle w:val="BodyText"/>
      </w:pPr>
      <w:r>
        <w:t>Betwixt is designed to be simple, serverless, robust and easy to understand. A Betwixt review is generated as a self-contained HTML file containing the JavaScript needed to record the curator’s decisions while working in an ordinary web browser such as Chrome, Firefox, Brave or Edge. The review also records the identity and contact information of the reviewer together with the decisions made during the review.</w:t>
      </w:r>
    </w:p>
    <w:p w14:paraId="0A6EFA71" w14:textId="77777777" w:rsidR="00CE0A95" w:rsidRDefault="00000000">
      <w:pPr>
        <w:pStyle w:val="BodyText"/>
      </w:pPr>
      <w:r>
        <w:t xml:space="preserve">A Betwixt review has three stages. The </w:t>
      </w:r>
      <w:r>
        <w:rPr>
          <w:b/>
          <w:bCs/>
        </w:rPr>
        <w:t>original review file</w:t>
      </w:r>
      <w:r>
        <w:t xml:space="preserve"> is generated by our system and records what the reviewer was asked to examine. While working, the reviewer can create </w:t>
      </w:r>
      <w:r>
        <w:lastRenderedPageBreak/>
        <w:t xml:space="preserve">an </w:t>
      </w:r>
      <w:r>
        <w:rPr>
          <w:b/>
          <w:bCs/>
        </w:rPr>
        <w:t>interim version</w:t>
      </w:r>
      <w:r>
        <w:t xml:space="preserve"> and return to it later. When the review is complete, a </w:t>
      </w:r>
      <w:r>
        <w:rPr>
          <w:b/>
          <w:bCs/>
        </w:rPr>
        <w:t>finalised version</w:t>
      </w:r>
      <w:r>
        <w:t xml:space="preserve"> records the reviewer’s decisions and the information needed to document who performed the review. Keeping these stages separate allows us to distinguish the candidate material originally presented to the reviewer from the decisions subsequently made about it.</w:t>
      </w:r>
    </w:p>
    <w:tbl>
      <w:tblPr>
        <w:tblStyle w:val="Table"/>
        <w:tblW w:w="0" w:type="auto"/>
        <w:jc w:val="center"/>
        <w:tblLook w:val="0600" w:firstRow="0" w:lastRow="0" w:firstColumn="0" w:lastColumn="0" w:noHBand="1" w:noVBand="1"/>
      </w:tblPr>
      <w:tblGrid>
        <w:gridCol w:w="9360"/>
      </w:tblGrid>
      <w:tr w:rsidR="00CE0A95" w14:paraId="00887203" w14:textId="77777777">
        <w:trPr>
          <w:jc w:val="center"/>
        </w:trPr>
        <w:tc>
          <w:tcPr>
            <w:tcW w:w="0" w:type="auto"/>
          </w:tcPr>
          <w:p w14:paraId="5E8A73C7" w14:textId="77777777" w:rsidR="00CE0A95" w:rsidRDefault="00000000">
            <w:pPr>
              <w:pStyle w:val="Compact"/>
              <w:jc w:val="center"/>
            </w:pPr>
            <w:r>
              <w:t>The top-left panel shows what happens during human review. The bottom-left panel shows the provenance recorded behind the visible workbench. The right-hand panels summarise downstream domain and normative inference; these operations will be examined in the following sections as applications of the digital twin.</w:t>
            </w:r>
          </w:p>
        </w:tc>
      </w:tr>
    </w:tbl>
    <w:p w14:paraId="0D8A92F7" w14:textId="77777777" w:rsidR="00CE0A95" w:rsidRDefault="00000000">
      <w:pPr>
        <w:pStyle w:val="ImageCaption"/>
      </w:pPr>
      <w:r>
        <w:t>The top-left panel shows what happens during human review. The bottom-left panel shows the provenance recorded behind the visible workbench. The right-hand panels summarise downstream domain and normative inference; these operations will be examined in the following sections as applications of the digital twin.</w:t>
      </w:r>
    </w:p>
    <w:p w14:paraId="1834D837" w14:textId="77777777" w:rsidR="00CE0A95" w:rsidRDefault="00000000">
      <w:pPr>
        <w:pStyle w:val="BodyText"/>
      </w:pPr>
      <w:r>
        <w:t>The workbench is only the visible part of the process. As decisions are made, the system records which evidence was used, what was reviewed, by whom, within which scope, and whether a claim was accepted, deferred or rejected. This provenance accompanies the resulting stabilised knowledge. Only after this human-controlled review can the digital twin use explicit inference rules and symbolic AI to propose further domain conclusions or evaluate normative questions, such as whether a resource may be published. These downstream results are themselves candidate claims rather than unquestionable facts and can therefore return to the review process when human scrutiny is required.</w:t>
      </w:r>
    </w:p>
    <w:p w14:paraId="3E5763BA" w14:textId="77777777" w:rsidR="00CE0A95" w:rsidRDefault="00000000">
      <w:pPr>
        <w:pStyle w:val="BodyText"/>
      </w:pPr>
      <w:r>
        <w:t>Betwixt can sit between relatively unstructured evidence and more structured data:</w:t>
      </w:r>
    </w:p>
    <w:p w14:paraId="39999912" w14:textId="77777777" w:rsidR="00CE0A95" w:rsidRDefault="00000000">
      <w:pPr>
        <w:pStyle w:val="BodyText"/>
      </w:pPr>
      <w:r>
        <w:rPr>
          <w:b/>
          <w:bCs/>
        </w:rPr>
        <w:t>photographs and records → R / OpenRefine → Betwixt review → reviewed tabular data → Wikibase</w:t>
      </w:r>
    </w:p>
    <w:p w14:paraId="54921610" w14:textId="77777777" w:rsidR="00CE0A95" w:rsidRDefault="00000000">
      <w:pPr>
        <w:pStyle w:val="BodyText"/>
      </w:pPr>
      <w:r>
        <w:t>It can also sit between two knowledge graphs. Instead of automatically copying everything available from Wikidata or another Wikibase, we select the part that is relevant to our purpose, turn the selected statements into candidate claims, present them for review, and incorporate only accepted claims into our own stabilised knowledge:</w:t>
      </w:r>
    </w:p>
    <w:p w14:paraId="03654B71" w14:textId="77777777" w:rsidR="00CE0A95" w:rsidRDefault="00000000">
      <w:pPr>
        <w:pStyle w:val="BodyText"/>
      </w:pPr>
      <w:r>
        <w:rPr>
          <w:b/>
          <w:bCs/>
        </w:rPr>
        <w:t>external knowledge graph → bounded selection → Betwixt review → our Wikibase</w:t>
      </w:r>
    </w:p>
    <w:p w14:paraId="600BE98B" w14:textId="77777777" w:rsidR="00CE0A95" w:rsidRDefault="00000000">
      <w:pPr>
        <w:pStyle w:val="BodyText"/>
      </w:pPr>
      <w:r>
        <w:t xml:space="preserve">We call the latter process </w:t>
      </w:r>
      <w:r>
        <w:rPr>
          <w:b/>
          <w:bCs/>
        </w:rPr>
        <w:t>bounded federation</w:t>
      </w:r>
      <w:r>
        <w:t>. The aim is not to reproduce another knowledge graph inside our own. External knowledge provides candidate claims that are useful for a particular purpose. We retain information about where those claims came from and allow curators to decide which claims should become part of our own stabilised knowledge.</w:t>
      </w:r>
    </w:p>
    <w:p w14:paraId="440B5BE1" w14:textId="77777777" w:rsidR="00CE0A95" w:rsidRDefault="00000000">
      <w:pPr>
        <w:pStyle w:val="Heading3"/>
      </w:pPr>
      <w:bookmarkStart w:id="57" w:name="Xa3b5793652140c270419ec00999aa6d766fcaf4"/>
      <w:bookmarkStart w:id="58" w:name="_Toc239495453"/>
      <w:bookmarkEnd w:id="55"/>
      <w:r>
        <w:t>From reviewed knowledge to a Heritage Digital Twin</w:t>
      </w:r>
      <w:bookmarkEnd w:id="58"/>
    </w:p>
    <w:p w14:paraId="02D08D2D" w14:textId="77777777" w:rsidR="00CE0A95" w:rsidRDefault="00000000">
      <w:pPr>
        <w:pStyle w:val="FirstParagraph"/>
      </w:pPr>
      <w:r>
        <w:t xml:space="preserve">Our next step is to organise the reviewed knowledge as a </w:t>
      </w:r>
      <w:r>
        <w:rPr>
          <w:b/>
          <w:bCs/>
        </w:rPr>
        <w:t>Heritage Digital Twin</w:t>
      </w:r>
      <w:r>
        <w:t xml:space="preserve">. For this we use two technologies that play different roles. </w:t>
      </w:r>
      <w:r>
        <w:rPr>
          <w:b/>
          <w:bCs/>
        </w:rPr>
        <w:t>HDT-O (Heritage Digital Twin Ontology)</w:t>
      </w:r>
      <w:r>
        <w:t xml:space="preserve"> gives us a common language for describing what a heritage digital twin is and how its parts </w:t>
      </w:r>
      <w:r>
        <w:lastRenderedPageBreak/>
        <w:t xml:space="preserve">relate to one another. </w:t>
      </w:r>
      <w:r>
        <w:rPr>
          <w:b/>
          <w:bCs/>
        </w:rPr>
        <w:t>Wikibase</w:t>
      </w:r>
      <w:r>
        <w:t xml:space="preserve"> gives us the database in which we can actually create and maintain these digital twins.</w:t>
      </w:r>
    </w:p>
    <w:p w14:paraId="15C4A0F0" w14:textId="77777777" w:rsidR="00CE0A95" w:rsidRDefault="00000000">
      <w:pPr>
        <w:pStyle w:val="BodyText"/>
      </w:pPr>
      <w:r>
        <w:t xml:space="preserve">The most important distinction is very simple: </w:t>
      </w:r>
      <w:r>
        <w:rPr>
          <w:b/>
          <w:bCs/>
        </w:rPr>
        <w:t>the heritage object and its digital twin are not the same thing</w:t>
      </w:r>
      <w:r>
        <w:t xml:space="preserve">. A farmhouse, sash, photograph or archival record can exist independently of our database. HDT-O calls the heritage entity that we are interested in </w:t>
      </w:r>
      <w:r>
        <w:rPr>
          <w:b/>
          <w:bCs/>
        </w:rPr>
        <w:t>HC1 Heritage Entity</w:t>
      </w:r>
      <w:r>
        <w:t xml:space="preserve">. The organised digital knowledge that we maintain about that heritage entity is represented by </w:t>
      </w:r>
      <w:r>
        <w:rPr>
          <w:b/>
          <w:bCs/>
        </w:rPr>
        <w:t>HC2 Heritage Digital Twin</w:t>
      </w:r>
      <w:r>
        <w:t>. The HC2 is therefore not another name for the physical farmhouse or sash. It is the digital twin through which we describe, connect, review and further enrich what we know about the HC1.</w:t>
      </w:r>
    </w:p>
    <w:p w14:paraId="335EC366" w14:textId="77777777" w:rsidR="00CE0A95" w:rsidRDefault="00000000">
      <w:pPr>
        <w:pStyle w:val="Heading3"/>
      </w:pPr>
      <w:bookmarkStart w:id="59" w:name="how-this-relates-to-wikibase"/>
      <w:bookmarkStart w:id="60" w:name="_Toc239495454"/>
      <w:bookmarkEnd w:id="57"/>
      <w:r>
        <w:t>How this relates to Wikibase</w:t>
      </w:r>
      <w:bookmarkEnd w:id="60"/>
    </w:p>
    <w:p w14:paraId="557AF0FA" w14:textId="77777777" w:rsidR="00CE0A95" w:rsidRDefault="00000000">
      <w:pPr>
        <w:pStyle w:val="FirstParagraph"/>
      </w:pPr>
      <w:r>
        <w:t xml:space="preserve">A </w:t>
      </w:r>
      <w:r>
        <w:rPr>
          <w:b/>
          <w:bCs/>
        </w:rPr>
        <w:t>Wikibase</w:t>
      </w:r>
      <w:r>
        <w:t xml:space="preserve"> is a database organised around </w:t>
      </w:r>
      <w:r>
        <w:rPr>
          <w:b/>
          <w:bCs/>
        </w:rPr>
        <w:t>items</w:t>
      </w:r>
      <w:r>
        <w:t xml:space="preserve">. Each item receives a persistent local identifier beginning with </w:t>
      </w:r>
      <w:r>
        <w:rPr>
          <w:rStyle w:val="VerbatimChar"/>
        </w:rPr>
        <w:t>Q</w:t>
      </w:r>
      <w:r>
        <w:t xml:space="preserve">, such as </w:t>
      </w:r>
      <w:r>
        <w:rPr>
          <w:rStyle w:val="VerbatimChar"/>
        </w:rPr>
        <w:t>Q7328</w:t>
      </w:r>
      <w:r>
        <w:t>. An item can have a human-readable label and description and a set of structured statements. For example, an item may say that the Dēliņi farmhouse is a farmhouse, that it belongs to a particular farmstead, that it is associated with Livonian heritage, and that it is documented by particular records or photographs.</w:t>
      </w:r>
    </w:p>
    <w:p w14:paraId="687B8740" w14:textId="77777777" w:rsidR="00CE0A95" w:rsidRDefault="00000000">
      <w:pPr>
        <w:pStyle w:val="BodyText"/>
      </w:pPr>
      <w:r>
        <w:t xml:space="preserve">There is an important duality here. When we look at a Wikibase item such as </w:t>
      </w:r>
      <w:r>
        <w:rPr>
          <w:rStyle w:val="VerbatimChar"/>
        </w:rPr>
        <w:t>Q7328</w:t>
      </w:r>
      <w:r>
        <w:t xml:space="preserve">, most of its statements appear to talk directly about the heritage entity: </w:t>
      </w:r>
      <w:r>
        <w:rPr>
          <w:b/>
          <w:bCs/>
        </w:rPr>
        <w:t>the farmhouse — instance of — farmhouse</w:t>
      </w:r>
      <w:r>
        <w:t xml:space="preserve">. But technically the Q-item is a digital dataset maintained in our information system. It can therefore also have information about the digital record itself: where its knowledge came from, when it was reviewed, what evidence supports it, which version is current, or how it may be used. In other words, the same operational Wikibase item gives us an access point to statements </w:t>
      </w:r>
      <w:r>
        <w:rPr>
          <w:b/>
          <w:bCs/>
        </w:rPr>
        <w:t>about the heritage entity</w:t>
      </w:r>
      <w:r>
        <w:t xml:space="preserve"> and statements </w:t>
      </w:r>
      <w:r>
        <w:rPr>
          <w:b/>
          <w:bCs/>
        </w:rPr>
        <w:t>about the digital twin that describes it</w:t>
      </w:r>
      <w:r>
        <w:t>.</w:t>
      </w:r>
    </w:p>
    <w:p w14:paraId="660099AF" w14:textId="77777777" w:rsidR="00CE0A95" w:rsidRDefault="00000000">
      <w:pPr>
        <w:pStyle w:val="BodyText"/>
      </w:pPr>
      <w:r>
        <w:t>HDT-O gives us a vocabulary for keeping these two roles conceptually separate:</w:t>
      </w:r>
    </w:p>
    <w:p w14:paraId="4014BCF2" w14:textId="77777777" w:rsidR="00CE0A95" w:rsidRDefault="00000000">
      <w:pPr>
        <w:pStyle w:val="Compact"/>
        <w:numPr>
          <w:ilvl w:val="0"/>
          <w:numId w:val="9"/>
        </w:numPr>
      </w:pPr>
      <w:r>
        <w:rPr>
          <w:b/>
          <w:bCs/>
        </w:rPr>
        <w:t>HC1 Heritage Entity</w:t>
      </w:r>
      <w:r>
        <w:t xml:space="preserve"> — the thing that the knowledge is about: for example, the Dēliņi farmhouse, a sash, a museum artefact or an archival record.</w:t>
      </w:r>
    </w:p>
    <w:p w14:paraId="76A158BE" w14:textId="77777777" w:rsidR="00CE0A95" w:rsidRDefault="00000000">
      <w:pPr>
        <w:pStyle w:val="Compact"/>
        <w:numPr>
          <w:ilvl w:val="0"/>
          <w:numId w:val="9"/>
        </w:numPr>
      </w:pPr>
      <w:r>
        <w:rPr>
          <w:b/>
          <w:bCs/>
        </w:rPr>
        <w:t>HC2 Heritage Digital Twin</w:t>
      </w:r>
      <w:r>
        <w:t xml:space="preserve"> — the organised digital representation through which we maintain knowledge about that heritage entity.</w:t>
      </w:r>
    </w:p>
    <w:p w14:paraId="26D66025" w14:textId="77777777" w:rsidR="00CE0A95" w:rsidRDefault="00000000">
      <w:pPr>
        <w:pStyle w:val="FirstParagraph"/>
      </w:pPr>
      <w:r>
        <w:t xml:space="preserve">For our implementation, a Wikibase Q-item therefore acts as the </w:t>
      </w:r>
      <w:r>
        <w:rPr>
          <w:b/>
          <w:bCs/>
        </w:rPr>
        <w:t>operational anchor of the Heritage Digital Twin</w:t>
      </w:r>
      <w:r>
        <w:t xml:space="preserve">. When a statement describes the farmhouse itself, we interpret it on the </w:t>
      </w:r>
      <w:r>
        <w:rPr>
          <w:b/>
          <w:bCs/>
        </w:rPr>
        <w:t>HC1 side</w:t>
      </w:r>
      <w:r>
        <w:t xml:space="preserve"> of the model. When we record how the digital knowledge was created, reviewed, maintained or connected to evidence, we are describing the </w:t>
      </w:r>
      <w:r>
        <w:rPr>
          <w:b/>
          <w:bCs/>
        </w:rPr>
        <w:t>HC2 side</w:t>
      </w:r>
      <w:r>
        <w:t>. The distinction is ontological rather than necessarily a requirement to create two Q-items for everything.</w:t>
      </w:r>
    </w:p>
    <w:p w14:paraId="09332D4F" w14:textId="77777777" w:rsidR="00CE0A95" w:rsidRDefault="00000000">
      <w:pPr>
        <w:pStyle w:val="BodyText"/>
      </w:pPr>
      <w:r>
        <w:t xml:space="preserve">This is why the review process described above matters. We first identify what heritage entity we are talking about and register its digital twin. Betwixt then helps us decide which candidate claims should become part of the twin’s stabilised knowledge and records how </w:t>
      </w:r>
      <w:r>
        <w:lastRenderedPageBreak/>
        <w:t xml:space="preserve">those decisions were reached. Subsequent enrichment therefore does not mean repeatedly rediscovering the physical object. We are </w:t>
      </w:r>
      <w:r>
        <w:rPr>
          <w:b/>
          <w:bCs/>
        </w:rPr>
        <w:t>maintaining and enriching the HC2 digital twin on the basis of evidence about its HC1 heritage entity</w:t>
      </w:r>
      <w:r>
        <w:t>.</w:t>
      </w:r>
    </w:p>
    <w:p w14:paraId="0B5DD637" w14:textId="77777777" w:rsidR="00CE0A95" w:rsidRDefault="00000000">
      <w:pPr>
        <w:pStyle w:val="Heading2"/>
      </w:pPr>
      <w:bookmarkStart w:id="61" w:name="X5b4ea905ffef973e8a52a8baef180d3fecce318"/>
      <w:bookmarkStart w:id="62" w:name="_Toc239495455"/>
      <w:bookmarkEnd w:id="59"/>
      <w:r>
        <w:t>Alignment of the Wikibase Ontology and HDT-O</w:t>
      </w:r>
      <w:bookmarkEnd w:id="62"/>
    </w:p>
    <w:p w14:paraId="29EFBD65" w14:textId="77777777" w:rsidR="00CE0A95" w:rsidRDefault="00000000">
      <w:pPr>
        <w:pStyle w:val="FirstParagraph"/>
      </w:pPr>
      <w:r>
        <w:t xml:space="preserve">The correspondence between Wikibase and HDT-O is not a one-to-one mapping between database objects and ontology classes. Wikibase provides the </w:t>
      </w:r>
      <w:r>
        <w:rPr>
          <w:b/>
          <w:bCs/>
        </w:rPr>
        <w:t>operational data structure</w:t>
      </w:r>
      <w:r>
        <w:t xml:space="preserve"> in which we maintain the digital twin, while HDT-O provides the </w:t>
      </w:r>
      <w:r>
        <w:rPr>
          <w:b/>
          <w:bCs/>
        </w:rPr>
        <w:t>ontological interpretation</w:t>
      </w:r>
      <w:r>
        <w:t xml:space="preserve"> of the entities, statements and activities represented there. We therefore do not need to create a separate Wikibase item for every HDT-O class instance.</w:t>
      </w:r>
    </w:p>
    <w:p w14:paraId="6D41951E" w14:textId="77777777" w:rsidR="00CE0A95" w:rsidRDefault="00000000">
      <w:pPr>
        <w:pStyle w:val="BodyText"/>
      </w:pPr>
      <w:r>
        <w:t xml:space="preserve">The central mapping starts with the Wikibase Q-item that anchors a heritage entity. The same Q-item participates in two closely related roles. Statements such as </w:t>
      </w:r>
      <w:r>
        <w:rPr>
          <w:b/>
          <w:bCs/>
        </w:rPr>
        <w:t>instance of — tablet-woven sash</w:t>
      </w:r>
      <w:r>
        <w:t xml:space="preserve"> or </w:t>
      </w:r>
      <w:r>
        <w:rPr>
          <w:b/>
          <w:bCs/>
        </w:rPr>
        <w:t>located in — Dēliņi farmhouse</w:t>
      </w:r>
      <w:r>
        <w:t xml:space="preserve"> can make propositions about the </w:t>
      </w:r>
      <w:r>
        <w:rPr>
          <w:b/>
          <w:bCs/>
        </w:rPr>
        <w:t>HC1 Heritage Entity</w:t>
      </w:r>
      <w:r>
        <w:t xml:space="preserve">. Other statements may concern the </w:t>
      </w:r>
      <w:r>
        <w:rPr>
          <w:b/>
          <w:bCs/>
        </w:rPr>
        <w:t>HC2 Heritage Digital Twin</w:t>
      </w:r>
      <w:r>
        <w:t xml:space="preserve"> itself. Information about how these propositions were established, reviewed, changed and maintained belongs to the provenance of the digital twin and its maintenance. HDT-O therefore allows us to distinguish the subject of a proposition from the proposition’s membership in the maintained content of HC2.</w:t>
      </w:r>
    </w:p>
    <w:p w14:paraId="0802A067" w14:textId="77777777" w:rsidR="00CE0A95" w:rsidRDefault="00000000">
      <w:pPr>
        <w:pStyle w:val="BodyText"/>
      </w:pPr>
      <w:r>
        <w:t xml:space="preserve">HC1 can be further specialised. A physical object such as the Dēliņi sash or farmhouse can be interpreted as an </w:t>
      </w:r>
      <w:r>
        <w:rPr>
          <w:b/>
          <w:bCs/>
        </w:rPr>
        <w:t>HC3 Tangible Heritage Entity</w:t>
      </w:r>
      <w:r>
        <w:t xml:space="preserve">. A digital photograph of the sash is not another instance of the sash and does not become part of HC1 merely because we use it as evidence. It can instead be represented as an </w:t>
      </w:r>
      <w:r>
        <w:rPr>
          <w:b/>
          <w:bCs/>
        </w:rPr>
        <w:t>HC5 Digital Representation</w:t>
      </w:r>
      <w:r>
        <w:t xml:space="preserve"> connected to what it represents. This distinction allows several photographs, records and other digital resources to contribute evidence about the same heritage entity without multiplying the heritage entity itself.</w:t>
      </w:r>
    </w:p>
    <w:p w14:paraId="67D056AC" w14:textId="77777777" w:rsidR="00CE0A95" w:rsidRDefault="00000000">
      <w:pPr>
        <w:pStyle w:val="BodyText"/>
      </w:pPr>
      <w:r>
        <w:t xml:space="preserve">The propositional content maintained by HC2 is organised in HDT-O through </w:t>
      </w:r>
      <w:r>
        <w:rPr>
          <w:b/>
          <w:bCs/>
        </w:rPr>
        <w:t>HC16 Heritage Proposition Sets</w:t>
      </w:r>
      <w:r>
        <w:t xml:space="preserve">. Individual HC16 proposition sets are persistent rather than editable: changes in the twin are represented through different proposition sets rather than by modifying the content of an existing HC16. </w:t>
      </w:r>
      <w:r>
        <w:rPr>
          <w:b/>
          <w:bCs/>
        </w:rPr>
        <w:t>HP33 contains</w:t>
      </w:r>
      <w:r>
        <w:t xml:space="preserve"> relates the HC2 to proposition sets forming its current content, while former proposition sets remain traceable through </w:t>
      </w:r>
      <w:r>
        <w:rPr>
          <w:b/>
          <w:bCs/>
        </w:rPr>
        <w:t>HP34 contained</w:t>
      </w:r>
      <w:r>
        <w:t xml:space="preserve"> (ECHOES Project 2026).</w:t>
      </w:r>
    </w:p>
    <w:p w14:paraId="3E99FAB9" w14:textId="77777777" w:rsidR="00CE0A95" w:rsidRDefault="00000000">
      <w:pPr>
        <w:pStyle w:val="BodyText"/>
      </w:pPr>
      <w:r>
        <w:t xml:space="preserve">Changes to the twin are represented by </w:t>
      </w:r>
      <w:r>
        <w:rPr>
          <w:b/>
          <w:bCs/>
        </w:rPr>
        <w:t>HC11 Digital Twin Maintenance</w:t>
      </w:r>
      <w:r>
        <w:t>. An HC11 activity can document an HC1 heritage entity and compose or complement its HC2 digital twin. This provides the HDT-O location for activities through which reviewed knowledge is admitted to, corrected in, or otherwise maintained in the digital twin. Betwixt supplies part of the provenance needed to describe such an activity: the evidence used, reviewer, review scope, decisions and time of review. The subsequent Wikibase update implements the resulting change to the operational twin.</w:t>
      </w:r>
    </w:p>
    <w:p w14:paraId="343456D0" w14:textId="77777777" w:rsidR="00CE0A95" w:rsidRDefault="00000000">
      <w:pPr>
        <w:pStyle w:val="BodyText"/>
      </w:pPr>
      <w:r>
        <w:t xml:space="preserve">The first implementation mapping is </w:t>
      </w:r>
      <w:proofErr w:type="spellStart"/>
      <w:r>
        <w:t>summarised</w:t>
      </w:r>
      <w:proofErr w:type="spellEnd"/>
      <w:r>
        <w:t xml:space="preserve"> in </w:t>
      </w:r>
      <w:hyperlink w:anchor="tbl-wikibase-hdto-first-mapping">
        <w:r>
          <w:rPr>
            <w:rStyle w:val="Hyperlink"/>
          </w:rPr>
          <w:t>Table 17</w:t>
        </w:r>
      </w:hyperlink>
      <w:r>
        <w:t xml:space="preserve">. It is intentionally conservative. An HDT-O entity being relevant to our semantic model does </w:t>
      </w:r>
      <w:r>
        <w:rPr>
          <w:b/>
          <w:bCs/>
        </w:rPr>
        <w:t>not</w:t>
      </w:r>
      <w:r>
        <w:t xml:space="preserve"> </w:t>
      </w:r>
      <w:r>
        <w:lastRenderedPageBreak/>
        <w:t>automatically imply that it receives its own QID. Whether a photograph, proposition set, maintenance activity or snapshot should become a first-class Wikibase item depends on whether it needs to be independently identified, linked, queried or maintained.</w:t>
      </w:r>
    </w:p>
    <w:tbl>
      <w:tblPr>
        <w:tblStyle w:val="Table"/>
        <w:tblW w:w="5000" w:type="pct"/>
        <w:tblLayout w:type="fixed"/>
        <w:tblLook w:val="0000" w:firstRow="0" w:lastRow="0" w:firstColumn="0" w:lastColumn="0" w:noHBand="0" w:noVBand="0"/>
      </w:tblPr>
      <w:tblGrid>
        <w:gridCol w:w="9360"/>
      </w:tblGrid>
      <w:tr w:rsidR="00CE0A95" w14:paraId="626D54E3" w14:textId="77777777">
        <w:tc>
          <w:tcPr>
            <w:tcW w:w="7920" w:type="dxa"/>
          </w:tcPr>
          <w:p w14:paraId="56F3279A" w14:textId="77777777" w:rsidR="00CE0A95" w:rsidRDefault="00000000">
            <w:pPr>
              <w:pStyle w:val="ImageCaption"/>
              <w:spacing w:before="200"/>
            </w:pPr>
            <w:bookmarkStart w:id="63" w:name="tbl-wikibase-hdto-first-mapping"/>
            <w:r>
              <w:t>Table 17: First mapping between the operational Wikibase implementation and the HDT-O vocabulary. The mapping is semantic rather than a requirement to create one Wikibase item for every HDT-O entity.</w:t>
            </w:r>
          </w:p>
          <w:tbl>
            <w:tblPr>
              <w:tblStyle w:val="Table"/>
              <w:tblW w:w="5000" w:type="pct"/>
              <w:tblLayout w:type="fixed"/>
              <w:tblLook w:val="0020" w:firstRow="1" w:lastRow="0" w:firstColumn="0" w:lastColumn="0" w:noHBand="0" w:noVBand="0"/>
            </w:tblPr>
            <w:tblGrid>
              <w:gridCol w:w="2286"/>
              <w:gridCol w:w="2286"/>
              <w:gridCol w:w="2286"/>
              <w:gridCol w:w="2286"/>
            </w:tblGrid>
            <w:tr w:rsidR="00CE0A95" w14:paraId="0CE00913" w14:textId="77777777" w:rsidTr="00CE0A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432812" w14:textId="77777777" w:rsidR="00CE0A95" w:rsidRDefault="00000000">
                  <w:pPr>
                    <w:pStyle w:val="Compact"/>
                    <w:jc w:val="center"/>
                  </w:pPr>
                  <w:r>
                    <w:t>Implementation concern</w:t>
                  </w:r>
                </w:p>
              </w:tc>
              <w:tc>
                <w:tcPr>
                  <w:tcW w:w="1980" w:type="dxa"/>
                </w:tcPr>
                <w:p w14:paraId="30650E4F" w14:textId="77777777" w:rsidR="00CE0A95" w:rsidRDefault="00000000">
                  <w:pPr>
                    <w:pStyle w:val="Compact"/>
                    <w:jc w:val="center"/>
                  </w:pPr>
                  <w:r>
                    <w:t>Wikibase representation</w:t>
                  </w:r>
                </w:p>
              </w:tc>
              <w:tc>
                <w:tcPr>
                  <w:tcW w:w="1980" w:type="dxa"/>
                </w:tcPr>
                <w:p w14:paraId="2FE2C963" w14:textId="77777777" w:rsidR="00CE0A95" w:rsidRDefault="00000000">
                  <w:pPr>
                    <w:pStyle w:val="Compact"/>
                    <w:jc w:val="center"/>
                  </w:pPr>
                  <w:r>
                    <w:t>HDT-O vocabulary</w:t>
                  </w:r>
                </w:p>
              </w:tc>
              <w:tc>
                <w:tcPr>
                  <w:tcW w:w="1980" w:type="dxa"/>
                </w:tcPr>
                <w:p w14:paraId="2A54A8E4" w14:textId="77777777" w:rsidR="00CE0A95" w:rsidRDefault="00000000">
                  <w:pPr>
                    <w:pStyle w:val="Compact"/>
                    <w:jc w:val="center"/>
                  </w:pPr>
                  <w:r>
                    <w:t>Interpretation in our implementation</w:t>
                  </w:r>
                </w:p>
              </w:tc>
            </w:tr>
            <w:tr w:rsidR="00CE0A95" w14:paraId="4622B7E1" w14:textId="77777777">
              <w:tc>
                <w:tcPr>
                  <w:tcW w:w="1980" w:type="dxa"/>
                </w:tcPr>
                <w:p w14:paraId="09C8D401" w14:textId="77777777" w:rsidR="00CE0A95" w:rsidRDefault="00000000">
                  <w:pPr>
                    <w:pStyle w:val="Compact"/>
                    <w:jc w:val="center"/>
                  </w:pPr>
                  <w:r>
                    <w:t>Heritage entity</w:t>
                  </w:r>
                </w:p>
              </w:tc>
              <w:tc>
                <w:tcPr>
                  <w:tcW w:w="1980" w:type="dxa"/>
                </w:tcPr>
                <w:p w14:paraId="7879E361" w14:textId="77777777" w:rsidR="00CE0A95" w:rsidRDefault="00000000">
                  <w:pPr>
                    <w:pStyle w:val="Compact"/>
                    <w:jc w:val="center"/>
                  </w:pPr>
                  <w:r>
                    <w:t>Q-item serving as the practical operational anchor</w:t>
                  </w:r>
                </w:p>
              </w:tc>
              <w:tc>
                <w:tcPr>
                  <w:tcW w:w="1980" w:type="dxa"/>
                </w:tcPr>
                <w:p w14:paraId="77150934" w14:textId="77777777" w:rsidR="00CE0A95" w:rsidRDefault="00000000">
                  <w:pPr>
                    <w:pStyle w:val="Compact"/>
                    <w:jc w:val="center"/>
                  </w:pPr>
                  <w:r>
                    <w:rPr>
                      <w:b/>
                      <w:bCs/>
                    </w:rPr>
                    <w:t>HC1 Heritage Entity</w:t>
                  </w:r>
                </w:p>
              </w:tc>
              <w:tc>
                <w:tcPr>
                  <w:tcW w:w="1980" w:type="dxa"/>
                </w:tcPr>
                <w:p w14:paraId="7D0F1197" w14:textId="77777777" w:rsidR="00CE0A95" w:rsidRDefault="00000000">
                  <w:pPr>
                    <w:pStyle w:val="Compact"/>
                    <w:jc w:val="center"/>
                  </w:pPr>
                  <w:r>
                    <w:t>Projected as the HC1 resource represented by the Q-item</w:t>
                  </w:r>
                </w:p>
              </w:tc>
            </w:tr>
            <w:tr w:rsidR="00CE0A95" w14:paraId="087D37F5" w14:textId="77777777">
              <w:tc>
                <w:tcPr>
                  <w:tcW w:w="1980" w:type="dxa"/>
                </w:tcPr>
                <w:p w14:paraId="3CF50D7A" w14:textId="77777777" w:rsidR="00CE0A95" w:rsidRDefault="00000000">
                  <w:pPr>
                    <w:pStyle w:val="Compact"/>
                    <w:jc w:val="center"/>
                  </w:pPr>
                  <w:r>
                    <w:t>Physical heritage entity</w:t>
                  </w:r>
                </w:p>
              </w:tc>
              <w:tc>
                <w:tcPr>
                  <w:tcW w:w="1980" w:type="dxa"/>
                </w:tcPr>
                <w:p w14:paraId="2012D9E3" w14:textId="77777777" w:rsidR="00CE0A95" w:rsidRDefault="00000000">
                  <w:pPr>
                    <w:pStyle w:val="Compact"/>
                    <w:jc w:val="center"/>
                  </w:pPr>
                  <w:r>
                    <w:t xml:space="preserve">Q-item with appropriate </w:t>
                  </w:r>
                  <w:r>
                    <w:rPr>
                      <w:rStyle w:val="VerbatimChar"/>
                    </w:rPr>
                    <w:t>instance of</w:t>
                  </w:r>
                  <w:r>
                    <w:t xml:space="preserve"> statements</w:t>
                  </w:r>
                </w:p>
              </w:tc>
              <w:tc>
                <w:tcPr>
                  <w:tcW w:w="1980" w:type="dxa"/>
                </w:tcPr>
                <w:p w14:paraId="0E3DA7C5" w14:textId="77777777" w:rsidR="00CE0A95" w:rsidRDefault="00000000">
                  <w:pPr>
                    <w:pStyle w:val="Compact"/>
                    <w:jc w:val="center"/>
                  </w:pPr>
                  <w:r>
                    <w:rPr>
                      <w:b/>
                      <w:bCs/>
                    </w:rPr>
                    <w:t>HC3 Tangible Heritage Entity</w:t>
                  </w:r>
                </w:p>
              </w:tc>
              <w:tc>
                <w:tcPr>
                  <w:tcW w:w="1980" w:type="dxa"/>
                </w:tcPr>
                <w:p w14:paraId="6E59DCEC" w14:textId="77777777" w:rsidR="00CE0A95" w:rsidRDefault="00000000">
                  <w:pPr>
                    <w:pStyle w:val="Compact"/>
                    <w:jc w:val="center"/>
                  </w:pPr>
                  <w:r>
                    <w:t>A material heritage entity, such as the Dēliņi farmhouse or tablet-woven sash</w:t>
                  </w:r>
                </w:p>
              </w:tc>
            </w:tr>
            <w:tr w:rsidR="00CE0A95" w14:paraId="138AA5E4" w14:textId="77777777">
              <w:tc>
                <w:tcPr>
                  <w:tcW w:w="1980" w:type="dxa"/>
                </w:tcPr>
                <w:p w14:paraId="46D86CF9" w14:textId="77777777" w:rsidR="00CE0A95" w:rsidRDefault="00000000">
                  <w:pPr>
                    <w:pStyle w:val="Compact"/>
                    <w:jc w:val="center"/>
                  </w:pPr>
                  <w:r>
                    <w:t>Heritage Digital Twin</w:t>
                  </w:r>
                </w:p>
              </w:tc>
              <w:tc>
                <w:tcPr>
                  <w:tcW w:w="1980" w:type="dxa"/>
                </w:tcPr>
                <w:p w14:paraId="77D9646B" w14:textId="77777777" w:rsidR="00CE0A95" w:rsidRDefault="00000000">
                  <w:pPr>
                    <w:pStyle w:val="Compact"/>
                    <w:jc w:val="center"/>
                  </w:pPr>
                  <w:r>
                    <w:t>Shares the practical Q-item anchor used in the Wikibase interface; exported as a distinct semantic resource in the HDT-O projection</w:t>
                  </w:r>
                </w:p>
              </w:tc>
              <w:tc>
                <w:tcPr>
                  <w:tcW w:w="1980" w:type="dxa"/>
                </w:tcPr>
                <w:p w14:paraId="69EE6683" w14:textId="77777777" w:rsidR="00CE0A95" w:rsidRDefault="00000000">
                  <w:pPr>
                    <w:pStyle w:val="Compact"/>
                    <w:jc w:val="center"/>
                  </w:pPr>
                  <w:r>
                    <w:rPr>
                      <w:b/>
                      <w:bCs/>
                    </w:rPr>
                    <w:t>HC2 Heritage Digital Twin</w:t>
                  </w:r>
                </w:p>
              </w:tc>
              <w:tc>
                <w:tcPr>
                  <w:tcW w:w="1980" w:type="dxa"/>
                </w:tcPr>
                <w:p w14:paraId="79DFA35A" w14:textId="77777777" w:rsidR="00CE0A95" w:rsidRDefault="00000000">
                  <w:pPr>
                    <w:pStyle w:val="Compact"/>
                    <w:jc w:val="center"/>
                  </w:pPr>
                  <w:r>
                    <w:t>The digital twin concerning the HC1; distinct from HC1 in the HDT-O representation</w:t>
                  </w:r>
                </w:p>
              </w:tc>
            </w:tr>
            <w:tr w:rsidR="00CE0A95" w14:paraId="1A82896F" w14:textId="77777777">
              <w:tc>
                <w:tcPr>
                  <w:tcW w:w="1980" w:type="dxa"/>
                </w:tcPr>
                <w:p w14:paraId="490AC869" w14:textId="77777777" w:rsidR="00CE0A95" w:rsidRDefault="00000000">
                  <w:pPr>
                    <w:pStyle w:val="Compact"/>
                    <w:jc w:val="center"/>
                  </w:pPr>
                  <w:r>
                    <w:t>Heritage entity–twin relationship</w:t>
                  </w:r>
                </w:p>
              </w:tc>
              <w:tc>
                <w:tcPr>
                  <w:tcW w:w="1980" w:type="dxa"/>
                </w:tcPr>
                <w:p w14:paraId="3DB740E8" w14:textId="77777777" w:rsidR="00CE0A95" w:rsidRDefault="00000000">
                  <w:pPr>
                    <w:pStyle w:val="Compact"/>
                    <w:jc w:val="center"/>
                  </w:pPr>
                  <w:r>
                    <w:t>Generated by the Wikibase–HDT-O projection rather than necessarily stored as a manually maintained Wikibase statement</w:t>
                  </w:r>
                </w:p>
              </w:tc>
              <w:tc>
                <w:tcPr>
                  <w:tcW w:w="1980" w:type="dxa"/>
                </w:tcPr>
                <w:p w14:paraId="3A41D92D" w14:textId="77777777" w:rsidR="00CE0A95" w:rsidRDefault="00000000">
                  <w:pPr>
                    <w:pStyle w:val="Compact"/>
                    <w:jc w:val="center"/>
                  </w:pPr>
                  <w:r>
                    <w:rPr>
                      <w:b/>
                      <w:bCs/>
                    </w:rPr>
                    <w:t>HP1 has digital twin / is digital twin of</w:t>
                  </w:r>
                </w:p>
              </w:tc>
              <w:tc>
                <w:tcPr>
                  <w:tcW w:w="1980" w:type="dxa"/>
                </w:tcPr>
                <w:p w14:paraId="0B356579" w14:textId="77777777" w:rsidR="00CE0A95" w:rsidRDefault="00000000">
                  <w:pPr>
                    <w:pStyle w:val="Compact"/>
                    <w:jc w:val="center"/>
                  </w:pPr>
                  <w:r>
                    <w:t xml:space="preserve">Links </w:t>
                  </w:r>
                  <w:r>
                    <w:rPr>
                      <w:b/>
                      <w:bCs/>
                    </w:rPr>
                    <w:t>HC1 Heritage Entity → HC2 Heritage Digital Twin</w:t>
                  </w:r>
                  <w:r>
                    <w:t>. The HDT-O projection explicitly materialises this distinction even where one Wikibase Q-item serves as their common operational anchor.</w:t>
                  </w:r>
                </w:p>
              </w:tc>
            </w:tr>
            <w:tr w:rsidR="00CE0A95" w14:paraId="21586207" w14:textId="77777777">
              <w:tc>
                <w:tcPr>
                  <w:tcW w:w="1980" w:type="dxa"/>
                </w:tcPr>
                <w:p w14:paraId="1CDF1CD3" w14:textId="77777777" w:rsidR="00CE0A95" w:rsidRDefault="00000000">
                  <w:pPr>
                    <w:pStyle w:val="Compact"/>
                    <w:jc w:val="center"/>
                  </w:pPr>
                  <w:r>
                    <w:t>Digital-twin component relationship</w:t>
                  </w:r>
                </w:p>
              </w:tc>
              <w:tc>
                <w:tcPr>
                  <w:tcW w:w="1980" w:type="dxa"/>
                </w:tcPr>
                <w:p w14:paraId="366198A7" w14:textId="77777777" w:rsidR="00CE0A95" w:rsidRDefault="00000000">
                  <w:pPr>
                    <w:pStyle w:val="Compact"/>
                    <w:jc w:val="center"/>
                  </w:pPr>
                  <w:r>
                    <w:t>Explicit relationship only where one digital twin is modelled as a component of another</w:t>
                  </w:r>
                </w:p>
              </w:tc>
              <w:tc>
                <w:tcPr>
                  <w:tcW w:w="1980" w:type="dxa"/>
                </w:tcPr>
                <w:p w14:paraId="592A1BE1" w14:textId="77777777" w:rsidR="00CE0A95" w:rsidRDefault="00000000">
                  <w:pPr>
                    <w:pStyle w:val="Compact"/>
                    <w:jc w:val="center"/>
                  </w:pPr>
                  <w:r>
                    <w:rPr>
                      <w:b/>
                      <w:bCs/>
                    </w:rPr>
                    <w:t>HP3 is digital twin component of / has digital twin component</w:t>
                  </w:r>
                </w:p>
              </w:tc>
              <w:tc>
                <w:tcPr>
                  <w:tcW w:w="1980" w:type="dxa"/>
                </w:tcPr>
                <w:p w14:paraId="3F7C5F14" w14:textId="77777777" w:rsidR="00CE0A95" w:rsidRDefault="00000000">
                  <w:pPr>
                    <w:pStyle w:val="Compact"/>
                    <w:jc w:val="center"/>
                  </w:pPr>
                  <w:r>
                    <w:t xml:space="preserve">Relates </w:t>
                  </w:r>
                  <w:r>
                    <w:rPr>
                      <w:b/>
                      <w:bCs/>
                    </w:rPr>
                    <w:t>HC2 Heritage Digital Twin → HC2 Heritage Digital Twin</w:t>
                  </w:r>
                  <w:r>
                    <w:t xml:space="preserve">. It should not be inferred </w:t>
                  </w:r>
                  <w:r>
                    <w:lastRenderedPageBreak/>
                    <w:t>automatically from part-whole relationships between the corresponding HC1 heritage entities, nor from temporary participation in the same inspection context.</w:t>
                  </w:r>
                </w:p>
              </w:tc>
            </w:tr>
            <w:tr w:rsidR="00CE0A95" w14:paraId="6CB5B39B" w14:textId="77777777">
              <w:tc>
                <w:tcPr>
                  <w:tcW w:w="1980" w:type="dxa"/>
                </w:tcPr>
                <w:p w14:paraId="56B55F43" w14:textId="77777777" w:rsidR="00CE0A95" w:rsidRDefault="00000000">
                  <w:pPr>
                    <w:pStyle w:val="Compact"/>
                    <w:jc w:val="center"/>
                  </w:pPr>
                  <w:r>
                    <w:lastRenderedPageBreak/>
                    <w:t>Digital representation</w:t>
                  </w:r>
                </w:p>
              </w:tc>
              <w:tc>
                <w:tcPr>
                  <w:tcW w:w="1980" w:type="dxa"/>
                </w:tcPr>
                <w:p w14:paraId="07147A70" w14:textId="77777777" w:rsidR="00CE0A95" w:rsidRDefault="00000000">
                  <w:pPr>
                    <w:pStyle w:val="Compact"/>
                    <w:jc w:val="center"/>
                  </w:pPr>
                  <w:r>
                    <w:t>File or external digital resource; Q-item only when independent graph identity is required</w:t>
                  </w:r>
                </w:p>
              </w:tc>
              <w:tc>
                <w:tcPr>
                  <w:tcW w:w="1980" w:type="dxa"/>
                </w:tcPr>
                <w:p w14:paraId="37A9E026" w14:textId="77777777" w:rsidR="00CE0A95" w:rsidRDefault="00000000">
                  <w:pPr>
                    <w:pStyle w:val="Compact"/>
                    <w:jc w:val="center"/>
                  </w:pPr>
                  <w:r>
                    <w:rPr>
                      <w:b/>
                      <w:bCs/>
                    </w:rPr>
                    <w:t>HC5 Digital Representation</w:t>
                  </w:r>
                  <w:r>
                    <w:t xml:space="preserve">; more specifically </w:t>
                  </w:r>
                  <w:r>
                    <w:rPr>
                      <w:b/>
                      <w:bCs/>
                    </w:rPr>
                    <w:t>HC7 Digital Audiovisual Object</w:t>
                  </w:r>
                  <w:r>
                    <w:t xml:space="preserve"> for the photographic example</w:t>
                  </w:r>
                </w:p>
              </w:tc>
              <w:tc>
                <w:tcPr>
                  <w:tcW w:w="1980" w:type="dxa"/>
                </w:tcPr>
                <w:p w14:paraId="0B08D3E5" w14:textId="77777777" w:rsidR="00CE0A95" w:rsidRDefault="00000000">
                  <w:pPr>
                    <w:pStyle w:val="Compact"/>
                    <w:jc w:val="center"/>
                  </w:pPr>
                  <w:r>
                    <w:t>A digital representation of a heritage entity; the Dēliņi JPG photographs use the more specific audiovisual class</w:t>
                  </w:r>
                </w:p>
              </w:tc>
            </w:tr>
            <w:tr w:rsidR="00CE0A95" w14:paraId="7F2F2A64" w14:textId="77777777">
              <w:tc>
                <w:tcPr>
                  <w:tcW w:w="1980" w:type="dxa"/>
                </w:tcPr>
                <w:p w14:paraId="11B84316" w14:textId="77777777" w:rsidR="00CE0A95" w:rsidRDefault="00000000">
                  <w:pPr>
                    <w:pStyle w:val="Compact"/>
                    <w:jc w:val="center"/>
                  </w:pPr>
                  <w:r>
                    <w:t>Representation relationship</w:t>
                  </w:r>
                </w:p>
              </w:tc>
              <w:tc>
                <w:tcPr>
                  <w:tcW w:w="1980" w:type="dxa"/>
                </w:tcPr>
                <w:p w14:paraId="64F26D8B" w14:textId="77777777" w:rsidR="00CE0A95" w:rsidRDefault="00000000">
                  <w:pPr>
                    <w:pStyle w:val="Compact"/>
                    <w:jc w:val="center"/>
                  </w:pPr>
                  <w:r>
                    <w:t>Wikibase representation or depiction statement</w:t>
                  </w:r>
                </w:p>
              </w:tc>
              <w:tc>
                <w:tcPr>
                  <w:tcW w:w="1980" w:type="dxa"/>
                </w:tcPr>
                <w:p w14:paraId="4361636F" w14:textId="77777777" w:rsidR="00CE0A95" w:rsidRDefault="00000000">
                  <w:pPr>
                    <w:pStyle w:val="Compact"/>
                    <w:jc w:val="center"/>
                  </w:pPr>
                  <w:r>
                    <w:rPr>
                      <w:b/>
                      <w:bCs/>
                    </w:rPr>
                    <w:t>HP22 represents / has digital representation</w:t>
                  </w:r>
                  <w:r>
                    <w:t xml:space="preserve">; more specifically </w:t>
                  </w:r>
                  <w:r>
                    <w:rPr>
                      <w:b/>
                      <w:bCs/>
                    </w:rPr>
                    <w:t>HP9 is visual representation of / has visual representation</w:t>
                  </w:r>
                  <w:r>
                    <w:t xml:space="preserve"> for digital photography</w:t>
                  </w:r>
                </w:p>
              </w:tc>
              <w:tc>
                <w:tcPr>
                  <w:tcW w:w="1980" w:type="dxa"/>
                </w:tcPr>
                <w:p w14:paraId="0A306F6C" w14:textId="77777777" w:rsidR="00CE0A95" w:rsidRDefault="00000000">
                  <w:pPr>
                    <w:pStyle w:val="Compact"/>
                    <w:jc w:val="center"/>
                  </w:pPr>
                  <w:r>
                    <w:t>Connects a digital representation with the entity it represents</w:t>
                  </w:r>
                </w:p>
              </w:tc>
            </w:tr>
            <w:tr w:rsidR="00CE0A95" w14:paraId="4E312FD4" w14:textId="77777777">
              <w:tc>
                <w:tcPr>
                  <w:tcW w:w="1980" w:type="dxa"/>
                </w:tcPr>
                <w:p w14:paraId="4F7A4C51" w14:textId="77777777" w:rsidR="00CE0A95" w:rsidRDefault="00000000">
                  <w:pPr>
                    <w:pStyle w:val="Compact"/>
                    <w:jc w:val="center"/>
                  </w:pPr>
                  <w:r>
                    <w:t>Heritage community</w:t>
                  </w:r>
                </w:p>
              </w:tc>
              <w:tc>
                <w:tcPr>
                  <w:tcW w:w="1980" w:type="dxa"/>
                </w:tcPr>
                <w:p w14:paraId="21CEA15C" w14:textId="77777777" w:rsidR="00CE0A95" w:rsidRDefault="00000000">
                  <w:pPr>
                    <w:pStyle w:val="Compact"/>
                    <w:jc w:val="center"/>
                  </w:pPr>
                  <w:r>
                    <w:t>Q-item for the relevant group</w:t>
                  </w:r>
                </w:p>
              </w:tc>
              <w:tc>
                <w:tcPr>
                  <w:tcW w:w="1980" w:type="dxa"/>
                </w:tcPr>
                <w:p w14:paraId="0F110969" w14:textId="77777777" w:rsidR="00CE0A95" w:rsidRDefault="00000000">
                  <w:pPr>
                    <w:pStyle w:val="Compact"/>
                    <w:jc w:val="center"/>
                  </w:pPr>
                  <w:r>
                    <w:rPr>
                      <w:b/>
                      <w:bCs/>
                    </w:rPr>
                    <w:t>HP15 is heritage of / has original heritage</w:t>
                  </w:r>
                </w:p>
              </w:tc>
              <w:tc>
                <w:tcPr>
                  <w:tcW w:w="1980" w:type="dxa"/>
                </w:tcPr>
                <w:p w14:paraId="1BA2C375" w14:textId="77777777" w:rsidR="00CE0A95" w:rsidRDefault="00000000">
                  <w:pPr>
                    <w:pStyle w:val="Compact"/>
                    <w:jc w:val="center"/>
                  </w:pPr>
                  <w:r>
                    <w:t>For example, the Dēliņi sash is heritage of the Livonians</w:t>
                  </w:r>
                </w:p>
              </w:tc>
            </w:tr>
            <w:tr w:rsidR="00CE0A95" w14:paraId="4E1F7A5B" w14:textId="77777777">
              <w:tc>
                <w:tcPr>
                  <w:tcW w:w="1980" w:type="dxa"/>
                </w:tcPr>
                <w:p w14:paraId="5004A710" w14:textId="77777777" w:rsidR="00CE0A95" w:rsidRDefault="00000000">
                  <w:pPr>
                    <w:pStyle w:val="Compact"/>
                    <w:jc w:val="center"/>
                  </w:pPr>
                  <w:r>
                    <w:t>Current structured knowledge</w:t>
                  </w:r>
                </w:p>
              </w:tc>
              <w:tc>
                <w:tcPr>
                  <w:tcW w:w="1980" w:type="dxa"/>
                </w:tcPr>
                <w:p w14:paraId="5D8A02DA" w14:textId="77777777" w:rsidR="00CE0A95" w:rsidRDefault="00000000">
                  <w:pPr>
                    <w:pStyle w:val="Compact"/>
                    <w:jc w:val="center"/>
                  </w:pPr>
                  <w:r>
                    <w:t>Current accepted Wikibase statements</w:t>
                  </w:r>
                </w:p>
              </w:tc>
              <w:tc>
                <w:tcPr>
                  <w:tcW w:w="1980" w:type="dxa"/>
                </w:tcPr>
                <w:p w14:paraId="129C5092" w14:textId="77777777" w:rsidR="00CE0A95" w:rsidRDefault="00000000">
                  <w:pPr>
                    <w:pStyle w:val="Compact"/>
                    <w:jc w:val="center"/>
                  </w:pPr>
                  <w:r>
                    <w:rPr>
                      <w:b/>
                      <w:bCs/>
                    </w:rPr>
                    <w:t>HC16 Heritage Proposition Set</w:t>
                  </w:r>
                </w:p>
              </w:tc>
              <w:tc>
                <w:tcPr>
                  <w:tcW w:w="1980" w:type="dxa"/>
                </w:tcPr>
                <w:p w14:paraId="11CBAFAF" w14:textId="77777777" w:rsidR="00CE0A95" w:rsidRDefault="00000000">
                  <w:pPr>
                    <w:pStyle w:val="Compact"/>
                    <w:jc w:val="center"/>
                  </w:pPr>
                  <w:r>
                    <w:t>A set of formal propositions forming part of the knowledge maintained by the twin</w:t>
                  </w:r>
                </w:p>
              </w:tc>
            </w:tr>
            <w:tr w:rsidR="00CE0A95" w14:paraId="2A093027" w14:textId="77777777">
              <w:tc>
                <w:tcPr>
                  <w:tcW w:w="1980" w:type="dxa"/>
                </w:tcPr>
                <w:p w14:paraId="28A5CE3A" w14:textId="77777777" w:rsidR="00CE0A95" w:rsidRDefault="00000000">
                  <w:pPr>
                    <w:pStyle w:val="Compact"/>
                    <w:jc w:val="center"/>
                  </w:pPr>
                  <w:r>
                    <w:t>Current twin content</w:t>
                  </w:r>
                </w:p>
              </w:tc>
              <w:tc>
                <w:tcPr>
                  <w:tcW w:w="1980" w:type="dxa"/>
                </w:tcPr>
                <w:p w14:paraId="7BE54063" w14:textId="77777777" w:rsidR="00CE0A95" w:rsidRDefault="00000000">
                  <w:pPr>
                    <w:pStyle w:val="Compact"/>
                    <w:jc w:val="center"/>
                  </w:pPr>
                  <w:r>
                    <w:t>Current Wikibase state, mapped to proposition sets</w:t>
                  </w:r>
                </w:p>
              </w:tc>
              <w:tc>
                <w:tcPr>
                  <w:tcW w:w="1980" w:type="dxa"/>
                </w:tcPr>
                <w:p w14:paraId="24E41472" w14:textId="77777777" w:rsidR="00CE0A95" w:rsidRDefault="00000000">
                  <w:pPr>
                    <w:pStyle w:val="Compact"/>
                    <w:jc w:val="center"/>
                  </w:pPr>
                  <w:r>
                    <w:rPr>
                      <w:b/>
                      <w:bCs/>
                    </w:rPr>
                    <w:t>HP33 contains / is proposition set of</w:t>
                  </w:r>
                </w:p>
              </w:tc>
              <w:tc>
                <w:tcPr>
                  <w:tcW w:w="1980" w:type="dxa"/>
                </w:tcPr>
                <w:p w14:paraId="5CF12444" w14:textId="77777777" w:rsidR="00CE0A95" w:rsidRDefault="00000000">
                  <w:pPr>
                    <w:pStyle w:val="Compact"/>
                    <w:jc w:val="center"/>
                  </w:pPr>
                  <w:r>
                    <w:t>Relates HC2 to HC16 proposition sets forming its current content</w:t>
                  </w:r>
                </w:p>
              </w:tc>
            </w:tr>
            <w:tr w:rsidR="00CE0A95" w14:paraId="7D94BAD9" w14:textId="77777777">
              <w:tc>
                <w:tcPr>
                  <w:tcW w:w="1980" w:type="dxa"/>
                </w:tcPr>
                <w:p w14:paraId="3D890DC7" w14:textId="77777777" w:rsidR="00CE0A95" w:rsidRDefault="00000000">
                  <w:pPr>
                    <w:pStyle w:val="Compact"/>
                    <w:jc w:val="center"/>
                  </w:pPr>
                  <w:r>
                    <w:t>Former twin content</w:t>
                  </w:r>
                </w:p>
              </w:tc>
              <w:tc>
                <w:tcPr>
                  <w:tcW w:w="1980" w:type="dxa"/>
                </w:tcPr>
                <w:p w14:paraId="4DE25B51" w14:textId="77777777" w:rsidR="00CE0A95" w:rsidRDefault="00000000">
                  <w:pPr>
                    <w:pStyle w:val="Compact"/>
                    <w:jc w:val="center"/>
                  </w:pPr>
                  <w:r>
                    <w:t xml:space="preserve">Previous state retained through </w:t>
                  </w:r>
                  <w:r>
                    <w:lastRenderedPageBreak/>
                    <w:t>history or explicit provenance representation</w:t>
                  </w:r>
                </w:p>
              </w:tc>
              <w:tc>
                <w:tcPr>
                  <w:tcW w:w="1980" w:type="dxa"/>
                </w:tcPr>
                <w:p w14:paraId="7FD60BF6" w14:textId="77777777" w:rsidR="00CE0A95" w:rsidRDefault="00000000">
                  <w:pPr>
                    <w:pStyle w:val="Compact"/>
                    <w:jc w:val="center"/>
                  </w:pPr>
                  <w:r>
                    <w:rPr>
                      <w:b/>
                      <w:bCs/>
                    </w:rPr>
                    <w:lastRenderedPageBreak/>
                    <w:t xml:space="preserve">HP34 contained / is former proposition </w:t>
                  </w:r>
                  <w:r>
                    <w:rPr>
                      <w:b/>
                      <w:bCs/>
                    </w:rPr>
                    <w:lastRenderedPageBreak/>
                    <w:t>set of</w:t>
                  </w:r>
                </w:p>
              </w:tc>
              <w:tc>
                <w:tcPr>
                  <w:tcW w:w="1980" w:type="dxa"/>
                </w:tcPr>
                <w:p w14:paraId="5195DEE4" w14:textId="77777777" w:rsidR="00CE0A95" w:rsidRDefault="00000000">
                  <w:pPr>
                    <w:pStyle w:val="Compact"/>
                    <w:jc w:val="center"/>
                  </w:pPr>
                  <w:r>
                    <w:lastRenderedPageBreak/>
                    <w:t xml:space="preserve">Relates HC2 to proposition sets </w:t>
                  </w:r>
                  <w:r>
                    <w:lastRenderedPageBreak/>
                    <w:t>that were previously part of the twin</w:t>
                  </w:r>
                </w:p>
              </w:tc>
            </w:tr>
            <w:tr w:rsidR="00CE0A95" w14:paraId="556E9D82" w14:textId="77777777">
              <w:tc>
                <w:tcPr>
                  <w:tcW w:w="1980" w:type="dxa"/>
                </w:tcPr>
                <w:p w14:paraId="4DD117DC" w14:textId="77777777" w:rsidR="00CE0A95" w:rsidRDefault="00000000">
                  <w:pPr>
                    <w:pStyle w:val="Compact"/>
                    <w:jc w:val="center"/>
                  </w:pPr>
                  <w:r>
                    <w:lastRenderedPageBreak/>
                    <w:t>Maintenance of the twin</w:t>
                  </w:r>
                </w:p>
              </w:tc>
              <w:tc>
                <w:tcPr>
                  <w:tcW w:w="1980" w:type="dxa"/>
                </w:tcPr>
                <w:p w14:paraId="698D24AB" w14:textId="77777777" w:rsidR="00CE0A95" w:rsidRDefault="00000000">
                  <w:pPr>
                    <w:pStyle w:val="Compact"/>
                    <w:jc w:val="center"/>
                  </w:pPr>
                  <w:r>
                    <w:t>Betwixt review followed by the corresponding Wikibase update</w:t>
                  </w:r>
                </w:p>
              </w:tc>
              <w:tc>
                <w:tcPr>
                  <w:tcW w:w="1980" w:type="dxa"/>
                </w:tcPr>
                <w:p w14:paraId="66C4947A" w14:textId="77777777" w:rsidR="00CE0A95" w:rsidRDefault="00000000">
                  <w:pPr>
                    <w:pStyle w:val="Compact"/>
                    <w:jc w:val="center"/>
                  </w:pPr>
                  <w:r>
                    <w:rPr>
                      <w:b/>
                      <w:bCs/>
                    </w:rPr>
                    <w:t>HC11 Digital Twin Maintenance</w:t>
                  </w:r>
                </w:p>
              </w:tc>
              <w:tc>
                <w:tcPr>
                  <w:tcW w:w="1980" w:type="dxa"/>
                </w:tcPr>
                <w:p w14:paraId="1E80FCCA" w14:textId="77777777" w:rsidR="00CE0A95" w:rsidRDefault="00000000">
                  <w:pPr>
                    <w:pStyle w:val="Compact"/>
                    <w:jc w:val="center"/>
                  </w:pPr>
                  <w:r>
                    <w:t>An activity through which the digital twin is documented, corrected or enriched</w:t>
                  </w:r>
                </w:p>
              </w:tc>
            </w:tr>
            <w:tr w:rsidR="00CE0A95" w14:paraId="533280E5" w14:textId="77777777">
              <w:tc>
                <w:tcPr>
                  <w:tcW w:w="1980" w:type="dxa"/>
                </w:tcPr>
                <w:p w14:paraId="0F9D730C" w14:textId="77777777" w:rsidR="00CE0A95" w:rsidRDefault="00000000">
                  <w:pPr>
                    <w:pStyle w:val="Compact"/>
                    <w:jc w:val="center"/>
                  </w:pPr>
                  <w:r>
                    <w:t>Heritage entity documented during maintenance</w:t>
                  </w:r>
                </w:p>
              </w:tc>
              <w:tc>
                <w:tcPr>
                  <w:tcW w:w="1980" w:type="dxa"/>
                </w:tcPr>
                <w:p w14:paraId="26535FA3" w14:textId="77777777" w:rsidR="00CE0A95" w:rsidRDefault="00000000">
                  <w:pPr>
                    <w:pStyle w:val="Compact"/>
                    <w:jc w:val="center"/>
                  </w:pPr>
                  <w:r>
                    <w:t>Provenance relationship</w:t>
                  </w:r>
                </w:p>
              </w:tc>
              <w:tc>
                <w:tcPr>
                  <w:tcW w:w="1980" w:type="dxa"/>
                </w:tcPr>
                <w:p w14:paraId="6788C69B" w14:textId="77777777" w:rsidR="00CE0A95" w:rsidRDefault="00000000">
                  <w:pPr>
                    <w:pStyle w:val="Compact"/>
                    <w:jc w:val="center"/>
                  </w:pPr>
                  <w:r>
                    <w:rPr>
                      <w:b/>
                      <w:bCs/>
                    </w:rPr>
                    <w:t>HP18 has documented / was documented by</w:t>
                  </w:r>
                </w:p>
              </w:tc>
              <w:tc>
                <w:tcPr>
                  <w:tcW w:w="1980" w:type="dxa"/>
                </w:tcPr>
                <w:p w14:paraId="053812B6" w14:textId="77777777" w:rsidR="00CE0A95" w:rsidRDefault="00000000">
                  <w:pPr>
                    <w:pStyle w:val="Compact"/>
                    <w:jc w:val="center"/>
                  </w:pPr>
                  <w:r>
                    <w:t>Connects an HC11 maintenance activity to the HC1 that it documents</w:t>
                  </w:r>
                </w:p>
              </w:tc>
            </w:tr>
            <w:tr w:rsidR="00CE0A95" w14:paraId="56B20017" w14:textId="77777777">
              <w:tc>
                <w:tcPr>
                  <w:tcW w:w="1980" w:type="dxa"/>
                </w:tcPr>
                <w:p w14:paraId="5387B48C" w14:textId="77777777" w:rsidR="00CE0A95" w:rsidRDefault="00000000">
                  <w:pPr>
                    <w:pStyle w:val="Compact"/>
                    <w:jc w:val="center"/>
                  </w:pPr>
                  <w:r>
                    <w:t>Twin affected by maintenance</w:t>
                  </w:r>
                </w:p>
              </w:tc>
              <w:tc>
                <w:tcPr>
                  <w:tcW w:w="1980" w:type="dxa"/>
                </w:tcPr>
                <w:p w14:paraId="18263328" w14:textId="77777777" w:rsidR="00CE0A95" w:rsidRDefault="00000000">
                  <w:pPr>
                    <w:pStyle w:val="Compact"/>
                    <w:jc w:val="center"/>
                  </w:pPr>
                  <w:r>
                    <w:t>Provenance relationship</w:t>
                  </w:r>
                </w:p>
              </w:tc>
              <w:tc>
                <w:tcPr>
                  <w:tcW w:w="1980" w:type="dxa"/>
                </w:tcPr>
                <w:p w14:paraId="0C854646" w14:textId="77777777" w:rsidR="00CE0A95" w:rsidRDefault="00000000">
                  <w:pPr>
                    <w:pStyle w:val="Compact"/>
                    <w:jc w:val="center"/>
                  </w:pPr>
                  <w:r>
                    <w:rPr>
                      <w:b/>
                      <w:bCs/>
                    </w:rPr>
                    <w:t>HP19 has composed / was composed by</w:t>
                  </w:r>
                </w:p>
              </w:tc>
              <w:tc>
                <w:tcPr>
                  <w:tcW w:w="1980" w:type="dxa"/>
                </w:tcPr>
                <w:p w14:paraId="6FE59C81" w14:textId="77777777" w:rsidR="00CE0A95" w:rsidRDefault="00000000">
                  <w:pPr>
                    <w:pStyle w:val="Compact"/>
                    <w:jc w:val="center"/>
                  </w:pPr>
                  <w:r>
                    <w:t>Connects the maintenance activity to the HC2 that it composes or complements</w:t>
                  </w:r>
                </w:p>
              </w:tc>
            </w:tr>
            <w:tr w:rsidR="00CE0A95" w14:paraId="438DB6B3" w14:textId="77777777">
              <w:tc>
                <w:tcPr>
                  <w:tcW w:w="1980" w:type="dxa"/>
                </w:tcPr>
                <w:p w14:paraId="05BA5CAF" w14:textId="77777777" w:rsidR="00CE0A95" w:rsidRDefault="00000000">
                  <w:pPr>
                    <w:pStyle w:val="Compact"/>
                    <w:jc w:val="center"/>
                  </w:pPr>
                  <w:r>
                    <w:t>Documentary content used</w:t>
                  </w:r>
                </w:p>
              </w:tc>
              <w:tc>
                <w:tcPr>
                  <w:tcW w:w="1980" w:type="dxa"/>
                </w:tcPr>
                <w:p w14:paraId="59824F62" w14:textId="77777777" w:rsidR="00CE0A95" w:rsidRDefault="00000000">
                  <w:pPr>
                    <w:pStyle w:val="Compact"/>
                    <w:jc w:val="center"/>
                  </w:pPr>
                  <w:r>
                    <w:t>Betwixt provenance and, where required, Wikibase provenance</w:t>
                  </w:r>
                </w:p>
              </w:tc>
              <w:tc>
                <w:tcPr>
                  <w:tcW w:w="1980" w:type="dxa"/>
                </w:tcPr>
                <w:p w14:paraId="772C4A13" w14:textId="77777777" w:rsidR="00CE0A95" w:rsidRDefault="00000000">
                  <w:pPr>
                    <w:pStyle w:val="Compact"/>
                    <w:jc w:val="center"/>
                  </w:pPr>
                  <w:r>
                    <w:rPr>
                      <w:b/>
                      <w:bCs/>
                    </w:rPr>
                    <w:t>HP27 used content of / content was used by</w:t>
                  </w:r>
                </w:p>
              </w:tc>
              <w:tc>
                <w:tcPr>
                  <w:tcW w:w="1980" w:type="dxa"/>
                </w:tcPr>
                <w:p w14:paraId="7922B52F" w14:textId="77777777" w:rsidR="00CE0A95" w:rsidRDefault="00000000">
                  <w:pPr>
                    <w:pStyle w:val="Compact"/>
                    <w:jc w:val="center"/>
                  </w:pPr>
                  <w:r>
                    <w:t xml:space="preserve">Relates HC11 maintenance to content of an </w:t>
                  </w:r>
                  <w:r>
                    <w:rPr>
                      <w:b/>
                      <w:bCs/>
                    </w:rPr>
                    <w:t>E31 Document</w:t>
                  </w:r>
                  <w:r>
                    <w:t xml:space="preserve"> used during maintenance; Betwixt’s broader </w:t>
                  </w:r>
                  <w:r>
                    <w:rPr>
                      <w:rStyle w:val="VerbatimChar"/>
                    </w:rPr>
                    <w:t>used evidence</w:t>
                  </w:r>
                  <w:r>
                    <w:t xml:space="preserve"> relation is not restricted to documentary evidence</w:t>
                  </w:r>
                </w:p>
              </w:tc>
            </w:tr>
            <w:tr w:rsidR="00CE0A95" w14:paraId="7C7DC90C" w14:textId="77777777">
              <w:tc>
                <w:tcPr>
                  <w:tcW w:w="1980" w:type="dxa"/>
                </w:tcPr>
                <w:p w14:paraId="2EA6B6C9" w14:textId="77777777" w:rsidR="00CE0A95" w:rsidRDefault="00000000">
                  <w:pPr>
                    <w:pStyle w:val="Compact"/>
                    <w:jc w:val="center"/>
                  </w:pPr>
                  <w:r>
                    <w:t>Content added to the twin</w:t>
                  </w:r>
                </w:p>
              </w:tc>
              <w:tc>
                <w:tcPr>
                  <w:tcW w:w="1980" w:type="dxa"/>
                </w:tcPr>
                <w:p w14:paraId="4CBF1AFB" w14:textId="77777777" w:rsidR="00CE0A95" w:rsidRDefault="00000000">
                  <w:pPr>
                    <w:pStyle w:val="Compact"/>
                    <w:jc w:val="center"/>
                  </w:pPr>
                  <w:r>
                    <w:t>New accepted Wikibase content</w:t>
                  </w:r>
                </w:p>
              </w:tc>
              <w:tc>
                <w:tcPr>
                  <w:tcW w:w="1980" w:type="dxa"/>
                </w:tcPr>
                <w:p w14:paraId="5A7AE07B" w14:textId="77777777" w:rsidR="00CE0A95" w:rsidRDefault="00000000">
                  <w:pPr>
                    <w:pStyle w:val="Compact"/>
                    <w:jc w:val="center"/>
                  </w:pPr>
                  <w:r>
                    <w:rPr>
                      <w:b/>
                      <w:bCs/>
                    </w:rPr>
                    <w:t>HP30 added content / content was added by</w:t>
                  </w:r>
                </w:p>
              </w:tc>
              <w:tc>
                <w:tcPr>
                  <w:tcW w:w="1980" w:type="dxa"/>
                </w:tcPr>
                <w:p w14:paraId="3702AB98" w14:textId="77777777" w:rsidR="00CE0A95" w:rsidRDefault="00000000">
                  <w:pPr>
                    <w:pStyle w:val="Compact"/>
                    <w:jc w:val="center"/>
                  </w:pPr>
                  <w:r>
                    <w:t>Records proposition content added through an HC11 maintenance activity</w:t>
                  </w:r>
                </w:p>
              </w:tc>
            </w:tr>
            <w:tr w:rsidR="00CE0A95" w14:paraId="48450038" w14:textId="77777777">
              <w:tc>
                <w:tcPr>
                  <w:tcW w:w="1980" w:type="dxa"/>
                </w:tcPr>
                <w:p w14:paraId="0096C19B" w14:textId="77777777" w:rsidR="00CE0A95" w:rsidRDefault="00000000">
                  <w:pPr>
                    <w:pStyle w:val="Compact"/>
                    <w:jc w:val="center"/>
                  </w:pPr>
                  <w:r>
                    <w:t>Content removed from the current twin</w:t>
                  </w:r>
                </w:p>
              </w:tc>
              <w:tc>
                <w:tcPr>
                  <w:tcW w:w="1980" w:type="dxa"/>
                </w:tcPr>
                <w:p w14:paraId="328E0EAF" w14:textId="77777777" w:rsidR="00CE0A95" w:rsidRDefault="00000000">
                  <w:pPr>
                    <w:pStyle w:val="Compact"/>
                    <w:jc w:val="center"/>
                  </w:pPr>
                  <w:r>
                    <w:t>Superseded or withdrawn Wikibase content retained in provenance/history</w:t>
                  </w:r>
                </w:p>
              </w:tc>
              <w:tc>
                <w:tcPr>
                  <w:tcW w:w="1980" w:type="dxa"/>
                </w:tcPr>
                <w:p w14:paraId="0ED60BF9" w14:textId="77777777" w:rsidR="00CE0A95" w:rsidRDefault="00000000">
                  <w:pPr>
                    <w:pStyle w:val="Compact"/>
                    <w:jc w:val="center"/>
                  </w:pPr>
                  <w:r>
                    <w:rPr>
                      <w:b/>
                      <w:bCs/>
                    </w:rPr>
                    <w:t>HP31 deleted content / content was deleted by</w:t>
                  </w:r>
                </w:p>
              </w:tc>
              <w:tc>
                <w:tcPr>
                  <w:tcW w:w="1980" w:type="dxa"/>
                </w:tcPr>
                <w:p w14:paraId="4495F782" w14:textId="77777777" w:rsidR="00CE0A95" w:rsidRDefault="00000000">
                  <w:pPr>
                    <w:pStyle w:val="Compact"/>
                    <w:jc w:val="center"/>
                  </w:pPr>
                  <w:r>
                    <w:t>Records content removed from the current state without treating it as if it had never existed</w:t>
                  </w:r>
                </w:p>
              </w:tc>
            </w:tr>
            <w:tr w:rsidR="00CE0A95" w14:paraId="65D99E58" w14:textId="77777777">
              <w:tc>
                <w:tcPr>
                  <w:tcW w:w="1980" w:type="dxa"/>
                </w:tcPr>
                <w:p w14:paraId="1A26392A" w14:textId="77777777" w:rsidR="00CE0A95" w:rsidRDefault="00000000">
                  <w:pPr>
                    <w:pStyle w:val="Compact"/>
                    <w:jc w:val="center"/>
                  </w:pPr>
                  <w:r>
                    <w:t>Replacement of content</w:t>
                  </w:r>
                </w:p>
              </w:tc>
              <w:tc>
                <w:tcPr>
                  <w:tcW w:w="1980" w:type="dxa"/>
                </w:tcPr>
                <w:p w14:paraId="476BCB69" w14:textId="77777777" w:rsidR="00CE0A95" w:rsidRDefault="00000000">
                  <w:pPr>
                    <w:pStyle w:val="Compact"/>
                    <w:jc w:val="center"/>
                  </w:pPr>
                  <w:r>
                    <w:t xml:space="preserve">Version or replacement </w:t>
                  </w:r>
                  <w:r>
                    <w:lastRenderedPageBreak/>
                    <w:t>relationship</w:t>
                  </w:r>
                </w:p>
              </w:tc>
              <w:tc>
                <w:tcPr>
                  <w:tcW w:w="1980" w:type="dxa"/>
                </w:tcPr>
                <w:p w14:paraId="0D675C1B" w14:textId="77777777" w:rsidR="00CE0A95" w:rsidRDefault="00000000">
                  <w:pPr>
                    <w:pStyle w:val="Compact"/>
                    <w:jc w:val="center"/>
                  </w:pPr>
                  <w:r>
                    <w:rPr>
                      <w:b/>
                      <w:bCs/>
                    </w:rPr>
                    <w:lastRenderedPageBreak/>
                    <w:t>HP32 replaced / was replaced by</w:t>
                  </w:r>
                </w:p>
              </w:tc>
              <w:tc>
                <w:tcPr>
                  <w:tcW w:w="1980" w:type="dxa"/>
                </w:tcPr>
                <w:p w14:paraId="51452CEF" w14:textId="77777777" w:rsidR="00CE0A95" w:rsidRDefault="00000000">
                  <w:pPr>
                    <w:pStyle w:val="Compact"/>
                    <w:jc w:val="center"/>
                  </w:pPr>
                  <w:r>
                    <w:t xml:space="preserve">Connects previous proposition content </w:t>
                  </w:r>
                  <w:r>
                    <w:lastRenderedPageBreak/>
                    <w:t>with the content that replaces it</w:t>
                  </w:r>
                </w:p>
              </w:tc>
            </w:tr>
            <w:tr w:rsidR="00CE0A95" w14:paraId="0B7515C7" w14:textId="77777777">
              <w:tc>
                <w:tcPr>
                  <w:tcW w:w="1980" w:type="dxa"/>
                </w:tcPr>
                <w:p w14:paraId="689C87C8" w14:textId="77777777" w:rsidR="00CE0A95" w:rsidRDefault="00000000">
                  <w:pPr>
                    <w:pStyle w:val="Compact"/>
                    <w:jc w:val="center"/>
                  </w:pPr>
                  <w:r>
                    <w:lastRenderedPageBreak/>
                    <w:t>Persistent snapshot</w:t>
                  </w:r>
                </w:p>
              </w:tc>
              <w:tc>
                <w:tcPr>
                  <w:tcW w:w="1980" w:type="dxa"/>
                </w:tcPr>
                <w:p w14:paraId="5812007C" w14:textId="77777777" w:rsidR="00CE0A95" w:rsidRDefault="00000000">
                  <w:pPr>
                    <w:pStyle w:val="Compact"/>
                    <w:jc w:val="center"/>
                  </w:pPr>
                  <w:r>
                    <w:t>Fixed export, release or other persistently identified representation of a changing operational state</w:t>
                  </w:r>
                </w:p>
              </w:tc>
              <w:tc>
                <w:tcPr>
                  <w:tcW w:w="1980" w:type="dxa"/>
                </w:tcPr>
                <w:p w14:paraId="45A9866A" w14:textId="77777777" w:rsidR="00CE0A95" w:rsidRDefault="00000000">
                  <w:pPr>
                    <w:pStyle w:val="Compact"/>
                    <w:jc w:val="center"/>
                  </w:pPr>
                  <w:r>
                    <w:rPr>
                      <w:b/>
                      <w:bCs/>
                    </w:rPr>
                    <w:t>HC14 Volatile Digital Object</w:t>
                  </w:r>
                  <w:r>
                    <w:t xml:space="preserve">, </w:t>
                  </w:r>
                  <w:r>
                    <w:rPr>
                      <w:b/>
                      <w:bCs/>
                    </w:rPr>
                    <w:t>HC15 Persistent Digital Object</w:t>
                  </w:r>
                  <w:r>
                    <w:t xml:space="preserve"> and </w:t>
                  </w:r>
                  <w:r>
                    <w:rPr>
                      <w:b/>
                      <w:bCs/>
                    </w:rPr>
                    <w:t>HP28 has snapshot</w:t>
                  </w:r>
                </w:p>
              </w:tc>
              <w:tc>
                <w:tcPr>
                  <w:tcW w:w="1980" w:type="dxa"/>
                </w:tcPr>
                <w:p w14:paraId="13966388" w14:textId="77777777" w:rsidR="00CE0A95" w:rsidRDefault="00000000">
                  <w:pPr>
                    <w:pStyle w:val="Compact"/>
                    <w:jc w:val="center"/>
                  </w:pPr>
                  <w:r>
                    <w:t>Treats the operational twin as changing while allowing a particular state to be persistently identified, cited and retrieved</w:t>
                  </w:r>
                </w:p>
              </w:tc>
            </w:tr>
            <w:bookmarkEnd w:id="63"/>
          </w:tbl>
          <w:p w14:paraId="25D11DB4" w14:textId="77777777" w:rsidR="00CE0A95" w:rsidRDefault="00CE0A95"/>
        </w:tc>
      </w:tr>
    </w:tbl>
    <w:p w14:paraId="175E61C8" w14:textId="77777777" w:rsidR="00CE0A95" w:rsidRDefault="00000000">
      <w:pPr>
        <w:pStyle w:val="Heading4"/>
      </w:pPr>
      <w:bookmarkStart w:id="64" w:name="X4104c269a35568034fb4a4cd86f3fc98ee27f4c"/>
      <w:r>
        <w:lastRenderedPageBreak/>
        <w:t>Running example: the Dēliņi tablet-woven sash</w:t>
      </w:r>
    </w:p>
    <w:p w14:paraId="1AD9FCEA" w14:textId="77777777" w:rsidR="00CE0A95" w:rsidRDefault="00000000">
      <w:pPr>
        <w:pStyle w:val="FirstParagraph"/>
      </w:pPr>
      <w:r>
        <w:t xml:space="preserve">For the tablet-woven sash, the implementation can initially remain very small. Suppose the sash is represented by Wikibase item </w:t>
      </w:r>
      <w:r>
        <w:rPr>
          <w:rStyle w:val="VerbatimChar"/>
        </w:rPr>
        <w:t>Q123</w:t>
      </w:r>
      <w:r>
        <w:t xml:space="preserve">. Statements such as </w:t>
      </w:r>
      <w:r>
        <w:rPr>
          <w:b/>
          <w:bCs/>
        </w:rPr>
        <w:t>Q123 — instance of — tablet-woven sash</w:t>
      </w:r>
      <w:r>
        <w:t xml:space="preserve"> and </w:t>
      </w:r>
      <w:r>
        <w:rPr>
          <w:b/>
          <w:bCs/>
        </w:rPr>
        <w:t>Q123 — heritage of — Livonians</w:t>
      </w:r>
      <w:r>
        <w:t xml:space="preserve"> are propositions about the HC1 heritage entity. Because the sash is a physical object, the HC1 can additionally be classified as HC3 Tangible Heritage Entity.</w:t>
      </w:r>
    </w:p>
    <w:p w14:paraId="37C86CE2" w14:textId="77777777" w:rsidR="00CE0A95" w:rsidRDefault="00000000">
      <w:pPr>
        <w:pStyle w:val="BodyText"/>
      </w:pPr>
      <w:r>
        <w:t xml:space="preserve">The photograph </w:t>
      </w:r>
      <w:r>
        <w:rPr>
          <w:rStyle w:val="VerbatimChar"/>
        </w:rPr>
        <w:t>P7101561.jpg</w:t>
      </w:r>
      <w:r>
        <w:t xml:space="preserve"> has a different role. Betwixt establishes through review that this particular file depicts the sash. In the HDT-O interpretation, the photograph can therefore be represented as an </w:t>
      </w:r>
      <w:r>
        <w:rPr>
          <w:b/>
          <w:bCs/>
        </w:rPr>
        <w:t>HC7 Digital Audiovisual Object</w:t>
      </w:r>
      <w:r>
        <w:t xml:space="preserve">, using </w:t>
      </w:r>
      <w:r>
        <w:rPr>
          <w:b/>
          <w:bCs/>
        </w:rPr>
        <w:t>HP9 is visual representation of</w:t>
      </w:r>
      <w:r>
        <w:t xml:space="preserve"> to relate it to the photographed sash. HC7 participates in the more general digital-representation pattern represented by </w:t>
      </w:r>
      <w:r>
        <w:rPr>
          <w:b/>
          <w:bCs/>
        </w:rPr>
        <w:t>HC5 Digital Representation</w:t>
      </w:r>
      <w:r>
        <w:t xml:space="preserve"> and </w:t>
      </w:r>
      <w:r>
        <w:rPr>
          <w:b/>
          <w:bCs/>
        </w:rPr>
        <w:t>HP22 represents</w:t>
      </w:r>
      <w:r>
        <w:t xml:space="preserve"> (ECHOES Project 2026).</w:t>
      </w:r>
    </w:p>
    <w:p w14:paraId="1F05E5B5" w14:textId="77777777" w:rsidR="00CE0A95" w:rsidRDefault="00000000">
      <w:pPr>
        <w:pStyle w:val="BodyText"/>
      </w:pPr>
      <w:r>
        <w:t>The accepted propositions contribute to the knowledge maintained by the sash’s HC2 Heritage Digital Twin. In an HDT-O projection, these propositions can be organised into an HC16 Heritage Proposition Set and related to HC2 through HP33. The propositions contained in HC16 need not all have the sash’s HC1 resource as their subject: some may describe HC1, while others may concern HC2 or other resources participating in the maintained knowledge.</w:t>
      </w:r>
    </w:p>
    <w:p w14:paraId="404A0ECB" w14:textId="77777777" w:rsidR="00CE0A95" w:rsidRDefault="00000000">
      <w:pPr>
        <w:pStyle w:val="Heading1"/>
      </w:pPr>
      <w:bookmarkStart w:id="65" w:name="glossary-for-revision"/>
      <w:bookmarkStart w:id="66" w:name="_Toc239495456"/>
      <w:bookmarkEnd w:id="49"/>
      <w:bookmarkEnd w:id="61"/>
      <w:bookmarkEnd w:id="64"/>
      <w:r>
        <w:t>Glossary for Revision</w:t>
      </w:r>
      <w:bookmarkEnd w:id="66"/>
    </w:p>
    <w:p w14:paraId="74266ADE" w14:textId="77777777" w:rsidR="00CE0A95" w:rsidRDefault="00000000">
      <w:pPr>
        <w:pStyle w:val="FirstParagraph"/>
      </w:pPr>
      <w:r>
        <w:t>The following glossary defines the terms used in this tutorial. Wikibase terms follow the Wikibase Ontology (Wikimedia Foundation 2025). Heritage Digital Twin terms follow HDT-O 1.1 (ECHOES Project 2026). Where this tutorial introduces an implementation-specific interpretation, this is stated explicitly.</w:t>
      </w:r>
    </w:p>
    <w:p w14:paraId="00DEC0C9" w14:textId="77777777" w:rsidR="00CE0A95" w:rsidRDefault="00000000">
      <w:pPr>
        <w:pStyle w:val="BodyText"/>
      </w:pPr>
      <w:r>
        <w:rPr>
          <w:b/>
          <w:bCs/>
        </w:rPr>
        <w:t>Accepted claim</w:t>
      </w:r>
      <w:r>
        <w:br/>
        <w:t>A candidate claim that has passed the required review and is admitted into the stabilised knowledge used by the Heritage Digital Twin. Acceptance does not imply permanent or universal truth: accepted knowledge may subsequently be reviewed and revised.</w:t>
      </w:r>
    </w:p>
    <w:p w14:paraId="7C96957D" w14:textId="77777777" w:rsidR="00CE0A95" w:rsidRDefault="00000000">
      <w:pPr>
        <w:pStyle w:val="BodyText"/>
      </w:pPr>
      <w:r>
        <w:rPr>
          <w:b/>
          <w:bCs/>
        </w:rPr>
        <w:lastRenderedPageBreak/>
        <w:t>Atomic statement</w:t>
      </w:r>
      <w:r>
        <w:br/>
        <w:t xml:space="preserve">The smallest semantic statement that we ask a reviewer to consider as one question. It says one thing about one subject and is represented in this tutorial as </w:t>
      </w:r>
      <w:r>
        <w:rPr>
          <w:b/>
          <w:bCs/>
        </w:rPr>
        <w:t>subject — predicate — value</w:t>
      </w:r>
      <w:r>
        <w:t xml:space="preserve">, or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Calling a statement </w:t>
      </w:r>
      <w:r>
        <w:rPr>
          <w:i/>
          <w:iCs/>
        </w:rPr>
        <w:t>atomic</w:t>
      </w:r>
      <w:r>
        <w:t xml:space="preserve"> does not mean that it is simple or certainly true; it means that it is treated as one independently reviewable statement.</w:t>
      </w:r>
    </w:p>
    <w:p w14:paraId="37F1DEA3" w14:textId="77777777" w:rsidR="00CE0A95" w:rsidRDefault="00000000">
      <w:pPr>
        <w:pStyle w:val="BodyText"/>
      </w:pPr>
      <w:r>
        <w:rPr>
          <w:b/>
          <w:bCs/>
        </w:rPr>
        <w:t>Betwixt</w:t>
      </w:r>
      <w:r>
        <w:br/>
        <w:t>The prototype human review workbench used in this tutorial. Betwixt presents evidence and candidate claims in a simple tabular form and records the decisions made during review. It acts as an intermediate layer between evidence and structured data prepared with tools such as R and OpenRefine, and the knowledge subsequently maintained in Wikibase.</w:t>
      </w:r>
    </w:p>
    <w:p w14:paraId="54F6ECC1" w14:textId="77777777" w:rsidR="00CE0A95" w:rsidRDefault="00000000">
      <w:pPr>
        <w:pStyle w:val="BodyText"/>
      </w:pPr>
      <w:r>
        <w:rPr>
          <w:b/>
          <w:bCs/>
        </w:rPr>
        <w:t>Bounded federation</w:t>
      </w:r>
      <w:r>
        <w:br/>
        <w:t>A purpose-directed process through which selected knowledge from another knowledge graph is transformed into candidate claims for possible inclusion in the local knowledge graph. Candidate claims are reviewed rather than automatically copied. The source, mapping and review decision remain traceable.</w:t>
      </w:r>
    </w:p>
    <w:p w14:paraId="1FE58447" w14:textId="77777777" w:rsidR="00CE0A95" w:rsidRDefault="00000000">
      <w:pPr>
        <w:pStyle w:val="BodyText"/>
      </w:pPr>
      <w:r>
        <w:rPr>
          <w:b/>
          <w:bCs/>
        </w:rPr>
        <w:t>Candidate claim</w:t>
      </w:r>
      <w:r>
        <w:br/>
        <w:t>An atomic statement presented for consideration but not thereby assumed to be correct. A candidate claim can be accepted, rejected or deferred during review.</w:t>
      </w:r>
    </w:p>
    <w:p w14:paraId="43105B4E" w14:textId="77777777" w:rsidR="00CE0A95" w:rsidRDefault="00000000">
      <w:pPr>
        <w:pStyle w:val="BodyText"/>
      </w:pPr>
      <w:r>
        <w:rPr>
          <w:b/>
          <w:bCs/>
        </w:rPr>
        <w:t>Deferred</w:t>
      </w:r>
      <w:r>
        <w:br/>
        <w:t>A review outcome indicating that a candidate claim has been examined but that there is presently insufficient evidence or competence to accept or reject it. Deferral is an explicit result and should not be replaced by a guess.</w:t>
      </w:r>
    </w:p>
    <w:p w14:paraId="658B8C0F" w14:textId="77777777" w:rsidR="00CE0A95" w:rsidRDefault="00000000">
      <w:pPr>
        <w:pStyle w:val="BodyText"/>
      </w:pPr>
      <w:r>
        <w:rPr>
          <w:b/>
          <w:bCs/>
        </w:rPr>
        <w:t>Digital representation</w:t>
      </w:r>
      <w:r>
        <w:br/>
        <w:t xml:space="preserve">A digital object representing an observable entity, such as a digital photograph of a heritage object. HDT-O represents this concept with </w:t>
      </w:r>
      <w:r>
        <w:rPr>
          <w:b/>
          <w:bCs/>
        </w:rPr>
        <w:t>HC5 Digital Representation</w:t>
      </w:r>
      <w:r>
        <w:t xml:space="preserve"> (ECHOES Project 2026). A digital representation is distinct from the heritage entity it represents: several photographs can represent the same heritage entity without thereby creating several heritage entities.</w:t>
      </w:r>
    </w:p>
    <w:p w14:paraId="35891BA7" w14:textId="77777777" w:rsidR="00CE0A95" w:rsidRDefault="00000000">
      <w:pPr>
        <w:pStyle w:val="BodyText"/>
      </w:pPr>
      <w:r>
        <w:rPr>
          <w:b/>
          <w:bCs/>
        </w:rPr>
        <w:t>Dual review</w:t>
      </w:r>
      <w:r>
        <w:br/>
        <w:t xml:space="preserve">A Betwixt review arrangement in which claims about an evidence resource and claims about the entity represented or documented by that evidence can be reviewed together while remaining semantically distinct. For example, a reviewer may establish both </w:t>
      </w:r>
      <w:r>
        <w:rPr>
          <w:b/>
          <w:bCs/>
        </w:rPr>
        <w:t>this JPG — depicts — this sash</w:t>
      </w:r>
      <w:r>
        <w:t xml:space="preserve"> and </w:t>
      </w:r>
      <w:r>
        <w:rPr>
          <w:b/>
          <w:bCs/>
        </w:rPr>
        <w:t>this sash — heritage of — Livonians</w:t>
      </w:r>
      <w:r>
        <w:t>.</w:t>
      </w:r>
    </w:p>
    <w:p w14:paraId="67F6A756" w14:textId="77777777" w:rsidR="00CE0A95" w:rsidRDefault="00000000">
      <w:pPr>
        <w:pStyle w:val="BodyText"/>
      </w:pPr>
      <w:r>
        <w:rPr>
          <w:b/>
          <w:bCs/>
        </w:rPr>
        <w:t>Evidence</w:t>
      </w:r>
      <w:r>
        <w:br/>
        <w:t>Material examined or used when establishing or reviewing a claim. Evidence may be multimodal and can include photographs, sound and video recordings, archival documents, web pages, database records or structured data. Evidence, like data, is not itself accepted knowledge: it must be interpreted to produce knowledge.</w:t>
      </w:r>
    </w:p>
    <w:p w14:paraId="7C7E8DFE" w14:textId="77777777" w:rsidR="00CE0A95" w:rsidRDefault="00000000">
      <w:pPr>
        <w:pStyle w:val="BodyText"/>
      </w:pPr>
      <w:r>
        <w:rPr>
          <w:b/>
          <w:bCs/>
        </w:rPr>
        <w:lastRenderedPageBreak/>
        <w:t>HC1 Heritage Entity</w:t>
      </w:r>
      <w:r>
        <w:br/>
        <w:t>The entity regarded as heritage and forming the subject of a Heritage Digital Twin (ECHOES Project 2026). In this tutorial, examples include the Dēliņi farmhouse and the tablet-woven sash. HC1 refers to the heritage entity, not to the database record describing it.</w:t>
      </w:r>
    </w:p>
    <w:p w14:paraId="1E1A3DDD" w14:textId="77777777" w:rsidR="00CE0A95" w:rsidRDefault="00000000">
      <w:pPr>
        <w:pStyle w:val="BodyText"/>
      </w:pPr>
      <w:r>
        <w:rPr>
          <w:b/>
          <w:bCs/>
        </w:rPr>
        <w:t>HC2 Heritage Digital Twin</w:t>
      </w:r>
      <w:r>
        <w:br/>
        <w:t>A collection of sets of formal propositions concerning an HC1 Heritage Entity (ECHOES Project 2026). In this tutorial, HC2 is understood operationally as the organised and changing digital knowledge maintained about an HC1 through our Wikibase-based implementation. HC1 and HC2 are conceptually distinct even where a single Wikibase Q-item acts as their operational anchor.</w:t>
      </w:r>
    </w:p>
    <w:p w14:paraId="6FC41309" w14:textId="77777777" w:rsidR="00CE0A95" w:rsidRDefault="00000000">
      <w:pPr>
        <w:pStyle w:val="BodyText"/>
      </w:pPr>
      <w:r>
        <w:rPr>
          <w:b/>
          <w:bCs/>
        </w:rPr>
        <w:t>HC3 Tangible Heritage Entity</w:t>
      </w:r>
      <w:r>
        <w:br/>
        <w:t>An HDT-O subclass of HC1 for tangible heritage entities (ECHOES Project 2026). A physical sash, building or museum artefact can therefore be represented as both an HC1 Heritage Entity and, more specifically, an HC3 Tangible Heritage Entity.</w:t>
      </w:r>
    </w:p>
    <w:p w14:paraId="501B329C" w14:textId="77777777" w:rsidR="00CE0A95" w:rsidRDefault="00000000">
      <w:pPr>
        <w:pStyle w:val="BodyText"/>
      </w:pPr>
      <w:r>
        <w:rPr>
          <w:b/>
          <w:bCs/>
        </w:rPr>
        <w:t>HC5 Digital Representation</w:t>
      </w:r>
      <w:r>
        <w:br/>
        <w:t>An HDT-O class for digital objects that represent observable entities (ECHOES Project 2026). In the running example, the JPG photograph of the Dēliņi sash can be represented as an HC5 Digital Representation of the sash.</w:t>
      </w:r>
    </w:p>
    <w:p w14:paraId="3E716BB4" w14:textId="77777777" w:rsidR="00CE0A95" w:rsidRDefault="00000000">
      <w:pPr>
        <w:pStyle w:val="BodyText"/>
      </w:pPr>
      <w:r>
        <w:rPr>
          <w:b/>
          <w:bCs/>
        </w:rPr>
        <w:t>HC7 Digital Audiovisual Object</w:t>
      </w:r>
      <w:r>
        <w:br/>
        <w:t xml:space="preserve">An HDT-O class for digital audiovisual objects, including digital photographs (ECHOES Project 2026). In the running example, </w:t>
      </w:r>
      <w:r>
        <w:rPr>
          <w:rStyle w:val="VerbatimChar"/>
        </w:rPr>
        <w:t>P7101561.jpg</w:t>
      </w:r>
      <w:r>
        <w:t xml:space="preserve"> can be represented more specifically as an HC7 Digital Audiovisual Object, while HC5 Digital Representation provides the more general representation pattern.</w:t>
      </w:r>
    </w:p>
    <w:p w14:paraId="203DBAD9" w14:textId="77777777" w:rsidR="00CE0A95" w:rsidRDefault="00000000">
      <w:pPr>
        <w:pStyle w:val="BodyText"/>
      </w:pPr>
      <w:r>
        <w:rPr>
          <w:b/>
          <w:bCs/>
        </w:rPr>
        <w:t>HP9 is visual representation of (has visual representation)</w:t>
      </w:r>
      <w:r>
        <w:br/>
        <w:t xml:space="preserve">The HDT-O property relating a digital audiovisual object to the observable entity of which it is a visual representation (ECHOES Project 2026). In the running example, it relates the digital photograph </w:t>
      </w:r>
      <w:r>
        <w:rPr>
          <w:rStyle w:val="VerbatimChar"/>
        </w:rPr>
        <w:t>P7101561.jpg</w:t>
      </w:r>
      <w:r>
        <w:t xml:space="preserve"> to the photographed sash.</w:t>
      </w:r>
    </w:p>
    <w:p w14:paraId="7B35E43B" w14:textId="77777777" w:rsidR="00CE0A95" w:rsidRDefault="00000000">
      <w:pPr>
        <w:pStyle w:val="BodyText"/>
      </w:pPr>
      <w:r>
        <w:rPr>
          <w:b/>
          <w:bCs/>
        </w:rPr>
        <w:t>HC11 Digital Twin Maintenance</w:t>
      </w:r>
      <w:r>
        <w:br/>
        <w:t>An HDT-O activity through which a Heritage Digital Twin is composed, complemented or otherwise maintained while documenting the relevant heritage entity (ECHOES Project 2026). In this implementation, a reviewed Betwixt result followed by the corresponding update of Wikibase can contribute to an HC11 maintenance activity.</w:t>
      </w:r>
    </w:p>
    <w:p w14:paraId="5D819D9F" w14:textId="77777777" w:rsidR="00CE0A95" w:rsidRDefault="00000000">
      <w:pPr>
        <w:pStyle w:val="BodyText"/>
      </w:pPr>
      <w:r>
        <w:rPr>
          <w:b/>
          <w:bCs/>
        </w:rPr>
        <w:t>HC15 Persistent Digital Object</w:t>
      </w:r>
      <w:r>
        <w:br/>
        <w:t>An HDT-O digital object intended to persist and remain identifiable (ECHOES Project 2026). It can be used when a fixed and persistently identified representation or snapshot of a changing Heritage Digital Twin is required.</w:t>
      </w:r>
    </w:p>
    <w:p w14:paraId="5088D612" w14:textId="77777777" w:rsidR="00CE0A95" w:rsidRDefault="00000000">
      <w:pPr>
        <w:pStyle w:val="BodyText"/>
      </w:pPr>
      <w:r>
        <w:rPr>
          <w:b/>
          <w:bCs/>
        </w:rPr>
        <w:t>HC16 Heritage Proposition Set</w:t>
      </w:r>
      <w:r>
        <w:br/>
        <w:t xml:space="preserve">An HDT-O class representing a persistent set of formally encoded propositions forming content of a Heritage Digital Twin (ECHOES Project 2026). The propositions in the set need </w:t>
      </w:r>
      <w:r>
        <w:lastRenderedPageBreak/>
        <w:t>not all have HC1 as their subject: they may concern HC1, HC2, or other relevant resources. The identity of an HC16 depends on its complete set of propositions; changing that content therefore produces a new HC16 rather than modifying the existing proposition set. Current and former HC16s allow changes in the knowledge maintained by HC2 to remain traceable.</w:t>
      </w:r>
    </w:p>
    <w:p w14:paraId="2C894D4D" w14:textId="77777777" w:rsidR="00CE0A95" w:rsidRDefault="00000000">
      <w:pPr>
        <w:pStyle w:val="BodyText"/>
      </w:pPr>
      <w:r>
        <w:rPr>
          <w:b/>
          <w:bCs/>
        </w:rPr>
        <w:t>Heritage Digital Twin</w:t>
      </w:r>
      <w:r>
        <w:br/>
        <w:t>In this tutorial, an organised and maintainable body of digital knowledge concerning a heritage entity. HDT-O formally represents the heritage entity as HC1 and its Heritage Digital Twin as HC2 (ECHOES Project 2026). Our operational implementation uses Wikibase, Betwixt and supporting R tools to create and maintain this knowledge.</w:t>
      </w:r>
    </w:p>
    <w:p w14:paraId="2A6757DE" w14:textId="77777777" w:rsidR="00CE0A95" w:rsidRDefault="00000000">
      <w:pPr>
        <w:pStyle w:val="BodyText"/>
      </w:pPr>
      <w:r>
        <w:rPr>
          <w:b/>
          <w:bCs/>
        </w:rPr>
        <w:t>HP1 has digital twin (is digital twin of)</w:t>
      </w:r>
      <w:r>
        <w:br/>
        <w:t>The HDT-O property relating an HC1 Heritage Entity to its HC2 Heritage Digital Twin (ECHOES Project 2026). Our implementation does not necessarily materialise this distinction as two separate Wikibase Q-items; it can be recovered through the Wikibase-to-HDT-O mapping.</w:t>
      </w:r>
    </w:p>
    <w:p w14:paraId="59A2B1C5" w14:textId="77777777" w:rsidR="00CE0A95" w:rsidRDefault="00000000">
      <w:pPr>
        <w:pStyle w:val="BodyText"/>
      </w:pPr>
      <w:r>
        <w:rPr>
          <w:b/>
          <w:bCs/>
        </w:rPr>
        <w:t>HP15 is heritage of (has original heritage)</w:t>
      </w:r>
      <w:r>
        <w:br/>
        <w:t>The HDT-O property used to relate a heritage entity to the relevant group (ECHOES Project 2026). In the running example, it supports the representation that the Dēliņi sash is heritage of the Livonians.</w:t>
      </w:r>
    </w:p>
    <w:p w14:paraId="518AAF67" w14:textId="77777777" w:rsidR="00CE0A95" w:rsidRDefault="00000000">
      <w:pPr>
        <w:pStyle w:val="BodyText"/>
      </w:pPr>
      <w:r>
        <w:rPr>
          <w:b/>
          <w:bCs/>
        </w:rPr>
        <w:t>HP18 has documented (was documented by)</w:t>
      </w:r>
      <w:r>
        <w:br/>
        <w:t>The HDT-O property relating an HC11 Digital Twin Maintenance activity to the HC1 Heritage Entity documented by that activity (ECHOES Project 2026).</w:t>
      </w:r>
    </w:p>
    <w:p w14:paraId="5077DE48" w14:textId="77777777" w:rsidR="00CE0A95" w:rsidRDefault="00000000">
      <w:pPr>
        <w:pStyle w:val="BodyText"/>
      </w:pPr>
      <w:r>
        <w:rPr>
          <w:b/>
          <w:bCs/>
        </w:rPr>
        <w:t>HP19 has composed (was composed by)</w:t>
      </w:r>
      <w:r>
        <w:br/>
        <w:t>The HDT-O property relating an HC11 Digital Twin Maintenance activity to the HC2 Heritage Digital Twin that the activity composes or complements (ECHOES Project 2026).</w:t>
      </w:r>
    </w:p>
    <w:p w14:paraId="21973E29" w14:textId="77777777" w:rsidR="00CE0A95" w:rsidRDefault="00000000">
      <w:pPr>
        <w:pStyle w:val="BodyText"/>
      </w:pPr>
      <w:r>
        <w:rPr>
          <w:b/>
          <w:bCs/>
        </w:rPr>
        <w:t>HP22 represents (has digital representation)</w:t>
      </w:r>
      <w:r>
        <w:br/>
        <w:t>The HDT-O property connecting a digital representation with the observable entity that it represents (ECHOES Project 2026). It provides the HDTO interpretation of relationships such as a reviewed photograph representing a heritage object.</w:t>
      </w:r>
    </w:p>
    <w:p w14:paraId="423861BE" w14:textId="77777777" w:rsidR="00CE0A95" w:rsidRDefault="00000000">
      <w:pPr>
        <w:pStyle w:val="BodyText"/>
      </w:pPr>
      <w:r>
        <w:rPr>
          <w:b/>
          <w:bCs/>
        </w:rPr>
        <w:t>HP27 used content of (content was used by)</w:t>
      </w:r>
      <w:r>
        <w:br/>
        <w:t xml:space="preserve">The HDT-O property relating a Digital Twin Maintenance activity to content of an </w:t>
      </w:r>
      <w:r>
        <w:rPr>
          <w:b/>
          <w:bCs/>
        </w:rPr>
        <w:t>E31 Document</w:t>
      </w:r>
      <w:r>
        <w:t xml:space="preserve"> used during that activity (ECHOES Project 2026). It can therefore represent documentary sources used during maintenance, but it should not be treated as equivalent to Betwixt’s broader concept of </w:t>
      </w:r>
      <w:r>
        <w:rPr>
          <w:rStyle w:val="VerbatimChar"/>
        </w:rPr>
        <w:t>used evidence</w:t>
      </w:r>
      <w:r>
        <w:t>, which can also include non-documentary evidence.</w:t>
      </w:r>
    </w:p>
    <w:p w14:paraId="080A8E5E" w14:textId="77777777" w:rsidR="00CE0A95" w:rsidRDefault="00000000">
      <w:pPr>
        <w:pStyle w:val="BodyText"/>
      </w:pPr>
      <w:r>
        <w:rPr>
          <w:b/>
          <w:bCs/>
        </w:rPr>
        <w:t>HP28 has snapshot (is snapshot of)</w:t>
      </w:r>
      <w:r>
        <w:br/>
        <w:t>The HDT-O property relating a volatile digital object to a persistent snapshot (ECHOES Project 2026). It can be used when a fixed, identifiable representation of a changing digital twin state is required.</w:t>
      </w:r>
    </w:p>
    <w:p w14:paraId="1804658C" w14:textId="77777777" w:rsidR="00CE0A95" w:rsidRDefault="00000000">
      <w:pPr>
        <w:pStyle w:val="BodyText"/>
      </w:pPr>
      <w:r>
        <w:rPr>
          <w:b/>
          <w:bCs/>
        </w:rPr>
        <w:lastRenderedPageBreak/>
        <w:t>HP30 added content (content was added by)</w:t>
      </w:r>
      <w:r>
        <w:br/>
        <w:t>The HDT-O property recording content added through a Digital Twin Maintenance activity (ECHOES Project 2026). In this tutorial, it can describe the addition of reviewed proposition content to the digital twin.</w:t>
      </w:r>
    </w:p>
    <w:p w14:paraId="7BB86494" w14:textId="77777777" w:rsidR="00CE0A95" w:rsidRDefault="00000000">
      <w:pPr>
        <w:pStyle w:val="BodyText"/>
      </w:pPr>
      <w:r>
        <w:rPr>
          <w:b/>
          <w:bCs/>
        </w:rPr>
        <w:t>HP31 deleted content (content was deleted by)</w:t>
      </w:r>
      <w:r>
        <w:br/>
        <w:t>The HDT-O property recording content removed through a Digital Twin Maintenance activity (ECHOES Project 2026). Deletion from the current twin does not require the historical existence or provenance of that content to be forgotten.</w:t>
      </w:r>
    </w:p>
    <w:p w14:paraId="6BF76EDC" w14:textId="77777777" w:rsidR="00CE0A95" w:rsidRDefault="00000000">
      <w:pPr>
        <w:pStyle w:val="BodyText"/>
      </w:pPr>
      <w:r>
        <w:rPr>
          <w:b/>
          <w:bCs/>
        </w:rPr>
        <w:t>HP32 replaced (was replaced by)</w:t>
      </w:r>
      <w:r>
        <w:br/>
        <w:t>The HDT-O property recording the replacement of one content object by another during Digital Twin Maintenance (ECHOES Project 2026). It is useful when corrected or revised proposition content supersedes an earlier version.</w:t>
      </w:r>
    </w:p>
    <w:p w14:paraId="0E64D9BF" w14:textId="77777777" w:rsidR="00CE0A95" w:rsidRDefault="00000000">
      <w:pPr>
        <w:pStyle w:val="BodyText"/>
      </w:pPr>
      <w:r>
        <w:rPr>
          <w:b/>
          <w:bCs/>
        </w:rPr>
        <w:t>HP33 contains (is proposition set of)</w:t>
      </w:r>
      <w:r>
        <w:br/>
        <w:t>The HDT-O property relating an HC2 Heritage Digital Twin to an HC16 Heritage Proposition Set that forms part of its current content (ECHOES Project 2026).</w:t>
      </w:r>
    </w:p>
    <w:p w14:paraId="4E02368C" w14:textId="77777777" w:rsidR="00CE0A95" w:rsidRDefault="00000000">
      <w:pPr>
        <w:pStyle w:val="BodyText"/>
      </w:pPr>
      <w:r>
        <w:rPr>
          <w:b/>
          <w:bCs/>
        </w:rPr>
        <w:t>HP34 contained (is former proposition set of)</w:t>
      </w:r>
      <w:r>
        <w:br/>
        <w:t>The HDT-O property relating an HC2 Heritage Digital Twin to an HC16 Heritage Proposition Set that formerly formed part of its content (ECHOES Project 2026). It allows previous knowledge states to remain explicitly traceable after the current twin has changed.</w:t>
      </w:r>
    </w:p>
    <w:p w14:paraId="45F3819C" w14:textId="77777777" w:rsidR="00CE0A95" w:rsidRDefault="00000000">
      <w:pPr>
        <w:pStyle w:val="BodyText"/>
      </w:pPr>
      <w:r>
        <w:rPr>
          <w:b/>
          <w:bCs/>
        </w:rPr>
        <w:t>Item</w:t>
      </w:r>
      <w:r>
        <w:br/>
        <w:t xml:space="preserve">A Wikibase entity representing the thing being described and identified by an item identifier, conventionally beginning with </w:t>
      </w:r>
      <w:r>
        <w:rPr>
          <w:rStyle w:val="VerbatimChar"/>
        </w:rPr>
        <w:t>Q</w:t>
      </w:r>
      <w:r>
        <w:t xml:space="preserve">, such as </w:t>
      </w:r>
      <w:r>
        <w:rPr>
          <w:rStyle w:val="VerbatimChar"/>
        </w:rPr>
        <w:t>Q123</w:t>
      </w:r>
      <w:r>
        <w:t xml:space="preserve"> (Wikimedia Foundation 2025). The information stored about an Item belongs to its </w:t>
      </w:r>
      <w:r>
        <w:rPr>
          <w:b/>
          <w:bCs/>
        </w:rPr>
        <w:t>ItemDescription</w:t>
      </w:r>
      <w:r>
        <w:t>. In this implementation, an Item can serve as the operational anchor for a heritage entity.</w:t>
      </w:r>
    </w:p>
    <w:p w14:paraId="29C014F7" w14:textId="77777777" w:rsidR="00CE0A95" w:rsidRDefault="00000000">
      <w:pPr>
        <w:pStyle w:val="BodyText"/>
      </w:pPr>
      <w:r>
        <w:rPr>
          <w:b/>
          <w:bCs/>
        </w:rPr>
        <w:t>ItemDescription</w:t>
      </w:r>
      <w:r>
        <w:br/>
        <w:t>The collection of information stored about a Wikibase Item, including its labels, descriptions, aliases and Statements (Wikimedia Foundation 2025). The Item represents the thing being described, while the ItemDescription contains the information recorded about it.</w:t>
      </w:r>
    </w:p>
    <w:p w14:paraId="48F112A9" w14:textId="77777777" w:rsidR="00CE0A95" w:rsidRDefault="00000000">
      <w:pPr>
        <w:pStyle w:val="BodyText"/>
      </w:pPr>
      <w:r>
        <w:rPr>
          <w:b/>
          <w:bCs/>
        </w:rPr>
        <w:t>Item identifier (QID)</w:t>
      </w:r>
      <w:r>
        <w:br/>
        <w:t xml:space="preserve">A stable identifier for a Wikibase Item, conventionally written as </w:t>
      </w:r>
      <w:r>
        <w:rPr>
          <w:rStyle w:val="VerbatimChar"/>
        </w:rPr>
        <w:t>Q</w:t>
      </w:r>
      <w:r>
        <w:t xml:space="preserve"> followed by a number, such as </w:t>
      </w:r>
      <w:r>
        <w:rPr>
          <w:rStyle w:val="VerbatimChar"/>
        </w:rPr>
        <w:t>Q123</w:t>
      </w:r>
      <w:r>
        <w:t xml:space="preserve"> (Wikimedia Foundation 2025).</w:t>
      </w:r>
    </w:p>
    <w:p w14:paraId="6365A972" w14:textId="77777777" w:rsidR="00CE0A95" w:rsidRDefault="00000000">
      <w:pPr>
        <w:pStyle w:val="BodyText"/>
      </w:pPr>
      <w:r>
        <w:rPr>
          <w:b/>
          <w:bCs/>
        </w:rPr>
        <w:t>Knowledge graph</w:t>
      </w:r>
      <w:r>
        <w:br/>
        <w:t>A graph-structured representation in which entities are connected through explicitly represented relationships. Wikibase provides the knowledge-graph infrastructure used for the Heritage Digital Twins in this tutorial.</w:t>
      </w:r>
    </w:p>
    <w:p w14:paraId="4E226244" w14:textId="77777777" w:rsidR="00CE0A95" w:rsidRDefault="00000000">
      <w:pPr>
        <w:pStyle w:val="BodyText"/>
      </w:pPr>
      <w:r>
        <w:rPr>
          <w:b/>
          <w:bCs/>
        </w:rPr>
        <w:t>Property</w:t>
      </w:r>
      <w:r>
        <w:br/>
        <w:t xml:space="preserve">A Wikibase entity used to describe relationships and attributes in Statements (Wikimedia </w:t>
      </w:r>
      <w:r>
        <w:lastRenderedPageBreak/>
        <w:t xml:space="preserve">Foundation 2025). Properties are identified by property identifiers, conventionally beginning with </w:t>
      </w:r>
      <w:r>
        <w:rPr>
          <w:rStyle w:val="VerbatimChar"/>
        </w:rPr>
        <w:t>P</w:t>
      </w:r>
      <w:r>
        <w:t>.</w:t>
      </w:r>
    </w:p>
    <w:p w14:paraId="18209B1B" w14:textId="77777777" w:rsidR="00CE0A95" w:rsidRDefault="00000000">
      <w:pPr>
        <w:pStyle w:val="BodyText"/>
      </w:pPr>
      <w:r>
        <w:rPr>
          <w:b/>
          <w:bCs/>
        </w:rPr>
        <w:t>Provenance</w:t>
      </w:r>
      <w:r>
        <w:br/>
        <w:t>Information recording how knowledge was produced or changed, including relevant evidence, activities, agents, times and derivations. In this tutorial, Betwixt records provenance during review, and the resulting provenance supports subsequent maintenance and use of the Heritage Digital Twin.</w:t>
      </w:r>
    </w:p>
    <w:p w14:paraId="35EB0A77" w14:textId="77777777" w:rsidR="00CE0A95" w:rsidRDefault="00000000">
      <w:pPr>
        <w:pStyle w:val="BodyText"/>
      </w:pPr>
      <w:r>
        <w:rPr>
          <w:b/>
          <w:bCs/>
        </w:rPr>
        <w:t>Q-item</w:t>
      </w:r>
      <w:r>
        <w:br/>
        <w:t xml:space="preserve">Informal shorthand in this tutorial for a Wikibase Item identified by a QID (Wikimedia Foundation 2025). See </w:t>
      </w:r>
      <w:r>
        <w:rPr>
          <w:b/>
          <w:bCs/>
        </w:rPr>
        <w:t>Item</w:t>
      </w:r>
      <w:r>
        <w:t>.</w:t>
      </w:r>
    </w:p>
    <w:p w14:paraId="14FD3ECA" w14:textId="77777777" w:rsidR="00CE0A95" w:rsidRDefault="00000000">
      <w:pPr>
        <w:pStyle w:val="BodyText"/>
      </w:pPr>
      <w:r>
        <w:rPr>
          <w:b/>
          <w:bCs/>
        </w:rPr>
        <w:t>Qualifier</w:t>
      </w:r>
      <w:r>
        <w:br/>
        <w:t>Additional information attached to a Wikibase statement that qualifies the circumstances in which the statement applies (Wikimedia Foundation 2025). A qualifier modifies or contextualises a statement rather than creating a separate description of the Wikibase item as a whole.</w:t>
      </w:r>
    </w:p>
    <w:p w14:paraId="525E90C4" w14:textId="77777777" w:rsidR="00CE0A95" w:rsidRDefault="00000000">
      <w:pPr>
        <w:pStyle w:val="BodyText"/>
      </w:pPr>
      <w:r>
        <w:rPr>
          <w:b/>
          <w:bCs/>
        </w:rPr>
        <w:t>Rank</w:t>
      </w:r>
      <w:r>
        <w:br/>
        <w:t>A Wikibase mechanism for indicating the relative status of statements concerning the same property, including preferred, normal and deprecated ranks (Wikimedia Foundation 2025). Rank is part of the Wikibase data model and should not be treated as equivalent to Betwixt review outcomes such as accepted, deferred or rejected.</w:t>
      </w:r>
    </w:p>
    <w:p w14:paraId="10E490B0" w14:textId="77777777" w:rsidR="00CE0A95" w:rsidRDefault="00000000">
      <w:pPr>
        <w:pStyle w:val="BodyText"/>
      </w:pPr>
      <w:r>
        <w:rPr>
          <w:b/>
          <w:bCs/>
        </w:rPr>
        <w:t>Reference</w:t>
      </w:r>
      <w:r>
        <w:br/>
        <w:t>Structured information attached to a Wikibase statement indicating a source supporting that statement (Wikimedia Foundation 2025). A Wikibase reference can participate in provenance representation, but the richer provenance of the review activity may additionally record the evidence used, reviewer, scope, time and decision.</w:t>
      </w:r>
    </w:p>
    <w:p w14:paraId="2B8F6F7A" w14:textId="77777777" w:rsidR="00CE0A95" w:rsidRDefault="00000000">
      <w:pPr>
        <w:pStyle w:val="BodyText"/>
      </w:pPr>
      <w:r>
        <w:rPr>
          <w:b/>
          <w:bCs/>
        </w:rPr>
        <w:t>Rejected</w:t>
      </w:r>
      <w:r>
        <w:br/>
        <w:t>A review outcome indicating that a candidate claim has been examined and should not enter the resulting stabilised knowledge. Rejection is retained as part of the review provenance rather than silently deleting the fact that the candidate was considered.</w:t>
      </w:r>
    </w:p>
    <w:p w14:paraId="38B4765C" w14:textId="77777777" w:rsidR="00CE0A95" w:rsidRDefault="00000000">
      <w:pPr>
        <w:pStyle w:val="BodyText"/>
      </w:pPr>
      <w:r>
        <w:rPr>
          <w:b/>
          <w:bCs/>
        </w:rPr>
        <w:t>Review</w:t>
      </w:r>
      <w:r>
        <w:br/>
        <w:t>The human-controlled process through which candidate claims are examined and a decision is recorded. In this tutorial, Betwixt supports review by allowing a reviewer to accept, reject or defer candidate claims while recording the evidence and circumstances of the decision.</w:t>
      </w:r>
    </w:p>
    <w:p w14:paraId="7E2D757E" w14:textId="77777777" w:rsidR="00CE0A95" w:rsidRDefault="00000000">
      <w:pPr>
        <w:pStyle w:val="BodyText"/>
      </w:pPr>
      <w:r>
        <w:rPr>
          <w:b/>
          <w:bCs/>
        </w:rPr>
        <w:t>Stabilised knowledge</w:t>
      </w:r>
      <w:r>
        <w:br/>
        <w:t>Reviewed knowledge considered sufficiently reliable for the current purpose to serve as the basis for subsequent work. Stabilisation is purpose-relative and revisable: it does not mean that a statement has become permanently or universally true.</w:t>
      </w:r>
    </w:p>
    <w:p w14:paraId="31016D51" w14:textId="77777777" w:rsidR="00CE0A95" w:rsidRDefault="00000000">
      <w:pPr>
        <w:pStyle w:val="BodyText"/>
      </w:pPr>
      <w:r>
        <w:rPr>
          <w:b/>
          <w:bCs/>
        </w:rPr>
        <w:lastRenderedPageBreak/>
        <w:t>Statement</w:t>
      </w:r>
      <w:r>
        <w:br/>
        <w:t>A Wikibase structure that assigns a Value to a Property and may additionally have Qualifiers, References and a Rank (Wikimedia Foundation 2025). Statements form part of the ItemDescription of an Item.</w:t>
      </w:r>
    </w:p>
    <w:p w14:paraId="1ECB90B9" w14:textId="77777777" w:rsidR="00CE0A95" w:rsidRDefault="00000000">
      <w:pPr>
        <w:pStyle w:val="BodyText"/>
      </w:pPr>
      <w:r>
        <w:rPr>
          <w:b/>
          <w:bCs/>
        </w:rPr>
        <w:t>Wikibase</w:t>
      </w:r>
      <w:r>
        <w:br/>
        <w:t>The software and data model used in this tutorial to maintain the operational Heritage Digital Twin. Wikibase organises knowledge around entities such as Items and Properties and represents knowledge through structured statements (Wikimedia Foundation 2025).</w:t>
      </w:r>
    </w:p>
    <w:p w14:paraId="027BC9F3" w14:textId="77777777" w:rsidR="00CE0A95" w:rsidRDefault="00000000">
      <w:pPr>
        <w:pStyle w:val="BodyText"/>
      </w:pPr>
      <w:r>
        <w:rPr>
          <w:b/>
          <w:bCs/>
        </w:rPr>
        <w:t>Wikibase Ontology</w:t>
      </w:r>
      <w:r>
        <w:br/>
        <w:t>The RDF vocabulary used by Wikibase to express its data model when Wikibase entities and statements are represented as RDF (Wikimedia Foundation 2025). It provides classes and properties for such concepts as Items, Properties, Statements, References and Ranks. The Wikibase Ontology describes the structure of the Wikibase representation; HDT-O supplies the heritage-domain interpretation used in this tutorial.</w:t>
      </w:r>
    </w:p>
    <w:p w14:paraId="61FF205B" w14:textId="77777777" w:rsidR="00CE0A95" w:rsidRDefault="00000000">
      <w:pPr>
        <w:pStyle w:val="Heading1"/>
      </w:pPr>
      <w:bookmarkStart w:id="67" w:name="discussion-of-the-hdto-conceptual-model"/>
      <w:bookmarkStart w:id="68" w:name="_Toc239495457"/>
      <w:bookmarkEnd w:id="65"/>
      <w:r>
        <w:t>Discussion of the HDTO Conceptual Model</w:t>
      </w:r>
      <w:bookmarkEnd w:id="68"/>
    </w:p>
    <w:p w14:paraId="13891BEE" w14:textId="77777777" w:rsidR="00CE0A95" w:rsidRDefault="00000000">
      <w:pPr>
        <w:pStyle w:val="Heading2"/>
      </w:pPr>
      <w:bookmarkStart w:id="69" w:name="X899b898dfb9fa75da297d09b350594ea25be731"/>
      <w:bookmarkStart w:id="70" w:name="_Toc239495458"/>
      <w:r>
        <w:t>From HDTO to an operational Heritage Digital Twin</w:t>
      </w:r>
      <w:bookmarkEnd w:id="70"/>
    </w:p>
    <w:p w14:paraId="0E012DEA" w14:textId="77777777" w:rsidR="00CE0A95" w:rsidRDefault="00000000">
      <w:pPr>
        <w:pStyle w:val="FirstParagraph"/>
      </w:pPr>
      <w:r>
        <w:t>HDT-O provides the conceptual model for the Heritage Digital Twin, while Wikibase provides the operational environment in which we maintain its structured knowledge. The two models should not be treated as if their classes were directly interchangeable. HDT-O describes heritage entities, their digital twins, digital representations, proposition sets and maintenance activities. Wikibase provides Items, ItemDescriptions, Properties, Statements and the structures needed to maintain and query them (ECHOES Project 2026; Wikimedia Foundation 2025). Our implementation therefore requires a mapping between the two rather than a one-to-one identification of their classes.</w:t>
      </w:r>
    </w:p>
    <w:p w14:paraId="5E4B232D" w14:textId="77777777" w:rsidR="00CE0A95" w:rsidRDefault="00000000">
      <w:pPr>
        <w:pStyle w:val="BodyText"/>
      </w:pPr>
      <w:r>
        <w:t>The Dēliņi demonstrator starts from a simple practical requirement. We want to identify a heritage entity, register a digital twin for it, and subsequently maintain knowledge about it. New evidence does not repeatedly create a new description from scratch. It provides material from which candidate claims can be produced, reviewed and, when accepted, incorporated into the maintained knowledge of the twin. This makes the Heritage Digital Twin a continuing object of semantic production rather than a one-time digitisation product.</w:t>
      </w:r>
    </w:p>
    <w:p w14:paraId="039165E5" w14:textId="77777777" w:rsidR="00CE0A95" w:rsidRDefault="00000000">
      <w:pPr>
        <w:pStyle w:val="Heading3"/>
      </w:pPr>
      <w:bookmarkStart w:id="71" w:name="X66a233ea1258eae1b091c3b107636cf5e099a61"/>
      <w:bookmarkStart w:id="72" w:name="_Toc239495459"/>
      <w:r>
        <w:t>HC1, HC2 and the Wikibase operational anchor</w:t>
      </w:r>
      <w:bookmarkEnd w:id="72"/>
    </w:p>
    <w:p w14:paraId="7BFEAEEC" w14:textId="77777777" w:rsidR="00CE0A95" w:rsidRDefault="00000000">
      <w:pPr>
        <w:pStyle w:val="FirstParagraph"/>
      </w:pPr>
      <w:r>
        <w:t xml:space="preserve">HDT-O makes a fundamental distinction between </w:t>
      </w:r>
      <w:r>
        <w:rPr>
          <w:b/>
          <w:bCs/>
        </w:rPr>
        <w:t>HC1 Heritage Entity</w:t>
      </w:r>
      <w:r>
        <w:t xml:space="preserve"> and </w:t>
      </w:r>
      <w:r>
        <w:rPr>
          <w:b/>
          <w:bCs/>
        </w:rPr>
        <w:t>HC2 Heritage Digital Twin</w:t>
      </w:r>
      <w:r>
        <w:t xml:space="preserve">. HC1 is the entity regarded as heritage. HC2 is the Heritage Digital Twin containing formal propositions concerning that entity (ECHOES Project 2026). For example, the tablet-woven sash in the Dēliņi farmhouse is the HC1: it is the heritage entity about </w:t>
      </w:r>
      <w:r>
        <w:lastRenderedPageBreak/>
        <w:t>which we want to maintain knowledge. The structured digital knowledge maintained about the sash belongs to its HC2.</w:t>
      </w:r>
    </w:p>
    <w:p w14:paraId="74897E6E" w14:textId="77777777" w:rsidR="00CE0A95" w:rsidRDefault="00000000">
      <w:pPr>
        <w:pStyle w:val="BodyText"/>
      </w:pPr>
      <w:r>
        <w:t xml:space="preserve">Wikibase makes a related but different distinction. A Wikibase </w:t>
      </w:r>
      <w:r>
        <w:rPr>
          <w:b/>
          <w:bCs/>
        </w:rPr>
        <w:t>Item</w:t>
      </w:r>
      <w:r>
        <w:t xml:space="preserve"> represents the thing being described, while its </w:t>
      </w:r>
      <w:r>
        <w:rPr>
          <w:b/>
          <w:bCs/>
        </w:rPr>
        <w:t>ItemDescription</w:t>
      </w:r>
      <w:r>
        <w:t xml:space="preserve"> contains the information stored about it, including labels, descriptions, aliases and Statements (Wikimedia Foundation 2025). This is useful for our implementation, but it should not be mistaken for an exact equivalence between </w:t>
      </w:r>
      <w:r>
        <w:rPr>
          <w:rStyle w:val="VerbatimChar"/>
        </w:rPr>
        <w:t>Item = HC1</w:t>
      </w:r>
      <w:r>
        <w:t xml:space="preserve"> and </w:t>
      </w:r>
      <w:r>
        <w:rPr>
          <w:rStyle w:val="VerbatimChar"/>
        </w:rPr>
        <w:t>ItemDescription = HC2</w:t>
      </w:r>
      <w:r>
        <w:t>. HDT-O and the Wikibase data model have different purposes.</w:t>
      </w:r>
    </w:p>
    <w:p w14:paraId="59C434FA" w14:textId="77777777" w:rsidR="00CE0A95" w:rsidRDefault="00000000">
      <w:pPr>
        <w:pStyle w:val="BodyText"/>
      </w:pPr>
      <w:r>
        <w:t xml:space="preserve">Instead, we use the Wikibase Item as the </w:t>
      </w:r>
      <w:r>
        <w:rPr>
          <w:b/>
          <w:bCs/>
        </w:rPr>
        <w:t>operational anchor</w:t>
      </w:r>
      <w:r>
        <w:t xml:space="preserve"> of the twin. Suppose the Dēliņi sash is registered as </w:t>
      </w:r>
      <w:r>
        <w:rPr>
          <w:rStyle w:val="VerbatimChar"/>
        </w:rPr>
        <w:t>Q123</w:t>
      </w:r>
      <w:r>
        <w:t>. The Item represents the sash, while Statements associated with its ItemDescription can express propositions such as:</w:t>
      </w:r>
    </w:p>
    <w:p w14:paraId="57312DC4" w14:textId="77777777" w:rsidR="00CE0A95" w:rsidRDefault="00000000">
      <w:pPr>
        <w:pStyle w:val="BodyText"/>
      </w:pPr>
      <w:r>
        <w:rPr>
          <w:b/>
          <w:bCs/>
        </w:rPr>
        <w:t>Q123 — instance of — tablet-woven sash</w:t>
      </w:r>
    </w:p>
    <w:p w14:paraId="14B594F8" w14:textId="77777777" w:rsidR="00CE0A95" w:rsidRDefault="00000000">
      <w:pPr>
        <w:pStyle w:val="BodyText"/>
      </w:pPr>
      <w:r>
        <w:rPr>
          <w:b/>
          <w:bCs/>
        </w:rPr>
        <w:t>Q123 — heritage of — Livonians</w:t>
      </w:r>
    </w:p>
    <w:p w14:paraId="15209CA1" w14:textId="77777777" w:rsidR="00CE0A95" w:rsidRDefault="00000000">
      <w:pPr>
        <w:pStyle w:val="BodyText"/>
      </w:pPr>
      <w:r>
        <w:t>These statements concern the HC1 heritage entity. At the same time, our implementation must be able to establish which propositions currently belong to its HC2, how they entered the twin, which evidence and review activities support them, and how the twin has changed over time.</w:t>
      </w:r>
    </w:p>
    <w:p w14:paraId="1F257840" w14:textId="77777777" w:rsidR="00CE0A95" w:rsidRDefault="00000000">
      <w:pPr>
        <w:pStyle w:val="BodyText"/>
      </w:pPr>
      <w:r>
        <w:t xml:space="preserve">For this reason, the distinction between HC1 and HC2 is primarily an </w:t>
      </w:r>
      <w:r>
        <w:rPr>
          <w:b/>
          <w:bCs/>
        </w:rPr>
        <w:t>ontological distinction</w:t>
      </w:r>
      <w:r>
        <w:t xml:space="preserve">, not by itself an instruction about Wikibase item identity. A single QID can serve as the practical anchor in the Wikibase interface, while implementations remain free to give HC1 and HC2 separate graph identities where this becomes operationally useful. It is possible to export or project the operational data into HDT-O, however, when such a single Wikibase anchor is resolved into two distinct semantic resources: the </w:t>
      </w:r>
      <w:r>
        <w:rPr>
          <w:b/>
          <w:bCs/>
        </w:rPr>
        <w:t>HC1 Heritage Entity</w:t>
      </w:r>
      <w:r>
        <w:t xml:space="preserve"> and its </w:t>
      </w:r>
      <w:r>
        <w:rPr>
          <w:b/>
          <w:bCs/>
        </w:rPr>
        <w:t>HC2 Heritage Digital Twin</w:t>
      </w:r>
      <w:r>
        <w:t xml:space="preserve">, explicitly related through </w:t>
      </w:r>
      <w:r>
        <w:rPr>
          <w:b/>
          <w:bCs/>
        </w:rPr>
        <w:t>HP1 has digital twin</w:t>
      </w:r>
      <w:r>
        <w:t xml:space="preserve"> (ECHOES Project 2026).</w:t>
      </w:r>
    </w:p>
    <w:p w14:paraId="7B82E5B8" w14:textId="77777777" w:rsidR="00CE0A95" w:rsidRDefault="00000000">
      <w:pPr>
        <w:pStyle w:val="BodyText"/>
      </w:pPr>
      <w:r>
        <w:t>Where an HC2, proposition set, maintenance activity or other component requires independent operational identification and querying, it may also require a separately identified graph resource. This is an implementation decision rather than an automatic requirement to expose every HDT-O resource as a manually maintained Wikibase Item.</w:t>
      </w:r>
    </w:p>
    <w:p w14:paraId="67B3C611" w14:textId="77777777" w:rsidR="00CE0A95" w:rsidRDefault="00000000">
      <w:pPr>
        <w:pStyle w:val="BodyText"/>
      </w:pPr>
      <w:r>
        <w:t>The relationship can initially be understood as:</w:t>
      </w:r>
    </w:p>
    <w:p w14:paraId="76C26EB0" w14:textId="77777777" w:rsidR="00CE0A95" w:rsidRDefault="00000000">
      <w:pPr>
        <w:pStyle w:val="BodyText"/>
      </w:pPr>
      <w:r>
        <w:rPr>
          <w:b/>
          <w:bCs/>
        </w:rPr>
        <w:t>Wikibase Item → operational anchor</w:t>
      </w:r>
    </w:p>
    <w:p w14:paraId="1C1D4116" w14:textId="77777777" w:rsidR="00CE0A95" w:rsidRDefault="00000000">
      <w:pPr>
        <w:pStyle w:val="BodyText"/>
      </w:pPr>
      <w:r>
        <w:rPr>
          <w:b/>
          <w:bCs/>
        </w:rPr>
        <w:t>HC1 → the heritage entity represented by the Item</w:t>
      </w:r>
    </w:p>
    <w:p w14:paraId="2956B93E" w14:textId="77777777" w:rsidR="00CE0A95" w:rsidRDefault="00000000">
      <w:pPr>
        <w:pStyle w:val="BodyText"/>
      </w:pPr>
      <w:r>
        <w:rPr>
          <w:b/>
          <w:bCs/>
        </w:rPr>
        <w:t>HC2 → the maintained digital twin concerning that HC1</w:t>
      </w:r>
    </w:p>
    <w:p w14:paraId="7F0D479A" w14:textId="77777777" w:rsidR="00CE0A95" w:rsidRDefault="00000000">
      <w:pPr>
        <w:pStyle w:val="BodyText"/>
      </w:pPr>
      <w:r>
        <w:t>This allows the everyday Wikibase interface to remain relatively simple while preserving the more precise distinction required by HDT-O.</w:t>
      </w:r>
    </w:p>
    <w:p w14:paraId="3B80D51C" w14:textId="77777777" w:rsidR="00CE0A95" w:rsidRDefault="00000000">
      <w:pPr>
        <w:pStyle w:val="Heading3"/>
      </w:pPr>
      <w:bookmarkStart w:id="73" w:name="X13c90ab56e5d43af9a3fe10025d5a2ec98443a8"/>
      <w:bookmarkStart w:id="74" w:name="_Toc239495460"/>
      <w:bookmarkEnd w:id="71"/>
      <w:r>
        <w:lastRenderedPageBreak/>
        <w:t>Evidence, representations and the HC1/HC2 boundary</w:t>
      </w:r>
      <w:bookmarkEnd w:id="74"/>
    </w:p>
    <w:p w14:paraId="587C57E1" w14:textId="77777777" w:rsidR="00CE0A95" w:rsidRDefault="00000000">
      <w:pPr>
        <w:pStyle w:val="FirstParagraph"/>
      </w:pPr>
      <w:r>
        <w:t>The digital twin cannot be maintained without evidence. In the Dēliņi demonstrator, evidence includes our own photographs, archived web resources and structured information obtained from external databases and knowledge graphs. These resources do not automatically become accepted knowledge merely because they have been collected or transformed into structured data.</w:t>
      </w:r>
    </w:p>
    <w:p w14:paraId="3544423C" w14:textId="77777777" w:rsidR="00CE0A95" w:rsidRDefault="00000000">
      <w:pPr>
        <w:pStyle w:val="BodyText"/>
      </w:pPr>
      <w:r>
        <w:t>The tablet-woven sash provides a simple example. We have a JPG photograph showing the sash in the master bedroom of the Dēliņi farmhouse. Before using the photograph to support further claims, we establish through review that the file belongs to the relevant documentation and that it actually depicts the sash. This produces a relationship of the form:</w:t>
      </w:r>
    </w:p>
    <w:p w14:paraId="16ADB611" w14:textId="77777777" w:rsidR="00CE0A95" w:rsidRDefault="00000000">
      <w:pPr>
        <w:pStyle w:val="BodyText"/>
      </w:pPr>
      <w:r>
        <w:rPr>
          <w:b/>
          <w:bCs/>
        </w:rPr>
        <w:t>photograph — represents/depicts — sash</w:t>
      </w:r>
    </w:p>
    <w:p w14:paraId="212E5B7B" w14:textId="77777777" w:rsidR="00CE0A95" w:rsidRDefault="00000000">
      <w:pPr>
        <w:pStyle w:val="BodyText"/>
      </w:pPr>
      <w:r>
        <w:t xml:space="preserve">HDT-O allows the digital photograph to be understood generally as an </w:t>
      </w:r>
      <w:r>
        <w:rPr>
          <w:b/>
          <w:bCs/>
        </w:rPr>
        <w:t>HC5 Digital Representation</w:t>
      </w:r>
      <w:r>
        <w:t xml:space="preserve"> and, more specifically, as an </w:t>
      </w:r>
      <w:r>
        <w:rPr>
          <w:b/>
          <w:bCs/>
        </w:rPr>
        <w:t>HC7 Digital Audiovisual Object</w:t>
      </w:r>
      <w:r>
        <w:t xml:space="preserve">, while the physical sash is an HC1 Heritage Entity and, more specifically, an </w:t>
      </w:r>
      <w:r>
        <w:rPr>
          <w:b/>
          <w:bCs/>
        </w:rPr>
        <w:t>HC3 Tangible Heritage Entity</w:t>
      </w:r>
      <w:r>
        <w:t xml:space="preserve"> (ECHOES Project 2026). For digital photography, </w:t>
      </w:r>
      <w:r>
        <w:rPr>
          <w:b/>
          <w:bCs/>
        </w:rPr>
        <w:t>HP9 is visual representation of</w:t>
      </w:r>
      <w:r>
        <w:t xml:space="preserve"> provides the more specific relationship to the represented observable entity, while </w:t>
      </w:r>
      <w:r>
        <w:rPr>
          <w:b/>
          <w:bCs/>
        </w:rPr>
        <w:t>HP22 represents</w:t>
      </w:r>
      <w:r>
        <w:t xml:space="preserve"> provides the more general representation relationship. The representation and the represented heritage entity therefore remain distinct. Likewise, classification as HC5 or HC7 does not by itself make the digital representation a component of HC2; its participation in the maintained twin must be established through the relevant HDT-O content and maintenance relationships.</w:t>
      </w:r>
    </w:p>
    <w:p w14:paraId="0A784518" w14:textId="77777777" w:rsidR="00CE0A95" w:rsidRDefault="00000000">
      <w:pPr>
        <w:pStyle w:val="BodyText"/>
      </w:pPr>
      <w:r>
        <w:t xml:space="preserve">This distinction is essential for provenance. A claim such as </w:t>
      </w:r>
      <w:r>
        <w:rPr>
          <w:b/>
          <w:bCs/>
        </w:rPr>
        <w:t>sash — heritage of — Livonians</w:t>
      </w:r>
      <w:r>
        <w:t xml:space="preserve"> is a proposition about the HC1. The photograph may be evidence used when establishing or reviewing propositions about that HC1, but the photograph is not itself the proposition. Likewise, recording that a curator consulted the photograph during a review is provenance about the production of knowledge, rather than another descriptive property of the sash.</w:t>
      </w:r>
    </w:p>
    <w:p w14:paraId="42FF612A" w14:textId="77777777" w:rsidR="00CE0A95" w:rsidRDefault="00000000">
      <w:pPr>
        <w:pStyle w:val="BodyText"/>
      </w:pPr>
      <w:r>
        <w:t xml:space="preserve">Betwixt therefore supports a </w:t>
      </w:r>
      <w:r>
        <w:rPr>
          <w:b/>
          <w:bCs/>
        </w:rPr>
        <w:t>dual review</w:t>
      </w:r>
      <w:r>
        <w:t>. A reviewer can make claims about the evidence resource itself and, in the same review environment, make claims about the heritage entity represented by that evidence. For example:</w:t>
      </w:r>
    </w:p>
    <w:p w14:paraId="5A3F71FB" w14:textId="77777777" w:rsidR="00CE0A95" w:rsidRDefault="00000000">
      <w:pPr>
        <w:pStyle w:val="BodyText"/>
      </w:pPr>
      <w:r>
        <w:rPr>
          <w:b/>
          <w:bCs/>
        </w:rPr>
        <w:t>P7101561.jpg — represents — Q123</w:t>
      </w:r>
    </w:p>
    <w:p w14:paraId="4F048F56" w14:textId="77777777" w:rsidR="00CE0A95" w:rsidRDefault="00000000">
      <w:pPr>
        <w:pStyle w:val="BodyText"/>
      </w:pPr>
      <w:r>
        <w:t>and:</w:t>
      </w:r>
    </w:p>
    <w:p w14:paraId="7CFBB852" w14:textId="77777777" w:rsidR="00CE0A95" w:rsidRDefault="00000000">
      <w:pPr>
        <w:pStyle w:val="BodyText"/>
      </w:pPr>
      <w:r>
        <w:rPr>
          <w:b/>
          <w:bCs/>
        </w:rPr>
        <w:t>Q123 — heritage of — Livonians</w:t>
      </w:r>
    </w:p>
    <w:p w14:paraId="5FDB1913" w14:textId="77777777" w:rsidR="00CE0A95" w:rsidRDefault="00000000">
      <w:pPr>
        <w:pStyle w:val="BodyText"/>
      </w:pPr>
      <w:r>
        <w:t>can be reviewed together without treating them as statements about the same subject.</w:t>
      </w:r>
    </w:p>
    <w:p w14:paraId="735DCE55" w14:textId="77777777" w:rsidR="00CE0A95" w:rsidRDefault="00000000">
      <w:pPr>
        <w:pStyle w:val="BodyText"/>
      </w:pPr>
      <w:r>
        <w:t xml:space="preserve">This separation gives us the minimum structure required for useful provenance. Before we can state how knowledge about a heritage entity was produced, we must know which </w:t>
      </w:r>
      <w:r>
        <w:lastRenderedPageBreak/>
        <w:t>resources were actually used as evidence and how those resources relate to the heritage entity. The same separation later becomes necessary for normative reasoning, because the rights or publication conditions applying to a photograph need not be the same as those applying to the heritage object represented in the photograph.</w:t>
      </w:r>
    </w:p>
    <w:p w14:paraId="70C18A50" w14:textId="77777777" w:rsidR="00CE0A95" w:rsidRDefault="00000000">
      <w:pPr>
        <w:pStyle w:val="Heading3"/>
      </w:pPr>
      <w:bookmarkStart w:id="75" w:name="human-review-and-semantic-stabilisation"/>
      <w:bookmarkStart w:id="76" w:name="_Toc239495461"/>
      <w:bookmarkEnd w:id="73"/>
      <w:r>
        <w:t>Human review and semantic stabilisation</w:t>
      </w:r>
      <w:bookmarkEnd w:id="76"/>
    </w:p>
    <w:p w14:paraId="4BE40D95" w14:textId="77777777" w:rsidR="00CE0A95" w:rsidRDefault="00000000">
      <w:pPr>
        <w:pStyle w:val="FirstParagraph"/>
      </w:pPr>
      <w:r>
        <w:t xml:space="preserve">HDT-O provides classes and properties for representing a Heritage Digital Twin, but our implementation additionally requires a method for deciding which candidate propositions should enter its maintained knowledge. We use </w:t>
      </w:r>
      <w:r>
        <w:rPr>
          <w:b/>
          <w:bCs/>
        </w:rPr>
        <w:t>human-centric semantic knowledge production</w:t>
      </w:r>
      <w:r>
        <w:t xml:space="preserve"> for this purpose.</w:t>
      </w:r>
    </w:p>
    <w:p w14:paraId="06E9E3F9" w14:textId="77777777" w:rsidR="00CE0A95" w:rsidRDefault="00000000">
      <w:pPr>
        <w:pStyle w:val="BodyText"/>
      </w:pPr>
      <w:r>
        <w:t>Evidence, existing knowledge and computational processes can generate candidate claims. Candidate generation may involve extraction from files, transformation with R, reconciliation in OpenRefine, inference from existing knowledge, or bounded federation from an external knowledge graph. None of these operations makes a candidate claim true merely by producing it.</w:t>
      </w:r>
    </w:p>
    <w:p w14:paraId="55DB8EF0" w14:textId="77777777" w:rsidR="00CE0A95" w:rsidRDefault="00000000">
      <w:pPr>
        <w:pStyle w:val="BodyText"/>
      </w:pPr>
      <w:r>
        <w:t>Betwixt places these candidate claims in front of an appropriate reviewer. A domain expert can review claims about the heritage entity, a data steward can review the adequacy of digital resources, and a legal expert can review relevant legal or policy claims. Candidate claims can be accepted, rejected or deferred. Rejected claims do not enter the stabilised knowledge, while deferred claims remain explicitly unresolved rather than being guessed.</w:t>
      </w:r>
    </w:p>
    <w:p w14:paraId="630771F7" w14:textId="77777777" w:rsidR="00CE0A95" w:rsidRDefault="00000000">
      <w:pPr>
        <w:pStyle w:val="BodyText"/>
      </w:pPr>
      <w:r>
        <w:t>This creates a simple semantic production cycle:</w:t>
      </w:r>
    </w:p>
    <w:p w14:paraId="2FABF656" w14:textId="77777777" w:rsidR="00CE0A95" w:rsidRDefault="00000000">
      <w:pPr>
        <w:pStyle w:val="BodyText"/>
      </w:pPr>
      <w:r>
        <w:rPr>
          <w:b/>
          <w:bCs/>
        </w:rPr>
        <w:t>evidence and existing knowledge → candidate claims → review → stabilised knowledge</w:t>
      </w:r>
    </w:p>
    <w:p w14:paraId="73160067" w14:textId="77777777" w:rsidR="00CE0A95" w:rsidRDefault="00000000">
      <w:pPr>
        <w:pStyle w:val="BodyText"/>
      </w:pPr>
      <w:r>
        <w:t>The stabilised knowledge is the knowledge considered sufficiently reliable for the current purpose. It is not assumed to be permanently true. New evidence or later review may lead to correction or replacement. This fallibility is important for the Heritage Digital Twin: maintaining a twin means not only accumulating statements but also being able to revise them in a controlled and traceable manner.</w:t>
      </w:r>
    </w:p>
    <w:p w14:paraId="2E1A7458" w14:textId="77777777" w:rsidR="00CE0A95" w:rsidRDefault="00000000">
      <w:pPr>
        <w:pStyle w:val="Heading3"/>
      </w:pPr>
      <w:bookmarkStart w:id="77" w:name="hc11-digital-twin-maintenance"/>
      <w:bookmarkStart w:id="78" w:name="_Toc239495462"/>
      <w:bookmarkEnd w:id="75"/>
      <w:r>
        <w:t>HC11 Digital Twin Maintenance</w:t>
      </w:r>
      <w:bookmarkEnd w:id="78"/>
    </w:p>
    <w:p w14:paraId="47EE1070" w14:textId="77777777" w:rsidR="00CE0A95" w:rsidRDefault="00000000">
      <w:pPr>
        <w:pStyle w:val="FirstParagraph"/>
      </w:pPr>
      <w:r>
        <w:t xml:space="preserve">HDT-O provides an explicit place for this continuing activity through </w:t>
      </w:r>
      <w:r>
        <w:rPr>
          <w:b/>
          <w:bCs/>
        </w:rPr>
        <w:t>HC11 Digital Twin Maintenance</w:t>
      </w:r>
      <w:r>
        <w:t xml:space="preserve"> (ECHOES Project 2026). We interpret HC11 according to its broader maintenance role rather than equating it with any single user interaction or inspection session.</w:t>
      </w:r>
    </w:p>
    <w:p w14:paraId="12F96292" w14:textId="77777777" w:rsidR="00CE0A95" w:rsidRDefault="00000000">
      <w:pPr>
        <w:pStyle w:val="BodyText"/>
      </w:pPr>
      <w:r>
        <w:t>A maintenance activity can be associated with documenting an HC1 Heritage Entity and composing or complementing its HC2 Heritage Digital Twin. This makes HC11 the natural HDTO location for the provenance-bearing activity through which the state of an operational twin is changed.</w:t>
      </w:r>
    </w:p>
    <w:p w14:paraId="04473244" w14:textId="77777777" w:rsidR="00CE0A95" w:rsidRDefault="00000000">
      <w:pPr>
        <w:pStyle w:val="BodyText"/>
      </w:pPr>
      <w:r>
        <w:t xml:space="preserve">In our workflow, several operations may contribute to such maintenance. Evidence may first be extracted and organised with R or OpenRefine. Betwixt may then present candidate </w:t>
      </w:r>
      <w:r>
        <w:lastRenderedPageBreak/>
        <w:t>claims to a reviewer and record the review decisions. Finally, accepted changes are written to Wikibase. These technical steps do not necessarily have to be represented as separate HC11 instances. What matters is that the semantically significant maintenance activity and its relationship to the resulting change remain identifiable.</w:t>
      </w:r>
    </w:p>
    <w:p w14:paraId="3A600929" w14:textId="77777777" w:rsidR="00CE0A95" w:rsidRDefault="00000000">
      <w:pPr>
        <w:pStyle w:val="BodyText"/>
      </w:pPr>
      <w:r>
        <w:t>For the sash example, the maintenance process can therefore be read simply as:</w:t>
      </w:r>
    </w:p>
    <w:p w14:paraId="114C350D" w14:textId="77777777" w:rsidR="00CE0A95" w:rsidRDefault="00000000">
      <w:pPr>
        <w:pStyle w:val="BodyText"/>
      </w:pPr>
      <w:r>
        <w:rPr>
          <w:b/>
          <w:bCs/>
        </w:rPr>
        <w:t>photograph and existing records → candidate claims → Betwixt review → accepted claims → Wikibase update</w:t>
      </w:r>
    </w:p>
    <w:p w14:paraId="339BEE51" w14:textId="77777777" w:rsidR="00CE0A95" w:rsidRDefault="00000000">
      <w:pPr>
        <w:pStyle w:val="BodyText"/>
      </w:pPr>
      <w:r>
        <w:t xml:space="preserve">HDT-O allows the resulting maintenance activity to be connected both to the heritage entity it documented and to the digital twin it composed or complemented. </w:t>
      </w:r>
      <w:r>
        <w:rPr>
          <w:b/>
          <w:bCs/>
        </w:rPr>
        <w:t>HP18 has documented</w:t>
      </w:r>
      <w:r>
        <w:t xml:space="preserve"> relates the maintenance activity to the HC1, while </w:t>
      </w:r>
      <w:r>
        <w:rPr>
          <w:b/>
          <w:bCs/>
        </w:rPr>
        <w:t>HP19 has composed</w:t>
      </w:r>
      <w:r>
        <w:t xml:space="preserve"> relates it to the HC2 (ECHOES Project 2026).</w:t>
      </w:r>
    </w:p>
    <w:p w14:paraId="001274EB" w14:textId="77777777" w:rsidR="00CE0A95" w:rsidRDefault="00000000">
      <w:pPr>
        <w:pStyle w:val="BodyText"/>
      </w:pPr>
      <w:r>
        <w:t xml:space="preserve">HDT-O also provides properties for describing changes to the twin’s content. </w:t>
      </w:r>
      <w:r>
        <w:rPr>
          <w:b/>
          <w:bCs/>
        </w:rPr>
        <w:t>HP30 added content</w:t>
      </w:r>
      <w:r>
        <w:t xml:space="preserve">, </w:t>
      </w:r>
      <w:r>
        <w:rPr>
          <w:b/>
          <w:bCs/>
        </w:rPr>
        <w:t>HP31 deleted content</w:t>
      </w:r>
      <w:r>
        <w:t xml:space="preserve"> and </w:t>
      </w:r>
      <w:r>
        <w:rPr>
          <w:b/>
          <w:bCs/>
        </w:rPr>
        <w:t>HP32 replaced</w:t>
      </w:r>
      <w:r>
        <w:t xml:space="preserve"> allow maintenance to be represented as more than an undifferentiated database update (ECHOES Project 2026). This is particularly useful for a review-based implementation because correction should not mean silently overwriting the history of the twin.</w:t>
      </w:r>
    </w:p>
    <w:p w14:paraId="5F1C0687" w14:textId="77777777" w:rsidR="00CE0A95" w:rsidRDefault="00000000">
      <w:pPr>
        <w:pStyle w:val="Heading3"/>
      </w:pPr>
      <w:bookmarkStart w:id="79" w:name="Xb24297694ae4e9776f0061aa9a54b2a3783d434"/>
      <w:bookmarkStart w:id="80" w:name="_Toc239495463"/>
      <w:bookmarkEnd w:id="77"/>
      <w:r>
        <w:t>HC16 Heritage Proposition Sets and changing twin states</w:t>
      </w:r>
      <w:bookmarkEnd w:id="80"/>
    </w:p>
    <w:p w14:paraId="51335ADC" w14:textId="77777777" w:rsidR="00CE0A95" w:rsidRDefault="00000000">
      <w:pPr>
        <w:pStyle w:val="FirstParagraph"/>
      </w:pPr>
      <w:r>
        <w:t>The propositions in an HC16 should not be understood as statements whose subject must always be HC1 (ECHOES Project 2026). HC16 represents proposition content maintained by HC2, while individual propositions may concern different resources. In our implementation, some propositions describe the HC1 heritage entity, while others may describe the HC2 digital twin or other resources relevant to the maintained knowledge. Membership in the proposition set and the subject of a proposition are therefore separate semantic questions.</w:t>
      </w:r>
    </w:p>
    <w:p w14:paraId="3A318E07" w14:textId="77777777" w:rsidR="00CE0A95" w:rsidRDefault="00000000">
      <w:pPr>
        <w:pStyle w:val="BodyText"/>
      </w:pPr>
      <w:r>
        <w:t xml:space="preserve">This has an important consequence for implementation: an </w:t>
      </w:r>
      <w:r>
        <w:rPr>
          <w:b/>
          <w:bCs/>
        </w:rPr>
        <w:t>HC16 is not an editable container</w:t>
      </w:r>
      <w:r>
        <w:t>. Once created, it represents a fixed proposition set. If its propositional content changes, the result is a new HC16 rather than a modified version of the same HC16 (ECHOES Project 2026).</w:t>
      </w:r>
    </w:p>
    <w:p w14:paraId="1A226FCC" w14:textId="77777777" w:rsidR="00CE0A95" w:rsidRDefault="00000000">
      <w:pPr>
        <w:pStyle w:val="BodyText"/>
      </w:pPr>
      <w:r>
        <w:t xml:space="preserve">The distinction allows the digital twin to change while both the HC1 heritage entity and earlier HC16 proposition sets remain identifiable. The Dēliņi sash does not become a different physical sash because our knowledge about it changes. Instead, an </w:t>
      </w:r>
      <w:r>
        <w:rPr>
          <w:b/>
          <w:bCs/>
        </w:rPr>
        <w:t>HC11 Digital Twin Maintenance</w:t>
      </w:r>
      <w:r>
        <w:t xml:space="preserve"> activity can add a new HC16 proposition set and make an earlier HC16 former content of the twin.</w:t>
      </w:r>
    </w:p>
    <w:p w14:paraId="3627A300" w14:textId="77777777" w:rsidR="00CE0A95" w:rsidRDefault="00000000">
      <w:pPr>
        <w:pStyle w:val="BodyText"/>
      </w:pPr>
      <w:r>
        <w:t xml:space="preserve">HDT-O distinguishes current and former proposition sets. </w:t>
      </w:r>
      <w:r>
        <w:rPr>
          <w:b/>
          <w:bCs/>
        </w:rPr>
        <w:t>HP33 contains</w:t>
      </w:r>
      <w:r>
        <w:t xml:space="preserve"> relates an HC2 Heritage Digital Twin to an HC16 that is currently valid, while </w:t>
      </w:r>
      <w:r>
        <w:rPr>
          <w:b/>
          <w:bCs/>
        </w:rPr>
        <w:t>HP34 contained</w:t>
      </w:r>
      <w:r>
        <w:t xml:space="preserve"> relates it to an HC16 that was formerly valid (ECHOES Project 2026). When maintenance replaces content, the former HC16 is not erased: its HP33 relationship is replaced by HP34, </w:t>
      </w:r>
      <w:r>
        <w:lastRenderedPageBreak/>
        <w:t xml:space="preserve">preserving referential integrity and the history of the twin. </w:t>
      </w:r>
      <w:r>
        <w:rPr>
          <w:b/>
          <w:bCs/>
        </w:rPr>
        <w:t>HP32 replaced</w:t>
      </w:r>
      <w:r>
        <w:t xml:space="preserve"> can additionally connect the new HC16 to the proposition set that it supersedes.</w:t>
      </w:r>
    </w:p>
    <w:p w14:paraId="29A51230" w14:textId="77777777" w:rsidR="00CE0A95" w:rsidRDefault="00000000">
      <w:pPr>
        <w:pStyle w:val="BodyText"/>
      </w:pPr>
      <w:r>
        <w:t xml:space="preserve">Our semantic stabilisation methodology and HC16 should nevertheless not be treated as identical concepts. Betwixt reviews atomic candidate claims and records the decisions and provenance associated with them. Accepted claims can subsequently contribute to an HC16 proposition set maintained by the HC2. The review process explains </w:t>
      </w:r>
      <w:r>
        <w:rPr>
          <w:b/>
          <w:bCs/>
        </w:rPr>
        <w:t>why a proposition was admitted</w:t>
      </w:r>
      <w:r>
        <w:t xml:space="preserve">; HC16 describes </w:t>
      </w:r>
      <w:r>
        <w:rPr>
          <w:b/>
          <w:bCs/>
        </w:rPr>
        <w:t>propositional content of the twin</w:t>
      </w:r>
      <w:r>
        <w:t>.</w:t>
      </w:r>
    </w:p>
    <w:p w14:paraId="3CB79773" w14:textId="77777777" w:rsidR="00CE0A95" w:rsidRDefault="00000000">
      <w:pPr>
        <w:pStyle w:val="BodyText"/>
      </w:pPr>
      <w:r>
        <w:t>A simplified lifecycle is therefore:</w:t>
      </w:r>
    </w:p>
    <w:p w14:paraId="6A39F2B6" w14:textId="77777777" w:rsidR="00CE0A95" w:rsidRDefault="00000000">
      <w:pPr>
        <w:pStyle w:val="BodyText"/>
      </w:pPr>
      <w:r>
        <w:rPr>
          <w:b/>
          <w:bCs/>
        </w:rPr>
        <w:t>candidate claims → review → accepted claims → new HC16 proposition set → current HC2</w:t>
      </w:r>
    </w:p>
    <w:p w14:paraId="4C212B73" w14:textId="77777777" w:rsidR="00CE0A95" w:rsidRDefault="00000000">
      <w:pPr>
        <w:pStyle w:val="BodyText"/>
      </w:pPr>
      <w:r>
        <w:t xml:space="preserve">When later evidence requires a correction, </w:t>
      </w:r>
      <w:r>
        <w:rPr>
          <w:b/>
          <w:bCs/>
        </w:rPr>
        <w:t>HC11 Digital Twin Maintenance</w:t>
      </w:r>
      <w:r>
        <w:t xml:space="preserve"> does not edit the existing HC16. It adds a new HC16 and can replace the previous proposition set, which remains identifiable as former content of the HC2. The changing twin is therefore represented by a succession of persistent proposition sets rather than by repeatedly overwriting the same proposition container.</w:t>
      </w:r>
    </w:p>
    <w:p w14:paraId="2F8CB3DE" w14:textId="77777777" w:rsidR="00CE0A95" w:rsidRDefault="00000000">
      <w:pPr>
        <w:pStyle w:val="BodyText"/>
      </w:pPr>
      <w:r>
        <w:t>This interpretation gives us a Heritage Digital Twin that is neither a static database record nor an uncontrolled accumulation of statements. It is a changing body of formal propositions whose maintenance can be documented and whose previous states can remain traceable.</w:t>
      </w:r>
    </w:p>
    <w:p w14:paraId="43DD245D" w14:textId="77777777" w:rsidR="00CE0A95" w:rsidRDefault="00000000">
      <w:pPr>
        <w:pStyle w:val="Heading3"/>
      </w:pPr>
      <w:bookmarkStart w:id="81" w:name="volatile-twins-and-persistent-snapshots"/>
      <w:bookmarkStart w:id="82" w:name="_Toc239495464"/>
      <w:bookmarkEnd w:id="79"/>
      <w:r>
        <w:t>Volatile twins and persistent snapshots</w:t>
      </w:r>
      <w:bookmarkEnd w:id="82"/>
    </w:p>
    <w:p w14:paraId="15C8E006" w14:textId="77777777" w:rsidR="00CE0A95" w:rsidRDefault="00000000">
      <w:pPr>
        <w:pStyle w:val="FirstParagraph"/>
      </w:pPr>
      <w:r>
        <w:t xml:space="preserve">HDT-O additionally distinguishes between changing and persistent digital objects. </w:t>
      </w:r>
      <w:r>
        <w:rPr>
          <w:b/>
          <w:bCs/>
        </w:rPr>
        <w:t>HC14 Volatile Digital Object</w:t>
      </w:r>
      <w:r>
        <w:t xml:space="preserve"> represents a digital object whose content can change, while </w:t>
      </w:r>
      <w:r>
        <w:rPr>
          <w:b/>
          <w:bCs/>
        </w:rPr>
        <w:t>HC15 Persistent Digital Object</w:t>
      </w:r>
      <w:r>
        <w:t xml:space="preserve"> represents a persistently identifiable digital object. </w:t>
      </w:r>
      <w:r>
        <w:rPr>
          <w:b/>
          <w:bCs/>
        </w:rPr>
        <w:t>HP28 has snapshot</w:t>
      </w:r>
      <w:r>
        <w:t xml:space="preserve"> relates a volatile digital object to a persistent snapshot capturing its content at a particular point in time (ECHOES Project 2026).</w:t>
      </w:r>
    </w:p>
    <w:p w14:paraId="564710A8" w14:textId="77777777" w:rsidR="00CE0A95" w:rsidRDefault="00000000">
      <w:pPr>
        <w:pStyle w:val="BodyText"/>
      </w:pPr>
      <w:r>
        <w:t>This distinction is particularly useful for our Wikibase implementation. The operational HC2 maintained through Wikibase is a changing digital object: accepted knowledge can be added, corrected or replaced through later maintenance. A particular state of that twin may nevertheless need to be fixed, cited, archived or exchanged reproducibly. Such a state can be represented as a persistent snapshot rather than treating the live Wikibase state itself as immutable.</w:t>
      </w:r>
    </w:p>
    <w:p w14:paraId="7F56EBFF" w14:textId="77777777" w:rsidR="00CE0A95" w:rsidRDefault="00000000">
      <w:pPr>
        <w:pStyle w:val="BodyText"/>
      </w:pPr>
      <w:r>
        <w:t xml:space="preserve">We therefore distinguish the </w:t>
      </w:r>
      <w:r>
        <w:rPr>
          <w:b/>
          <w:bCs/>
        </w:rPr>
        <w:t>current operational twin</w:t>
      </w:r>
      <w:r>
        <w:t xml:space="preserve"> from its </w:t>
      </w:r>
      <w:r>
        <w:rPr>
          <w:b/>
          <w:bCs/>
        </w:rPr>
        <w:t>persistent snapshots</w:t>
      </w:r>
      <w:r>
        <w:t>. HC16 identifies persistent proposition content forming current or former content of the twin, while HC15 and HP28 provide the complementary mechanism for preserving an identifiable snapshot of the changing digital object as a whole. These mechanisms should not be conflated: an HC16 is a Heritage Proposition Set, whereas an HC15 snapshot captures a persistent state of a volatile digital object.</w:t>
      </w:r>
    </w:p>
    <w:p w14:paraId="44A89637" w14:textId="77777777" w:rsidR="00CE0A95" w:rsidRDefault="00000000">
      <w:pPr>
        <w:pStyle w:val="Heading3"/>
      </w:pPr>
      <w:bookmarkStart w:id="83" w:name="Xe3a17faf37cb51a60e7c42fd7b277742b2af5aa"/>
      <w:bookmarkStart w:id="84" w:name="_Toc239495465"/>
      <w:bookmarkEnd w:id="81"/>
      <w:r>
        <w:lastRenderedPageBreak/>
        <w:t>Wikibase and HDTO as complementary representations</w:t>
      </w:r>
      <w:bookmarkEnd w:id="84"/>
    </w:p>
    <w:p w14:paraId="12978A22" w14:textId="77777777" w:rsidR="00CE0A95" w:rsidRDefault="00000000">
      <w:pPr>
        <w:pStyle w:val="FirstParagraph"/>
      </w:pPr>
      <w:r>
        <w:t>Wikibase and HDT-O consequently perform complementary functions in our architecture. Wikibase provides the operational environment in which people can identify entities, maintain statements, query the graph and connect knowledge across collections. HDT-O provides the semantic vocabulary through which we can state more precisely what the resulting structures mean as parts of a Heritage Digital Twin (Wikimedia Foundation 2025; ECHOES Project 2026).</w:t>
      </w:r>
    </w:p>
    <w:p w14:paraId="5A9AFF22" w14:textId="77777777" w:rsidR="00CE0A95" w:rsidRDefault="00000000">
      <w:pPr>
        <w:pStyle w:val="BodyText"/>
      </w:pPr>
      <w:r>
        <w:t>We therefore do not attempt to reproduce every HDT-O class as a Wikibase Item or every HDT-O property as a manually entered Wikibase statement. Some distinctions can be recovered systematically when the operational data are exported or projected into HDT-O. Other entities need explicit graph identity because they must themselves be cited, queried, related or maintained.</w:t>
      </w:r>
    </w:p>
    <w:p w14:paraId="073AB1D1" w14:textId="77777777" w:rsidR="00CE0A95" w:rsidRDefault="00000000">
      <w:pPr>
        <w:pStyle w:val="BodyText"/>
      </w:pPr>
      <w:r>
        <w:t>This leads to an important implementation principle:</w:t>
      </w:r>
    </w:p>
    <w:p w14:paraId="71C45911" w14:textId="77777777" w:rsidR="00CE0A95" w:rsidRDefault="00000000">
      <w:pPr>
        <w:pStyle w:val="BlockText"/>
      </w:pPr>
      <w:r>
        <w:rPr>
          <w:b/>
          <w:bCs/>
        </w:rPr>
        <w:t>Ontological identity does not automatically require Wikibase item identity.</w:t>
      </w:r>
    </w:p>
    <w:p w14:paraId="1499DF95" w14:textId="77777777" w:rsidR="00CE0A95" w:rsidRDefault="00000000">
      <w:pPr>
        <w:pStyle w:val="FirstParagraph"/>
      </w:pPr>
      <w:r>
        <w:t>A heritage object that we intend to describe and maintain normally requires a stable Item. A digital photograph may remain an identified file unless there is a reason to manage it as a first-class graph entity. An HC16 proposition set or HC11 maintenance activity may be generated from structured review and provenance records rather than requiring a curator to create and maintain Q-items manually. The appropriate representation depends on what must remain independently identifiable and queryable.</w:t>
      </w:r>
    </w:p>
    <w:p w14:paraId="6E231B16" w14:textId="77777777" w:rsidR="00CE0A95" w:rsidRDefault="00000000">
      <w:pPr>
        <w:pStyle w:val="BodyText"/>
      </w:pPr>
      <w:r>
        <w:t>The result is deliberately layered. Wikibase remains usable as an operational knowledge system, Betwixt provides the human review boundary through which candidate knowledge becomes stabilised, and HDT-O provides the formal representation through which the resulting knowledge can be understood as a maintained Heritage Digital Twin.</w:t>
      </w:r>
    </w:p>
    <w:p w14:paraId="53D31187" w14:textId="77777777" w:rsidR="00CE0A95" w:rsidRDefault="00000000">
      <w:pPr>
        <w:pStyle w:val="BodyText"/>
      </w:pPr>
      <w:r>
        <w:t>This constructive mapping also exposes questions that cannot be answered simply by assigning more HDT-O classes or creating more Wikibase Items. We still need to decide which digital resources deserve independent graph identity, how overlapping heritage entities and their twins relate to one another, where the boundary of a twin should be drawn, and how evidence and provenance should participate in later normative decisions. The Dēliņi implementation makes these questions concrete, and they are considered in the following section.</w:t>
      </w:r>
    </w:p>
    <w:p w14:paraId="63544FAB" w14:textId="77777777" w:rsidR="00CE0A95" w:rsidRDefault="00000000">
      <w:pPr>
        <w:pStyle w:val="Heading2"/>
      </w:pPr>
      <w:bookmarkStart w:id="85" w:name="X4d37a8e70fc1106b78f349ae5102f7e553433f2"/>
      <w:bookmarkStart w:id="86" w:name="_Toc239495466"/>
      <w:bookmarkEnd w:id="69"/>
      <w:bookmarkEnd w:id="83"/>
      <w:r>
        <w:t>Implementation questions exposed by the Dēliņi demonstrator</w:t>
      </w:r>
      <w:bookmarkEnd w:id="86"/>
    </w:p>
    <w:p w14:paraId="348134FA" w14:textId="77777777" w:rsidR="00CE0A95" w:rsidRDefault="00000000">
      <w:pPr>
        <w:pStyle w:val="FirstParagraph"/>
      </w:pPr>
      <w:r>
        <w:t>The mapping above gives us a workable implementation of the main HDT-O concepts, but it also exposes questions that become important as soon as we work with real collections. The Dēliņi demonstrator contains physical heritage objects, photographs made during our own documentation work, digitised archival records, resources preserved from external websites, and structured knowledge obtained from other databases and knowledge graphs. These resources do not all need to become first-class entities in our Wikibase.</w:t>
      </w:r>
    </w:p>
    <w:p w14:paraId="5BDA3D33" w14:textId="77777777" w:rsidR="00CE0A95" w:rsidRDefault="00000000">
      <w:pPr>
        <w:pStyle w:val="BodyText"/>
      </w:pPr>
      <w:r>
        <w:lastRenderedPageBreak/>
        <w:t xml:space="preserve">The central implementation question is therefore not simply </w:t>
      </w:r>
      <w:r>
        <w:rPr>
          <w:b/>
          <w:bCs/>
        </w:rPr>
        <w:t>what can be represented in the graph</w:t>
      </w:r>
      <w:r>
        <w:t xml:space="preserve">, but </w:t>
      </w:r>
      <w:r>
        <w:rPr>
          <w:b/>
          <w:bCs/>
        </w:rPr>
        <w:t>what needs to be represented as an independently identified graph entity</w:t>
      </w:r>
      <w:r>
        <w:t>. The distinction matters for keeping the digital twin understandable and maintainable. A knowledge graph in which every working file, intermediate representation and review artefact becomes a Q-item would rapidly become difficult to use. At the same time, resources that are necessary for identification, provenance, publication or later reuse cannot simply disappear from the model.</w:t>
      </w:r>
    </w:p>
    <w:p w14:paraId="5E6ABA52" w14:textId="77777777" w:rsidR="00CE0A95" w:rsidRDefault="00000000">
      <w:pPr>
        <w:pStyle w:val="Heading3"/>
      </w:pPr>
      <w:bookmarkStart w:id="87" w:name="what-belongs-in-the-graph"/>
      <w:bookmarkStart w:id="88" w:name="_Toc239495467"/>
      <w:r>
        <w:t>What belongs in the graph?</w:t>
      </w:r>
      <w:bookmarkEnd w:id="88"/>
    </w:p>
    <w:p w14:paraId="3F7AD21A" w14:textId="77777777" w:rsidR="00CE0A95" w:rsidRDefault="00000000">
      <w:pPr>
        <w:pStyle w:val="FirstParagraph"/>
      </w:pPr>
      <w:r>
        <w:t xml:space="preserve">Our starting principle is that </w:t>
      </w:r>
      <w:r>
        <w:rPr>
          <w:b/>
          <w:bCs/>
        </w:rPr>
        <w:t>ontological identity does not automatically require Wikibase Item identity</w:t>
      </w:r>
      <w:r>
        <w:t>. HDT-O may allow us to classify a resource as an HC1 Heritage Entity, HC5 Digital Representation, HC11 Digital Twin Maintenance activity or HC16 Heritage Proposition Set without requiring a curator to create and maintain a separate Q-item for every instance.</w:t>
      </w:r>
    </w:p>
    <w:p w14:paraId="65DB0204" w14:textId="77777777" w:rsidR="00CE0A95" w:rsidRDefault="00000000">
      <w:pPr>
        <w:pStyle w:val="BodyText"/>
      </w:pPr>
      <w:r>
        <w:t>A resource should normally receive independent graph identity when we need to make it the subject or object of persistent relationships, identify it independently, query it directly, publish it as part of the digital twin, or maintain information about it over time. The threshold is therefore operational rather than purely ontological.</w:t>
      </w:r>
    </w:p>
    <w:p w14:paraId="1DE933BD" w14:textId="77777777" w:rsidR="00CE0A95" w:rsidRDefault="00000000">
      <w:pPr>
        <w:pStyle w:val="BodyText"/>
      </w:pPr>
      <w:r>
        <w:t>The Dēliņi sash illustrates the distinction. The physical sash is an independently identified heritage entity about which we maintain knowledge. It therefore requires an Item. A photograph showing the sash may initially be only evidence used during review. If the photograph is subsequently selected for publication, independently described, assigned rights information, cited by other resources or used as a persistent digital representation of the sash, it becomes useful to give the photograph independent graph identity as well.</w:t>
      </w:r>
    </w:p>
    <w:p w14:paraId="16729CCC" w14:textId="77777777" w:rsidR="00CE0A95" w:rsidRDefault="00000000">
      <w:pPr>
        <w:pStyle w:val="BodyText"/>
      </w:pPr>
      <w:r>
        <w:t>This produces a deliberately selective graph. The graph should contain the entities and relationships needed to operate the Heritage Digital Twin, rather than attempting to reproduce every file and intermediate object created during documentation.</w:t>
      </w:r>
    </w:p>
    <w:p w14:paraId="45F60E5C" w14:textId="77777777" w:rsidR="00CE0A95" w:rsidRDefault="00000000">
      <w:pPr>
        <w:pStyle w:val="Heading3"/>
      </w:pPr>
      <w:bookmarkStart w:id="89" w:name="X7dfc4e5b584b79f05d28877b790329e9a7865e0"/>
      <w:bookmarkStart w:id="90" w:name="_Toc239495468"/>
      <w:bookmarkEnd w:id="87"/>
      <w:r>
        <w:t>Digital representations, working files and external evidence</w:t>
      </w:r>
      <w:bookmarkEnd w:id="90"/>
    </w:p>
    <w:p w14:paraId="0B91A782" w14:textId="77777777" w:rsidR="00CE0A95" w:rsidRDefault="00000000">
      <w:pPr>
        <w:pStyle w:val="FirstParagraph"/>
      </w:pPr>
      <w:r>
        <w:t>The demonstrator suggests three practically different treatments of digital resources.</w:t>
      </w:r>
    </w:p>
    <w:p w14:paraId="6DD3CFA9" w14:textId="77777777" w:rsidR="00CE0A95" w:rsidRDefault="00000000">
      <w:pPr>
        <w:pStyle w:val="BodyText"/>
      </w:pPr>
      <w:r>
        <w:t xml:space="preserve">First, some digital resources are </w:t>
      </w:r>
      <w:r>
        <w:rPr>
          <w:b/>
          <w:bCs/>
        </w:rPr>
        <w:t>intended to become part of the published Heritage Digital Twin</w:t>
      </w:r>
      <w:r>
        <w:t>. For example, we may select a high-quality photograph of the Dēliņi sash for publication. The photograph can then be represented as an HC5 Digital Representation and related to the HC1 heritage entity that it represents (ECHOES Project 2026). Because the photograph itself may have an identifier, creator, creation date, licence, file format and publication status, giving it independent graph identity can be justified.</w:t>
      </w:r>
    </w:p>
    <w:p w14:paraId="71D27164" w14:textId="77777777" w:rsidR="00CE0A95" w:rsidRDefault="00000000">
      <w:pPr>
        <w:pStyle w:val="BodyText"/>
      </w:pPr>
      <w:r>
        <w:t xml:space="preserve">Second, some digital representations are </w:t>
      </w:r>
      <w:r>
        <w:rPr>
          <w:b/>
          <w:bCs/>
        </w:rPr>
        <w:t>published and maintained elsewhere</w:t>
      </w:r>
      <w:r>
        <w:t xml:space="preserve">. An image associated with a record in MuIS, Finna or Garamantas may provide important evidence and a useful access point without becoming a digital object under our control. We may preserve the source and relevant contextual information, for example through a </w:t>
      </w:r>
      <w:r>
        <w:lastRenderedPageBreak/>
        <w:t>WACZ capture, while continuing to identify the external record or representation through its authoritative URI. Bounded federation allows relevant structured statements from such sources to become candidate claims without requiring us to reproduce the entire external record in our graph.</w:t>
      </w:r>
    </w:p>
    <w:p w14:paraId="3154F1DB" w14:textId="77777777" w:rsidR="00CE0A95" w:rsidRDefault="00000000">
      <w:pPr>
        <w:pStyle w:val="BodyText"/>
      </w:pPr>
      <w:r>
        <w:t xml:space="preserve">Third, we have </w:t>
      </w:r>
      <w:r>
        <w:rPr>
          <w:b/>
          <w:bCs/>
        </w:rPr>
        <w:t>working resources</w:t>
      </w:r>
      <w:r>
        <w:t xml:space="preserve"> created or collected during documentation. Our own photographic workflow, for example, may produce thousands of JPG and RAW files. Some may be blurred, duplicated, accidentally placed in the wrong directory or simply unnecessary for the intended publication. These files can still matter. Their existence, location or use may be relevant to the documentation and maintenance process. Nevertheless, this does not mean that each file should receive a QID.</w:t>
      </w:r>
    </w:p>
    <w:p w14:paraId="22CF2106" w14:textId="77777777" w:rsidR="00CE0A95" w:rsidRDefault="00000000">
      <w:pPr>
        <w:pStyle w:val="BodyText"/>
      </w:pPr>
      <w:r>
        <w:t xml:space="preserve">We therefore distinguish </w:t>
      </w:r>
      <w:r>
        <w:rPr>
          <w:b/>
          <w:bCs/>
        </w:rPr>
        <w:t>retention from graph promotion</w:t>
      </w:r>
      <w:r>
        <w:t>. A RAW file can be retained as part of the documentation package without becoming a first-class graph entity. A damaged photograph can remain traceable as a resource considered during maintenance even when a data steward decides that it should not be published or used as the preferred representation. Betwixt can record this decision without requiring the rejected or non-promoted resource to occupy the same semantic position as a published digital representation.</w:t>
      </w:r>
    </w:p>
    <w:p w14:paraId="7F329B13" w14:textId="77777777" w:rsidR="00CE0A95" w:rsidRDefault="00000000">
      <w:pPr>
        <w:pStyle w:val="BodyText"/>
      </w:pPr>
      <w:r>
        <w:t>This distinction is particularly important for multimodal evidence. The same principle applies to photographs, audio recordings, video, captured web pages and textual documents. The fact that something was used as evidence does not by itself determine whether it should become a persistent node in the public knowledge graph.</w:t>
      </w:r>
    </w:p>
    <w:p w14:paraId="53741512" w14:textId="77777777" w:rsidR="00CE0A95" w:rsidRDefault="00000000">
      <w:pPr>
        <w:pStyle w:val="Heading3"/>
      </w:pPr>
      <w:bookmarkStart w:id="91" w:name="X115c7a603556059960be02db0809bcd69765eef"/>
      <w:bookmarkStart w:id="92" w:name="_Toc239495469"/>
      <w:bookmarkEnd w:id="89"/>
      <w:r>
        <w:t>Inspection contexts and overlapping twins</w:t>
      </w:r>
      <w:bookmarkEnd w:id="92"/>
    </w:p>
    <w:p w14:paraId="27594668" w14:textId="77777777" w:rsidR="00CE0A95" w:rsidRDefault="00000000">
      <w:pPr>
        <w:pStyle w:val="FirstParagraph"/>
      </w:pPr>
      <w:r>
        <w:t>The Dēliņi case also makes it difficult to define the boundary of a Heritage Digital Twin solely by looking at individual objects. During one documentation activity, a curator may inspect the Dēliņi farmstead, enter the farmhouse, photograph the master bedroom, document the sash and bed found there, and consult an archival record concerning the same place. The resulting evidence can support propositions about several related heritage entities.</w:t>
      </w:r>
    </w:p>
    <w:p w14:paraId="26EEC8B8" w14:textId="77777777" w:rsidR="00CE0A95" w:rsidRDefault="00000000">
      <w:pPr>
        <w:pStyle w:val="BodyText"/>
      </w:pPr>
      <w:r>
        <w:t>These entities can participate in different meaningful contexts. The sash can be considered as part of the contents of the farmhouse, as an example of Livonian textile heritage, as an artefact in a museum collection, or as evidence in a study of traditional weaving. The farmhouse can simultaneously be considered as part of the Dēliņi farmstead, an architectural heritage entity, a museum exhibit and a location associated with the documented objects.</w:t>
      </w:r>
    </w:p>
    <w:p w14:paraId="3196F284" w14:textId="77777777" w:rsidR="00CE0A95" w:rsidRDefault="00000000">
      <w:pPr>
        <w:pStyle w:val="BodyText"/>
      </w:pPr>
      <w:r>
        <w:t xml:space="preserve">We therefore use an </w:t>
      </w:r>
      <w:r>
        <w:rPr>
          <w:b/>
          <w:bCs/>
        </w:rPr>
        <w:t>inspection context</w:t>
      </w:r>
      <w:r>
        <w:t xml:space="preserve"> as an implementation concept for describing the bounded situation within which evidence was collected and candidate claims were produced. An inspection context can identify the place, collection, activity, research purpose or other practical boundary relevant to a particular documentation process. It </w:t>
      </w:r>
      <w:r>
        <w:lastRenderedPageBreak/>
        <w:t>helps explain why certain resources and propositions were considered together without asserting that they must permanently belong to one indivisible Heritage Digital Twin.</w:t>
      </w:r>
    </w:p>
    <w:p w14:paraId="06E28A39" w14:textId="77777777" w:rsidR="00CE0A95" w:rsidRDefault="00000000">
      <w:pPr>
        <w:pStyle w:val="BodyText"/>
      </w:pPr>
      <w:r>
        <w:t>Inspection context is consequently different from HC1 identity. The same HC1 can participate in several inspection contexts, and one inspection context can involve several HC1 entities. It is also different from HC2: it helps us explain the circumstances under which knowledge entered or changed one or more digital twins rather than defining the twin itself.</w:t>
      </w:r>
    </w:p>
    <w:p w14:paraId="3BDD5F22" w14:textId="77777777" w:rsidR="00CE0A95" w:rsidRDefault="00000000">
      <w:pPr>
        <w:pStyle w:val="BodyText"/>
      </w:pPr>
      <w:r>
        <w:t>This becomes particularly useful when evidence is reused. A photograph originally made while documenting the Dēliņi farmhouse may later provide evidence for a study of Livonian textiles. We should be able to reuse that evidence and the already stabilised knowledge without pretending that the second research context is identical to the first.</w:t>
      </w:r>
    </w:p>
    <w:p w14:paraId="36977E8F" w14:textId="77777777" w:rsidR="00CE0A95" w:rsidRDefault="00000000">
      <w:pPr>
        <w:pStyle w:val="BodyText"/>
      </w:pPr>
      <w:r>
        <w:t xml:space="preserve">We therefore propose </w:t>
      </w:r>
      <w:r>
        <w:rPr>
          <w:b/>
          <w:bCs/>
        </w:rPr>
        <w:t>Inspection Context</w:t>
      </w:r>
      <w:r>
        <w:t xml:space="preserve"> as an explicit implementation concept for consideration in future HDT-O development. It would represent the bounded curatorial, research or documentation context within which a selected group of heritage entities, representations, evidence and propositions are considered together. It should not replace HC1 or HC2 and should not imply a new part-whole relationship between the participating Heritage Digital Twins.</w:t>
      </w:r>
    </w:p>
    <w:p w14:paraId="6CDEFA4E" w14:textId="77777777" w:rsidR="00CE0A95" w:rsidRDefault="00000000">
      <w:pPr>
        <w:pStyle w:val="BodyText"/>
      </w:pPr>
      <w:r>
        <w:t xml:space="preserve">The Dēliņi demonstrator suggests that such a concept would be particularly useful for practical work with overlapping twins. The same HC1 may participate in several inspection contexts, while one inspection context may involve several HC1 entities and their corresponding HC2 digital twins. Formalising this distinction would allow implementations to record </w:t>
      </w:r>
      <w:r>
        <w:rPr>
          <w:b/>
          <w:bCs/>
        </w:rPr>
        <w:t>why these particular entities and resources were examined together</w:t>
      </w:r>
      <w:r>
        <w:t xml:space="preserve"> without turning that temporary or purpose-specific scope into an intrinsic boundary of the heritage entities or their digital twins.</w:t>
      </w:r>
    </w:p>
    <w:p w14:paraId="413571AE" w14:textId="77777777" w:rsidR="00CE0A95" w:rsidRDefault="00000000">
      <w:pPr>
        <w:pStyle w:val="Heading3"/>
      </w:pPr>
      <w:bookmarkStart w:id="93" w:name="X661caaa03adcf2869b0f2142b04ba1b6151ffeb"/>
      <w:bookmarkStart w:id="94" w:name="_Toc239495470"/>
      <w:bookmarkEnd w:id="91"/>
      <w:r>
        <w:t>Mereology and relationships between Heritage Digital Twins</w:t>
      </w:r>
      <w:bookmarkEnd w:id="94"/>
    </w:p>
    <w:p w14:paraId="3A56F70E" w14:textId="77777777" w:rsidR="00CE0A95" w:rsidRDefault="00000000">
      <w:pPr>
        <w:pStyle w:val="FirstParagraph"/>
      </w:pPr>
      <w:r>
        <w:t>The same examples expose a more fundamental question about the relationship between heritage entities and their digital twins. Heritage objects frequently form part-whole structures. The Dēliņi farmstead contains a farmhouse; the farmhouse contains a master bedroom; the bedroom contains a sash and a bed. Depending on the purpose of the digital twin, several of these entities may independently warrant identification and description.</w:t>
      </w:r>
    </w:p>
    <w:p w14:paraId="35509B92" w14:textId="77777777" w:rsidR="00CE0A95" w:rsidRDefault="00000000">
      <w:pPr>
        <w:pStyle w:val="BodyText"/>
      </w:pPr>
      <w:r>
        <w:t>HDT-O permits parts of heritage entities to be treated as heritage entities in their own right (ECHOES Project 2026). This is necessary, but it creates an implementation question when both a whole and its parts have digital twins. If the sash has its own HC2 and the farmhouse has its own HC2, the relationship between the physical entities does not automatically tell us how their digital twins should be related.</w:t>
      </w:r>
    </w:p>
    <w:p w14:paraId="706CEE74" w14:textId="77777777" w:rsidR="00CE0A95" w:rsidRDefault="00000000">
      <w:pPr>
        <w:pStyle w:val="BodyText"/>
      </w:pPr>
      <w:r>
        <w:t xml:space="preserve">We should not assume that the HC2 of the farmhouse simply </w:t>
      </w:r>
      <w:r>
        <w:rPr>
          <w:i/>
          <w:iCs/>
        </w:rPr>
        <w:t>contains</w:t>
      </w:r>
      <w:r>
        <w:t xml:space="preserve"> the complete HC2 of every object located within it. The digital twin of the farmhouse may contain propositions concerning the sash because those propositions are relevant to understanding the farmhouse. The sash’s own digital twin may contain a much richer set of propositions </w:t>
      </w:r>
      <w:r>
        <w:lastRenderedPageBreak/>
        <w:t>about material, production technique, provenance, conservation and cultural affiliation. The two twins therefore overlap in subject matter without necessarily having a simple part-whole relationship.</w:t>
      </w:r>
    </w:p>
    <w:p w14:paraId="1E04BDBF" w14:textId="77777777" w:rsidR="00CE0A95" w:rsidRDefault="00000000">
      <w:pPr>
        <w:pStyle w:val="BodyText"/>
      </w:pPr>
      <w:r>
        <w:t>The problem becomes even clearer with digital representations. A published photograph can itself be an independently managed digital object while simultaneously representing the sash and documenting the farmhouse interior. It may participate in the digital twins of several heritage entities without being reducible to any one of them.</w:t>
      </w:r>
    </w:p>
    <w:p w14:paraId="36F0078D" w14:textId="77777777" w:rsidR="00CE0A95" w:rsidRDefault="00000000">
      <w:pPr>
        <w:pStyle w:val="BodyText"/>
      </w:pPr>
      <w:r>
        <w:t xml:space="preserve">For our implementation, we therefore keep </w:t>
      </w:r>
      <w:r>
        <w:rPr>
          <w:b/>
          <w:bCs/>
        </w:rPr>
        <w:t>mereological relationships between heritage entities</w:t>
      </w:r>
      <w:r>
        <w:t xml:space="preserve"> separate from </w:t>
      </w:r>
      <w:r>
        <w:rPr>
          <w:b/>
          <w:bCs/>
        </w:rPr>
        <w:t>relationships between their digital twins</w:t>
      </w:r>
      <w:r>
        <w:t>. If the sash is physically part of a larger documented context, that relationship belongs to the domain description of the relevant HC1 entities. Which propositions and digital representations are included in the corresponding HC2 structures is determined by the purpose and maintained scope of those twins.</w:t>
      </w:r>
    </w:p>
    <w:p w14:paraId="315E8AC9" w14:textId="77777777" w:rsidR="00CE0A95" w:rsidRDefault="00000000">
      <w:pPr>
        <w:pStyle w:val="BodyText"/>
      </w:pPr>
      <w:r>
        <w:t xml:space="preserve">HDT-O already provides </w:t>
      </w:r>
      <w:r>
        <w:rPr>
          <w:b/>
          <w:bCs/>
        </w:rPr>
        <w:t>HP3 is digital twin component of</w:t>
      </w:r>
      <w:r>
        <w:t xml:space="preserve"> for relationships between HC2 instances, including component relationships that are not limited to physical or geographical part-whole relations (ECHOES Project 2026). The implementation question exposed by Dēliņi is therefore narrower: how should we distinguish relatively persistent digital-twin component relationships from temporary or purpose-specific </w:t>
      </w:r>
      <w:r>
        <w:rPr>
          <w:b/>
          <w:bCs/>
        </w:rPr>
        <w:t>inspection contexts</w:t>
      </w:r>
      <w:r>
        <w:t xml:space="preserve"> in which several otherwise independent heritage entities and twins are examined together?</w:t>
      </w:r>
    </w:p>
    <w:p w14:paraId="12FEFD57" w14:textId="77777777" w:rsidR="00CE0A95" w:rsidRDefault="00000000">
      <w:pPr>
        <w:pStyle w:val="BodyText"/>
      </w:pPr>
      <w:r>
        <w:t>We propose that future HDT-O guidance, or a future revision of the ontology, make this distinction explicit. An inspection context would provide a bounded view for research, documentation or review without asserting that every participating HC2 is thereby a component of another HC2.</w:t>
      </w:r>
    </w:p>
    <w:p w14:paraId="5B49AE8C" w14:textId="77777777" w:rsidR="00CE0A95" w:rsidRDefault="00000000">
      <w:pPr>
        <w:pStyle w:val="Heading3"/>
      </w:pPr>
      <w:bookmarkStart w:id="95" w:name="Xd68638934b94330cd920f78389c134c4f40d1dc"/>
      <w:bookmarkStart w:id="96" w:name="_Toc239495471"/>
      <w:bookmarkEnd w:id="93"/>
      <w:r>
        <w:t>Evidence, provenance and normative decisions</w:t>
      </w:r>
      <w:bookmarkEnd w:id="96"/>
    </w:p>
    <w:p w14:paraId="34BA16B0" w14:textId="77777777" w:rsidR="00CE0A95" w:rsidRDefault="00000000">
      <w:pPr>
        <w:pStyle w:val="FirstParagraph"/>
      </w:pPr>
      <w:r>
        <w:t>The Dēliņi demonstrator finally shows why evidence, domain knowledge and provenance need to remain distinguishable even when they are presented together to a curator.</w:t>
      </w:r>
    </w:p>
    <w:p w14:paraId="62053201" w14:textId="77777777" w:rsidR="00CE0A95" w:rsidRDefault="00000000">
      <w:pPr>
        <w:pStyle w:val="BodyText"/>
      </w:pPr>
      <w:r>
        <w:t>Consider again the photograph of the tablet-woven sash. Several different statements may be involved:</w:t>
      </w:r>
    </w:p>
    <w:p w14:paraId="7C5C48EB" w14:textId="77777777" w:rsidR="00CE0A95" w:rsidRDefault="00000000">
      <w:pPr>
        <w:pStyle w:val="BodyText"/>
      </w:pPr>
      <w:r>
        <w:rPr>
          <w:b/>
          <w:bCs/>
        </w:rPr>
        <w:t>this JPG — represents — the sash</w:t>
      </w:r>
    </w:p>
    <w:p w14:paraId="7B666989" w14:textId="77777777" w:rsidR="00CE0A95" w:rsidRDefault="00000000">
      <w:pPr>
        <w:pStyle w:val="BodyText"/>
      </w:pPr>
      <w:r>
        <w:rPr>
          <w:b/>
          <w:bCs/>
        </w:rPr>
        <w:t>the sash — instance of — tablet-woven sash</w:t>
      </w:r>
    </w:p>
    <w:p w14:paraId="22EBAAE0" w14:textId="77777777" w:rsidR="00CE0A95" w:rsidRDefault="00000000">
      <w:pPr>
        <w:pStyle w:val="BodyText"/>
      </w:pPr>
      <w:r>
        <w:rPr>
          <w:b/>
          <w:bCs/>
        </w:rPr>
        <w:t>the sash — heritage of — Livonians</w:t>
      </w:r>
    </w:p>
    <w:p w14:paraId="460721D3" w14:textId="77777777" w:rsidR="00CE0A95" w:rsidRDefault="00000000">
      <w:pPr>
        <w:pStyle w:val="BodyText"/>
      </w:pPr>
      <w:r>
        <w:t>The first establishes how a digital resource relates to the heritage entity. The other statements concern the heritage entity itself. If a curator uses the photograph and a museum record to accept these claims, the fact that those resources were consulted, together with the identity of the reviewer and the review activity, belongs to provenance.</w:t>
      </w:r>
    </w:p>
    <w:p w14:paraId="1AA97C50" w14:textId="77777777" w:rsidR="00CE0A95" w:rsidRDefault="00000000">
      <w:pPr>
        <w:pStyle w:val="BodyText"/>
      </w:pPr>
      <w:r>
        <w:lastRenderedPageBreak/>
        <w:t xml:space="preserve">Keeping these distinctions explicit allows us to answer different questions later. Domain knowledge can answer </w:t>
      </w:r>
      <w:r>
        <w:rPr>
          <w:b/>
          <w:bCs/>
        </w:rPr>
        <w:t>what do we currently claim about the sash?</w:t>
      </w:r>
      <w:r>
        <w:t xml:space="preserve"> Provenance can answer </w:t>
      </w:r>
      <w:r>
        <w:rPr>
          <w:b/>
          <w:bCs/>
        </w:rPr>
        <w:t>why do we currently accept that claim, on the basis of which evidence, and following which review?</w:t>
      </w:r>
    </w:p>
    <w:p w14:paraId="7312C8AD" w14:textId="77777777" w:rsidR="00CE0A95" w:rsidRDefault="00000000">
      <w:pPr>
        <w:pStyle w:val="BodyText"/>
      </w:pPr>
      <w:r>
        <w:t>The distinction becomes even more important when an action is contemplated. Suppose we want to publish the photograph. Knowing that the photograph represents the sash and that the sash is Livonian heritage does not by itself tell us whether the photograph may be published. We may additionally need to know who created the photograph, under which conditions it was created or obtained, whether it depicts an identifiable person, which rights apply, and which organisation has authority to make the publication decision.</w:t>
      </w:r>
    </w:p>
    <w:p w14:paraId="32A976DB" w14:textId="77777777" w:rsidR="00CE0A95" w:rsidRDefault="00000000">
      <w:pPr>
        <w:pStyle w:val="BodyText"/>
      </w:pPr>
      <w:r>
        <w:t xml:space="preserve">We treat these as </w:t>
      </w:r>
      <w:r>
        <w:rPr>
          <w:b/>
          <w:bCs/>
        </w:rPr>
        <w:t>normative questions</w:t>
      </w:r>
      <w:r>
        <w:t xml:space="preserve"> rather than ordinary descriptive properties of the heritage entity. The relevant decision can depend on stabilised domain knowledge, provenance, an applicable policy and the contemplated action. A rule-based system may then derive a candidate normative conclusion such as </w:t>
      </w:r>
      <w:r>
        <w:rPr>
          <w:i/>
          <w:iCs/>
        </w:rPr>
        <w:t>publication permitted</w:t>
      </w:r>
      <w:r>
        <w:t xml:space="preserve">, </w:t>
      </w:r>
      <w:r>
        <w:rPr>
          <w:i/>
          <w:iCs/>
        </w:rPr>
        <w:t>publication prohibited</w:t>
      </w:r>
      <w:r>
        <w:t xml:space="preserve"> or </w:t>
      </w:r>
      <w:r>
        <w:rPr>
          <w:i/>
          <w:iCs/>
        </w:rPr>
        <w:t>human legal review required</w:t>
      </w:r>
      <w:r>
        <w:t>.</w:t>
      </w:r>
    </w:p>
    <w:p w14:paraId="2A417984" w14:textId="77777777" w:rsidR="00CE0A95" w:rsidRDefault="00000000">
      <w:pPr>
        <w:pStyle w:val="BodyText"/>
      </w:pPr>
      <w:r>
        <w:t>This is also why a resource that never becomes a public Wikibase Item may still need adequate provenance. A working photograph that is unsuitable for publication may nevertheless have been used during a review. Conversely, a photograph that is technically excellent and correctly linked to an HC1 may still not be publishable because the applicable rights or policy conditions do not permit that action.</w:t>
      </w:r>
    </w:p>
    <w:p w14:paraId="2CDF7B25" w14:textId="77777777" w:rsidR="00CE0A95" w:rsidRDefault="00000000">
      <w:pPr>
        <w:pStyle w:val="BodyText"/>
      </w:pPr>
      <w:r>
        <w:t xml:space="preserve">The implementation therefore does not collapse </w:t>
      </w:r>
      <w:r>
        <w:rPr>
          <w:b/>
          <w:bCs/>
        </w:rPr>
        <w:t>evidence</w:t>
      </w:r>
      <w:r>
        <w:t xml:space="preserve">, </w:t>
      </w:r>
      <w:r>
        <w:rPr>
          <w:b/>
          <w:bCs/>
        </w:rPr>
        <w:t>knowledge</w:t>
      </w:r>
      <w:r>
        <w:t xml:space="preserve">, </w:t>
      </w:r>
      <w:r>
        <w:rPr>
          <w:b/>
          <w:bCs/>
        </w:rPr>
        <w:t>provenance</w:t>
      </w:r>
      <w:r>
        <w:t xml:space="preserve"> and </w:t>
      </w:r>
      <w:r>
        <w:rPr>
          <w:b/>
          <w:bCs/>
        </w:rPr>
        <w:t>normative conclusions</w:t>
      </w:r>
      <w:r>
        <w:t xml:space="preserve"> into a single set of statements. They interact, but they answer different questions. HDT-O provides an important part of the semantic structure for heritage entities, digital representations, proposition sets and maintenance activities. Our implementation complements this with explicit human review, provenance management and downstream normative inference. This separation allows the digital twin to remain useful for research and federation without treating every accepted descriptive statement as an automatic warrant for subsequent action.</w:t>
      </w:r>
    </w:p>
    <w:p w14:paraId="14840B24" w14:textId="77777777" w:rsidR="00CE0A95" w:rsidRDefault="00000000">
      <w:pPr>
        <w:pStyle w:val="Heading2"/>
      </w:pPr>
      <w:bookmarkStart w:id="97" w:name="implications-for-hdto"/>
      <w:bookmarkStart w:id="98" w:name="_Toc239495472"/>
      <w:bookmarkEnd w:id="85"/>
      <w:bookmarkEnd w:id="95"/>
      <w:r>
        <w:t>Implications for HDTO</w:t>
      </w:r>
      <w:bookmarkEnd w:id="98"/>
    </w:p>
    <w:p w14:paraId="28AC2F9C" w14:textId="77777777" w:rsidR="00CE0A95" w:rsidRDefault="00000000">
      <w:pPr>
        <w:pStyle w:val="FirstParagraph"/>
      </w:pPr>
      <w:r>
        <w:t>The Dēliņi demonstrator suggests that HDT-O 1.1 already provides a useful semantic backbone for implementing Heritage Digital Twins. The implementation does not require replacing HDT-O with a separate operational ontology. Rather, it requires a clear division of labour between HDT-O, the operational Wikibase data model, provenance vocabularies, and the review and inference methods described in this tutorial.</w:t>
      </w:r>
    </w:p>
    <w:p w14:paraId="70AB2ABE" w14:textId="77777777" w:rsidR="00CE0A95" w:rsidRDefault="00000000">
      <w:pPr>
        <w:pStyle w:val="BodyText"/>
      </w:pPr>
      <w:r>
        <w:t xml:space="preserve">At the same time, implementation makes some questions more visible than they are at the conceptual level. In particular, an operational system must decide what receives independent identity, how changing knowledge is maintained, how evidence is connected to the claims established from it, and how several related or overlapping digital twins can reuse the same resources and knowledge. These are not necessarily deficiencies of HDT-O. </w:t>
      </w:r>
      <w:r>
        <w:lastRenderedPageBreak/>
        <w:t>Some are deliberately outside its scope; others may indicate areas where future versions or implementation guidance could provide greater precision.</w:t>
      </w:r>
    </w:p>
    <w:p w14:paraId="7193A844" w14:textId="77777777" w:rsidR="00CE0A95" w:rsidRDefault="00000000">
      <w:pPr>
        <w:pStyle w:val="Heading3"/>
      </w:pPr>
      <w:bookmarkStart w:id="99" w:name="what-hdto-1.1-already-models-well"/>
      <w:bookmarkStart w:id="100" w:name="_Toc239495473"/>
      <w:r>
        <w:t>What HDTO 1.1 already models well</w:t>
      </w:r>
      <w:bookmarkEnd w:id="100"/>
    </w:p>
    <w:p w14:paraId="48AB329C" w14:textId="77777777" w:rsidR="00CE0A95" w:rsidRDefault="00000000">
      <w:pPr>
        <w:pStyle w:val="FirstParagraph"/>
      </w:pPr>
      <w:r>
        <w:t xml:space="preserve">The most useful feature of HDT-O for our implementation is the distinction between the </w:t>
      </w:r>
      <w:r>
        <w:rPr>
          <w:b/>
          <w:bCs/>
        </w:rPr>
        <w:t>HC1 Heritage Entity</w:t>
      </w:r>
      <w:r>
        <w:t xml:space="preserve"> and the </w:t>
      </w:r>
      <w:r>
        <w:rPr>
          <w:b/>
          <w:bCs/>
        </w:rPr>
        <w:t>HC2 Heritage Digital Twin</w:t>
      </w:r>
      <w:r>
        <w:t xml:space="preserve"> (ECHOES Project 2026). This prevents the digital representation from being confused with the heritage entity itself. The Dēliņi farmhouse remains the heritage entity even as its digital description changes, new photographs are added, erroneous statements are corrected, and new research produces further knowledge.</w:t>
      </w:r>
    </w:p>
    <w:p w14:paraId="6AC178E4" w14:textId="77777777" w:rsidR="00CE0A95" w:rsidRDefault="00000000">
      <w:pPr>
        <w:pStyle w:val="BodyText"/>
      </w:pPr>
      <w:r>
        <w:t xml:space="preserve">HDT-O also provides useful specialisations for resources encountered in practical documentation. </w:t>
      </w:r>
      <w:r>
        <w:rPr>
          <w:b/>
          <w:bCs/>
        </w:rPr>
        <w:t>HC3 Tangible Heritage Entity</w:t>
      </w:r>
      <w:r>
        <w:t xml:space="preserve"> allows physical heritage entities such as buildings and artefacts to be distinguished from their digital representations, while </w:t>
      </w:r>
      <w:r>
        <w:rPr>
          <w:b/>
          <w:bCs/>
        </w:rPr>
        <w:t>HC5 Digital Representation</w:t>
      </w:r>
      <w:r>
        <w:t xml:space="preserve"> provides a place for digital resources such as photographs (ECHOES Project 2026). This is particularly valuable in a multimodal workflow because a photograph can be represented as a resource in its own right without being confused with the object that it depicts.</w:t>
      </w:r>
    </w:p>
    <w:p w14:paraId="1B47A416" w14:textId="77777777" w:rsidR="00CE0A95" w:rsidRDefault="00000000">
      <w:pPr>
        <w:pStyle w:val="BodyText"/>
      </w:pPr>
      <w:r>
        <w:t xml:space="preserve">The representation of changing knowledge through </w:t>
      </w:r>
      <w:r>
        <w:rPr>
          <w:b/>
          <w:bCs/>
        </w:rPr>
        <w:t>HC16 Heritage Proposition Set</w:t>
      </w:r>
      <w:r>
        <w:t xml:space="preserve"> is another important strength. An HC2 does not need to be understood as one permanently fixed description. </w:t>
      </w:r>
      <w:r>
        <w:rPr>
          <w:b/>
          <w:bCs/>
        </w:rPr>
        <w:t>HP33 contains</w:t>
      </w:r>
      <w:r>
        <w:t xml:space="preserve"> identifies proposition sets forming part of the current twin, while </w:t>
      </w:r>
      <w:r>
        <w:rPr>
          <w:b/>
          <w:bCs/>
        </w:rPr>
        <w:t>HP34 contained</w:t>
      </w:r>
      <w:r>
        <w:t xml:space="preserve"> provides a relationship to former proposition sets (ECHOES Project 2026). This allows the heritage entity to remain stable while the formal knowledge maintained about it changes.</w:t>
      </w:r>
    </w:p>
    <w:p w14:paraId="266EB0FE" w14:textId="77777777" w:rsidR="00CE0A95" w:rsidRDefault="00000000">
      <w:pPr>
        <w:pStyle w:val="BodyText"/>
      </w:pPr>
      <w:r>
        <w:t xml:space="preserve">HDT-O 1.1 also provides an explicit maintenance model. </w:t>
      </w:r>
      <w:r>
        <w:rPr>
          <w:b/>
          <w:bCs/>
        </w:rPr>
        <w:t>HC11 Digital Twin Maintenance</w:t>
      </w:r>
      <w:r>
        <w:t xml:space="preserve"> gives semantic identity to activities that change or complement the twin. </w:t>
      </w:r>
      <w:r>
        <w:rPr>
          <w:b/>
          <w:bCs/>
        </w:rPr>
        <w:t>HP18 has documented</w:t>
      </w:r>
      <w:r>
        <w:t xml:space="preserve"> and </w:t>
      </w:r>
      <w:r>
        <w:rPr>
          <w:b/>
          <w:bCs/>
        </w:rPr>
        <w:t>HP19 has composed</w:t>
      </w:r>
      <w:r>
        <w:t xml:space="preserve"> connect such activities to the heritage entity and its digital twin, while </w:t>
      </w:r>
      <w:r>
        <w:rPr>
          <w:b/>
          <w:bCs/>
        </w:rPr>
        <w:t>HP30 added content</w:t>
      </w:r>
      <w:r>
        <w:t xml:space="preserve">, </w:t>
      </w:r>
      <w:r>
        <w:rPr>
          <w:b/>
          <w:bCs/>
        </w:rPr>
        <w:t>HP31 deleted content</w:t>
      </w:r>
      <w:r>
        <w:t xml:space="preserve"> and </w:t>
      </w:r>
      <w:r>
        <w:rPr>
          <w:b/>
          <w:bCs/>
        </w:rPr>
        <w:t>HP32 replaced</w:t>
      </w:r>
      <w:r>
        <w:t xml:space="preserve"> allow changes in content to be described explicitly (ECHOES Project 2026). This is important for a review-based implementation because correction does not have to mean silently overwriting previous knowledge.</w:t>
      </w:r>
    </w:p>
    <w:p w14:paraId="7F88C14F" w14:textId="77777777" w:rsidR="00CE0A95" w:rsidRDefault="00000000">
      <w:pPr>
        <w:pStyle w:val="BodyText"/>
      </w:pPr>
      <w:r>
        <w:t>Together, these concepts provide a useful lifecycle:</w:t>
      </w:r>
    </w:p>
    <w:p w14:paraId="3C6CE704" w14:textId="77777777" w:rsidR="00CE0A95" w:rsidRDefault="00000000">
      <w:pPr>
        <w:pStyle w:val="BodyText"/>
      </w:pPr>
      <w:r>
        <w:rPr>
          <w:b/>
          <w:bCs/>
        </w:rPr>
        <w:t>HC1 heritage entity → HC2 digital twin → current HC16 proposition content → HC11 maintenance → new HC16 proposition content → updated HC2</w:t>
      </w:r>
    </w:p>
    <w:p w14:paraId="38E74CE9" w14:textId="77777777" w:rsidR="00CE0A95" w:rsidRDefault="00000000">
      <w:pPr>
        <w:pStyle w:val="BodyText"/>
      </w:pPr>
      <w:r>
        <w:t>This lifecycle fits well with a Wikibase implementation in which the heritage entity has a stable operational anchor while the knowledge maintained about it can be reviewed, corrected and extended over time.</w:t>
      </w:r>
    </w:p>
    <w:p w14:paraId="1C7E52ED" w14:textId="77777777" w:rsidR="00CE0A95" w:rsidRDefault="00000000">
      <w:pPr>
        <w:pStyle w:val="Heading3"/>
      </w:pPr>
      <w:bookmarkStart w:id="101" w:name="Xaf5c23237c35e501af1063834a132b1661e0f12"/>
      <w:bookmarkStart w:id="102" w:name="_Toc239495474"/>
      <w:bookmarkEnd w:id="99"/>
      <w:r>
        <w:lastRenderedPageBreak/>
        <w:t>What the implementation framework must supply</w:t>
      </w:r>
      <w:bookmarkEnd w:id="102"/>
    </w:p>
    <w:p w14:paraId="353FFE21" w14:textId="77777777" w:rsidR="00CE0A95" w:rsidRDefault="00000000">
      <w:pPr>
        <w:pStyle w:val="FirstParagraph"/>
      </w:pPr>
      <w:r>
        <w:t>HDT-O does not by itself determine how evidence becomes accepted knowledge. For an operational Heritage Digital Twin, we therefore need an additional semantic production workflow.</w:t>
      </w:r>
    </w:p>
    <w:p w14:paraId="7304FC05" w14:textId="77777777" w:rsidR="00CE0A95" w:rsidRDefault="00000000">
      <w:pPr>
        <w:pStyle w:val="BodyText"/>
      </w:pPr>
      <w:r>
        <w:t>In our implementation this begins with evidence. Photographs, archival records, WACZ captures and external structured data are transformed with R and OpenRefine into candidate claims that can be inspected. Betwixt provides the human review boundary at which these claims can be accepted, rejected or deferred. Only accepted claims enter the stabilised knowledge from which the operational twin is maintained.</w:t>
      </w:r>
    </w:p>
    <w:p w14:paraId="21454953" w14:textId="77777777" w:rsidR="00CE0A95" w:rsidRDefault="00000000">
      <w:pPr>
        <w:pStyle w:val="BodyText"/>
      </w:pPr>
      <w:r>
        <w:t xml:space="preserve">The implementation framework must also preserve the distinction between </w:t>
      </w:r>
      <w:r>
        <w:rPr>
          <w:b/>
          <w:bCs/>
        </w:rPr>
        <w:t>evidence</w:t>
      </w:r>
      <w:r>
        <w:t xml:space="preserve">, </w:t>
      </w:r>
      <w:r>
        <w:rPr>
          <w:b/>
          <w:bCs/>
        </w:rPr>
        <w:t>domain knowledge</w:t>
      </w:r>
      <w:r>
        <w:t xml:space="preserve"> and </w:t>
      </w:r>
      <w:r>
        <w:rPr>
          <w:b/>
          <w:bCs/>
        </w:rPr>
        <w:t>provenance</w:t>
      </w:r>
      <w:r>
        <w:t xml:space="preserve">. A photograph may provide evidence for the claim that an object is a tablet-woven sash. The proposition </w:t>
      </w:r>
      <w:r>
        <w:rPr>
          <w:b/>
          <w:bCs/>
        </w:rPr>
        <w:t>object — instance of — tablet-woven sash</w:t>
      </w:r>
      <w:r>
        <w:t xml:space="preserve"> belongs to domain knowledge. The record that a particular curator used that photograph when reviewing the proposition belongs to provenance. These relationships must remain recoverable even when they are presented together in one review interface.</w:t>
      </w:r>
    </w:p>
    <w:p w14:paraId="7A1AB237" w14:textId="77777777" w:rsidR="00CE0A95" w:rsidRDefault="00000000">
      <w:pPr>
        <w:pStyle w:val="BodyText"/>
      </w:pPr>
      <w:r>
        <w:t>Wikibase supplies the operational graph in which the resulting knowledge can be maintained. Its data model provides Items, ItemDescriptions, Properties and Statements (Wikimedia Foundation 2025). Our mapping determines how these operational structures are interpreted when expressed as an HDT-O Heritage Digital Twin. This mapping deliberately avoids requiring a separate Q-item for every HDT-O entity.</w:t>
      </w:r>
    </w:p>
    <w:p w14:paraId="6D33E99B" w14:textId="77777777" w:rsidR="00CE0A95" w:rsidRDefault="00000000">
      <w:pPr>
        <w:pStyle w:val="BodyText"/>
      </w:pPr>
      <w:r>
        <w:t xml:space="preserve">The implementation must therefore also supply </w:t>
      </w:r>
      <w:r>
        <w:rPr>
          <w:b/>
          <w:bCs/>
        </w:rPr>
        <w:t>identity and graph-promotion rules</w:t>
      </w:r>
      <w:r>
        <w:t>. A heritage entity that must be independently maintained normally requires stable graph identity. A published photograph may require independent identity because it has its own provenance, rights and persistent relationships. A working RAW file may remain an identified resource in the documentation package without becoming a Q-item. Similarly, HC11 maintenance activities and HC16 proposition sets can be represented systematically from review and provenance records where independent Wikibase Item identity is unnecessary.</w:t>
      </w:r>
    </w:p>
    <w:p w14:paraId="7B95C26F" w14:textId="77777777" w:rsidR="00CE0A95" w:rsidRDefault="00000000">
      <w:pPr>
        <w:pStyle w:val="BodyText"/>
      </w:pPr>
      <w:r>
        <w:t xml:space="preserve">The implementation framework additionally supplies the rules governing </w:t>
      </w:r>
      <w:r>
        <w:rPr>
          <w:b/>
          <w:bCs/>
        </w:rPr>
        <w:t>semantic inference</w:t>
      </w:r>
      <w:r>
        <w:t>. Stabilised knowledge can be used as input to explicit inference rules or symbolic AI, but inferred results are treated as new candidate claims rather than automatically becoming accepted knowledge. Where human scrutiny is required, they return to the same review process.</w:t>
      </w:r>
    </w:p>
    <w:p w14:paraId="3B512884" w14:textId="77777777" w:rsidR="00CE0A95" w:rsidRDefault="00000000">
      <w:pPr>
        <w:pStyle w:val="BodyText"/>
      </w:pPr>
      <w:r>
        <w:t xml:space="preserve">Finally, the implementation must support </w:t>
      </w:r>
      <w:r>
        <w:rPr>
          <w:b/>
          <w:bCs/>
        </w:rPr>
        <w:t>normative inference</w:t>
      </w:r>
      <w:r>
        <w:t xml:space="preserve"> separately from domain inference. A descriptive claim that a photograph depicts a particular heritage entity does not imply that the photograph may be published, disclosed or federated. Normative conclusions require the relevant stabilised knowledge, provenance, applicable policy and contemplated action. HDT-O can provide important inputs to this process without requiring the Heritage Digital Twin ontology itself to become a complete policy language.</w:t>
      </w:r>
    </w:p>
    <w:p w14:paraId="338C2419" w14:textId="77777777" w:rsidR="00CE0A95" w:rsidRDefault="00000000">
      <w:pPr>
        <w:pStyle w:val="BodyText"/>
      </w:pPr>
      <w:r>
        <w:lastRenderedPageBreak/>
        <w:t>The resulting architecture therefore assigns different responsibilities to complementary components:</w:t>
      </w:r>
    </w:p>
    <w:p w14:paraId="2251AC40" w14:textId="77777777" w:rsidR="00CE0A95" w:rsidRDefault="00000000">
      <w:pPr>
        <w:pStyle w:val="BodyText"/>
      </w:pPr>
      <w:r>
        <w:rPr>
          <w:b/>
          <w:bCs/>
        </w:rPr>
        <w:t>HDT-O → what the Heritage Digital Twin and its principal components mean</w:t>
      </w:r>
    </w:p>
    <w:p w14:paraId="3249CC92" w14:textId="77777777" w:rsidR="00CE0A95" w:rsidRDefault="00000000">
      <w:pPr>
        <w:pStyle w:val="BodyText"/>
      </w:pPr>
      <w:r>
        <w:rPr>
          <w:b/>
          <w:bCs/>
        </w:rPr>
        <w:t>Wikibase → where operational structured knowledge is identified, maintained and queried</w:t>
      </w:r>
    </w:p>
    <w:p w14:paraId="5439D527" w14:textId="77777777" w:rsidR="00CE0A95" w:rsidRDefault="00000000">
      <w:pPr>
        <w:pStyle w:val="BodyText"/>
      </w:pPr>
      <w:r>
        <w:rPr>
          <w:b/>
          <w:bCs/>
        </w:rPr>
        <w:t>R and OpenRefine → how heterogeneous evidence and external data are prepared and reconciled</w:t>
      </w:r>
    </w:p>
    <w:p w14:paraId="49B32A62" w14:textId="77777777" w:rsidR="00CE0A95" w:rsidRDefault="00000000">
      <w:pPr>
        <w:pStyle w:val="BodyText"/>
      </w:pPr>
      <w:r>
        <w:rPr>
          <w:b/>
          <w:bCs/>
        </w:rPr>
        <w:t>Betwixt → how candidate claims are exposed to human review and review provenance is captured</w:t>
      </w:r>
    </w:p>
    <w:p w14:paraId="796DDD0C" w14:textId="77777777" w:rsidR="00CE0A95" w:rsidRDefault="00000000">
      <w:pPr>
        <w:pStyle w:val="BodyText"/>
      </w:pPr>
      <w:r>
        <w:rPr>
          <w:b/>
          <w:bCs/>
        </w:rPr>
        <w:t>explicit inference rules → how new domain and normative candidate claims are derived</w:t>
      </w:r>
    </w:p>
    <w:p w14:paraId="06C60156" w14:textId="77777777" w:rsidR="00CE0A95" w:rsidRDefault="00000000">
      <w:pPr>
        <w:pStyle w:val="BodyText"/>
      </w:pPr>
      <w:r>
        <w:t>The purpose of this division is not to extend HDT-O until it describes every part of the technical system. It is to preserve HDT-O as the semantic model of the Heritage Digital Twin while making its concepts operational in a reproducible workflow.</w:t>
      </w:r>
    </w:p>
    <w:p w14:paraId="752DE9F9" w14:textId="77777777" w:rsidR="00CE0A95" w:rsidRDefault="00000000">
      <w:pPr>
        <w:pStyle w:val="Heading3"/>
      </w:pPr>
      <w:bookmarkStart w:id="103" w:name="X4b7f54eda92e4cffde94cfbad215b73864bc2df"/>
      <w:bookmarkStart w:id="104" w:name="_Toc239495475"/>
      <w:bookmarkEnd w:id="101"/>
      <w:r>
        <w:t>Questions for further development of HDTO</w:t>
      </w:r>
      <w:bookmarkEnd w:id="104"/>
    </w:p>
    <w:p w14:paraId="7D75FC53" w14:textId="77777777" w:rsidR="00CE0A95" w:rsidRDefault="00000000">
      <w:pPr>
        <w:pStyle w:val="FirstParagraph"/>
      </w:pPr>
      <w:r>
        <w:t>The implementation nevertheless identifies several questions that may be useful for further development of HDT-O or for accompanying implementation guidance.</w:t>
      </w:r>
    </w:p>
    <w:p w14:paraId="325DFA8F" w14:textId="77777777" w:rsidR="00CE0A95" w:rsidRDefault="00000000">
      <w:pPr>
        <w:pStyle w:val="BodyText"/>
      </w:pPr>
      <w:r>
        <w:t xml:space="preserve">The first concerns </w:t>
      </w:r>
      <w:r>
        <w:rPr>
          <w:b/>
          <w:bCs/>
        </w:rPr>
        <w:t>inspection context and the boundary of a Heritage Digital Twin</w:t>
      </w:r>
      <w:r>
        <w:t xml:space="preserve">. HDT-O already provides HP3 for relationships between digital-twin components, but practical documentation also creates temporary and purpose-specific groupings that should not necessarily be interpreted as component relationships. A sash may be examined in the context of a farmhouse interior, a museum collection or a study of Livonian textiles without each inspection context redefining the identity or permanent composition of its HC2. We therefore recommend considering an explicit </w:t>
      </w:r>
      <w:r>
        <w:rPr>
          <w:b/>
          <w:bCs/>
        </w:rPr>
        <w:t>Inspection Context</w:t>
      </w:r>
      <w:r>
        <w:t xml:space="preserve"> concept in future HDT-O development or implementation guidance to represent why particular heritage entities, twins, representations and evidence were considered together for a particular purpose.</w:t>
      </w:r>
    </w:p>
    <w:p w14:paraId="5A6203E8" w14:textId="77777777" w:rsidR="00CE0A95" w:rsidRDefault="00000000">
      <w:pPr>
        <w:pStyle w:val="BodyText"/>
      </w:pPr>
      <w:r>
        <w:t xml:space="preserve">A related question concerns </w:t>
      </w:r>
      <w:r>
        <w:rPr>
          <w:b/>
          <w:bCs/>
        </w:rPr>
        <w:t>mereology</w:t>
      </w:r>
      <w:r>
        <w:t>. Physical heritage entities can have parts, and those parts may themselves be heritage entities. However, the relationship between HC1 entities does not necessarily imply the same relationship between their HC2 digital twins. If the Dēliņi farmhouse has a digital twin and the sash inside it has another digital twin, the sash’s HC2 should not necessarily become a literal part of the farmhouse’s HC2. The two twins may instead share propositions, representations or references for particular purposes. A clearer account of relationships between the twins of related heritage entities would help implementations avoid reproducing physical mereology mechanically in the digital layer.</w:t>
      </w:r>
    </w:p>
    <w:p w14:paraId="7D3CD1D0" w14:textId="77777777" w:rsidR="00CE0A95" w:rsidRDefault="00000000">
      <w:pPr>
        <w:pStyle w:val="BodyText"/>
      </w:pPr>
      <w:r>
        <w:t xml:space="preserve">A third question concerns </w:t>
      </w:r>
      <w:r>
        <w:rPr>
          <w:b/>
          <w:bCs/>
        </w:rPr>
        <w:t>digital representations and graph identity</w:t>
      </w:r>
      <w:r>
        <w:t xml:space="preserve">. In practice, documentation can produce thousands of photographs, RAW files, web captures and </w:t>
      </w:r>
      <w:r>
        <w:lastRenderedPageBreak/>
        <w:t>intermediate resources. HDT-O can describe digital representations, but an implementation still needs to determine which resources warrant persistent semantic identity. Guidance distinguishing published representations, externally maintained representations and internal working resources would make large-scale implementation more predictable.</w:t>
      </w:r>
    </w:p>
    <w:p w14:paraId="214A2667" w14:textId="77777777" w:rsidR="00CE0A95" w:rsidRDefault="00000000">
      <w:pPr>
        <w:pStyle w:val="BodyText"/>
      </w:pPr>
      <w:r>
        <w:t xml:space="preserve">A fourth question concerns </w:t>
      </w:r>
      <w:r>
        <w:rPr>
          <w:b/>
          <w:bCs/>
        </w:rPr>
        <w:t>evidence and the formation of propositions</w:t>
      </w:r>
      <w:r>
        <w:t>. HDTO provides a strong model for proposition sets and Digital Twin Maintenance, but our implementation needs to know more specifically which evidence was used to establish or review individual claims. This becomes especially important when several pieces of evidence support or contradict the same proposition. Further alignment with explicit provenance and evidence models could clarify this relationship without requiring evidence itself to be treated as accepted domain knowledge.</w:t>
      </w:r>
    </w:p>
    <w:p w14:paraId="34B0116A" w14:textId="77777777" w:rsidR="00CE0A95" w:rsidRDefault="00000000">
      <w:pPr>
        <w:pStyle w:val="BodyText"/>
      </w:pPr>
      <w:r>
        <w:t xml:space="preserve">A fifth question concerns the </w:t>
      </w:r>
      <w:r>
        <w:rPr>
          <w:b/>
          <w:bCs/>
        </w:rPr>
        <w:t>granularity of HC16 Heritage Proposition Sets</w:t>
      </w:r>
      <w:r>
        <w:t>. In an operational system, claims may be reviewed and changed individually, while HC16 represents a persistent set of propositions whose identity depends on its complete content. The implementation question is therefore how independently reviewed statement-level changes should be packaged into successive HC16 proposition sets, and when a newly produced HC16 should replace rather than simply supplement an existing proposition set. Implementation guidance would be particularly valuable for systems such as Wikibase, where statements can change independently while HDT-O proposition sets are persistent objects.</w:t>
      </w:r>
    </w:p>
    <w:p w14:paraId="6198DABC" w14:textId="77777777" w:rsidR="00CE0A95" w:rsidRDefault="00000000">
      <w:pPr>
        <w:pStyle w:val="BodyText"/>
      </w:pPr>
      <w:r>
        <w:t xml:space="preserve">Finally, the implementation raises the question of the boundary between </w:t>
      </w:r>
      <w:r>
        <w:rPr>
          <w:b/>
          <w:bCs/>
        </w:rPr>
        <w:t>descriptive knowledge and action</w:t>
      </w:r>
      <w:r>
        <w:t>. A Heritage Digital Twin can contain increasingly rich knowledge about an entity and its digital representations, but this knowledge should not automatically be interpreted as permission to publish, reuse, disclose or federate those resources. Rights and policy reasoning may therefore be best treated as a complementary normative layer that consumes selected HDT-O knowledge and provenance rather than being folded indiscriminately into the descriptive model.</w:t>
      </w:r>
    </w:p>
    <w:p w14:paraId="400C4639" w14:textId="77777777" w:rsidR="00CE0A95" w:rsidRDefault="00000000">
      <w:pPr>
        <w:pStyle w:val="BodyText"/>
      </w:pPr>
      <w:r>
        <w:t xml:space="preserve">These questions do not undermine the usefulness of HDT-O 1.1. On the contrary, they become visible because its central distinctions are sufficiently concrete to implement. The Dēliņi demonstrator suggests that </w:t>
      </w:r>
      <w:r>
        <w:rPr>
          <w:b/>
          <w:bCs/>
        </w:rPr>
        <w:t>HC1/HC2 identity, HC16 proposition content and HC11 maintenance already provide a workable core for an operational Heritage Digital Twin</w:t>
      </w:r>
      <w:r>
        <w:t>. The remaining challenge is to define disciplined interfaces between that core and the processes through which evidence is reviewed, knowledge is stabilised, related twins are federated, and decisions about subsequent actions are made.</w:t>
      </w:r>
    </w:p>
    <w:p w14:paraId="31EED013" w14:textId="77777777" w:rsidR="00CE0A95" w:rsidRDefault="00000000">
      <w:r>
        <w:br w:type="page"/>
      </w:r>
    </w:p>
    <w:p w14:paraId="31B13ACD" w14:textId="77777777" w:rsidR="00CE0A95" w:rsidRDefault="00000000">
      <w:pPr>
        <w:pStyle w:val="Heading1"/>
      </w:pPr>
      <w:bookmarkStart w:id="105" w:name="references"/>
      <w:bookmarkStart w:id="106" w:name="_Toc239495476"/>
      <w:bookmarkEnd w:id="67"/>
      <w:bookmarkEnd w:id="97"/>
      <w:bookmarkEnd w:id="103"/>
      <w:r>
        <w:lastRenderedPageBreak/>
        <w:t>References</w:t>
      </w:r>
      <w:bookmarkEnd w:id="106"/>
    </w:p>
    <w:p w14:paraId="77299267" w14:textId="77777777" w:rsidR="00CE0A95" w:rsidRDefault="00000000">
      <w:pPr>
        <w:pStyle w:val="Bibliography"/>
      </w:pPr>
      <w:bookmarkStart w:id="107" w:name="ref-antal_review_algebra_2026"/>
      <w:bookmarkStart w:id="108" w:name="refs"/>
      <w:r>
        <w:t xml:space="preserve">Antal, Daniel. 2026a. </w:t>
      </w:r>
      <w:r>
        <w:rPr>
          <w:i/>
          <w:iCs/>
        </w:rPr>
        <w:t>A Review Algebra</w:t>
      </w:r>
      <w:r>
        <w:t xml:space="preserve">. Version v20260825. Reprex. </w:t>
      </w:r>
      <w:hyperlink r:id="rId37">
        <w:r>
          <w:rPr>
            <w:rStyle w:val="Hyperlink"/>
          </w:rPr>
          <w:t>https://doi.org/10.5281/zenodo.22091484</w:t>
        </w:r>
      </w:hyperlink>
      <w:r>
        <w:t>.</w:t>
      </w:r>
    </w:p>
    <w:p w14:paraId="10E261A5" w14:textId="77777777" w:rsidR="00CE0A95" w:rsidRDefault="00000000">
      <w:pPr>
        <w:pStyle w:val="Bibliography"/>
      </w:pPr>
      <w:bookmarkStart w:id="109" w:name="ref-antal_betwixt_2026"/>
      <w:bookmarkEnd w:id="107"/>
      <w:r>
        <w:t xml:space="preserve">Antal, Daniel. 2026b. </w:t>
      </w:r>
      <w:r>
        <w:rPr>
          <w:i/>
          <w:iCs/>
        </w:rPr>
        <w:t>Betwixt</w:t>
      </w:r>
      <w:r>
        <w:t xml:space="preserve">. Version v20260825. Reprex. </w:t>
      </w:r>
      <w:hyperlink r:id="rId38">
        <w:r>
          <w:rPr>
            <w:rStyle w:val="Hyperlink"/>
          </w:rPr>
          <w:t>https://doi.org/10.5281/zenodo.22091536</w:t>
        </w:r>
      </w:hyperlink>
      <w:r>
        <w:t>.</w:t>
      </w:r>
    </w:p>
    <w:p w14:paraId="57C8C3E4" w14:textId="77777777" w:rsidR="00CE0A95" w:rsidRDefault="00000000">
      <w:pPr>
        <w:pStyle w:val="Bibliography"/>
      </w:pPr>
      <w:bookmarkStart w:id="110" w:name="ref-antal_bounded_federation_2026"/>
      <w:bookmarkEnd w:id="109"/>
      <w:r>
        <w:t xml:space="preserve">Antal, Daniel. 2026c. </w:t>
      </w:r>
      <w:r>
        <w:rPr>
          <w:i/>
          <w:iCs/>
        </w:rPr>
        <w:t>Bounded Federation: Reviewable Semantic Exchange Between Independently Governed Knowledge Graphs</w:t>
      </w:r>
      <w:r>
        <w:t xml:space="preserve">. Version v20260825. Reprex. </w:t>
      </w:r>
      <w:hyperlink r:id="rId39">
        <w:r>
          <w:rPr>
            <w:rStyle w:val="Hyperlink"/>
          </w:rPr>
          <w:t>https://doi.org/10.5281/zenodo.22091553</w:t>
        </w:r>
      </w:hyperlink>
      <w:r>
        <w:t>.</w:t>
      </w:r>
    </w:p>
    <w:p w14:paraId="4C0FF092" w14:textId="77777777" w:rsidR="00CE0A95" w:rsidRDefault="00000000">
      <w:pPr>
        <w:pStyle w:val="Bibliography"/>
      </w:pPr>
      <w:bookmarkStart w:id="111" w:name="X5818cb809cb73f1155fe70648f0437ba98d1f44"/>
      <w:bookmarkEnd w:id="110"/>
      <w:r>
        <w:t xml:space="preserve">Antal, Daniel. 2026d. </w:t>
      </w:r>
      <w:r>
        <w:rPr>
          <w:i/>
          <w:iCs/>
        </w:rPr>
        <w:t>Semantic Knowledge Production: Evidence, Provenance, and Stabilisation in Human–Computational Knowledge Systems</w:t>
      </w:r>
      <w:r>
        <w:t xml:space="preserve">. Version 20260823. Reprex. </w:t>
      </w:r>
      <w:hyperlink r:id="rId40">
        <w:r>
          <w:rPr>
            <w:rStyle w:val="Hyperlink"/>
          </w:rPr>
          <w:t>https://doi.org/10.5281/zenodo.22099068</w:t>
        </w:r>
      </w:hyperlink>
      <w:r>
        <w:t>.</w:t>
      </w:r>
    </w:p>
    <w:p w14:paraId="1A8CFCB7" w14:textId="77777777" w:rsidR="00CE0A95" w:rsidRDefault="00000000">
      <w:pPr>
        <w:pStyle w:val="Bibliography"/>
      </w:pPr>
      <w:bookmarkStart w:id="112" w:name="ref-RiC-CM_1_0"/>
      <w:bookmarkEnd w:id="111"/>
      <w:r>
        <w:t xml:space="preserve">Archives Expert Group on Archival Description, International Council on. 2023. </w:t>
      </w:r>
      <w:r>
        <w:rPr>
          <w:i/>
          <w:iCs/>
        </w:rPr>
        <w:t>Records in Contexts–Conceptual Model. Version 1.0</w:t>
      </w:r>
      <w:r>
        <w:t xml:space="preserve">. International Council on Archives. </w:t>
      </w:r>
      <w:hyperlink r:id="rId41">
        <w:r>
          <w:rPr>
            <w:rStyle w:val="Hyperlink"/>
          </w:rPr>
          <w:t>https://www.ica.org/app/uploads/2023/12/RiC-CM-1.0.pdf</w:t>
        </w:r>
      </w:hyperlink>
      <w:r>
        <w:t>.</w:t>
      </w:r>
    </w:p>
    <w:p w14:paraId="2DC7ACA2" w14:textId="77777777" w:rsidR="00CE0A95" w:rsidRDefault="00000000">
      <w:pPr>
        <w:pStyle w:val="Bibliography"/>
      </w:pPr>
      <w:bookmarkStart w:id="113" w:name="ref-cidoc_2024"/>
      <w:bookmarkEnd w:id="112"/>
      <w:r>
        <w:t xml:space="preserve">Bekiari, Chryssoula, George Bruseke, Erin Canning, et al., eds. 2024. </w:t>
      </w:r>
      <w:r>
        <w:rPr>
          <w:i/>
          <w:iCs/>
        </w:rPr>
        <w:t>Definition of the CIDOC Conceptual Reference Model</w:t>
      </w:r>
      <w:r>
        <w:t xml:space="preserve">. CIDOC CRM Special Interest Group. </w:t>
      </w:r>
      <w:hyperlink r:id="rId42">
        <w:r>
          <w:rPr>
            <w:rStyle w:val="Hyperlink"/>
          </w:rPr>
          <w:t>https://www.cidoc-crm.org/sites/default/files/cidoc_crm_version_7.2.4.pdf</w:t>
        </w:r>
      </w:hyperlink>
      <w:r>
        <w:t>.</w:t>
      </w:r>
    </w:p>
    <w:p w14:paraId="60368683" w14:textId="77777777" w:rsidR="00CE0A95" w:rsidRDefault="00000000">
      <w:pPr>
        <w:pStyle w:val="Bibliography"/>
      </w:pPr>
      <w:bookmarkStart w:id="114" w:name="ref-dublin_core_dcmi_2020"/>
      <w:bookmarkEnd w:id="113"/>
      <w:r>
        <w:t xml:space="preserve">Core, Dublin. 2020. </w:t>
      </w:r>
      <w:r>
        <w:rPr>
          <w:i/>
          <w:iCs/>
        </w:rPr>
        <w:t>DCMI Metadata Terms</w:t>
      </w:r>
      <w:r>
        <w:t xml:space="preserve">. </w:t>
      </w:r>
      <w:hyperlink r:id="rId43">
        <w:r>
          <w:rPr>
            <w:rStyle w:val="Hyperlink"/>
          </w:rPr>
          <w:t>http://dublincore.org/specifications/dublin-core/dcmi-terms/2020-01-20/</w:t>
        </w:r>
      </w:hyperlink>
      <w:r>
        <w:t>.</w:t>
      </w:r>
    </w:p>
    <w:p w14:paraId="26D32A41" w14:textId="77777777" w:rsidR="00CE0A95" w:rsidRDefault="00000000">
      <w:pPr>
        <w:pStyle w:val="Bibliography"/>
      </w:pPr>
      <w:bookmarkStart w:id="115" w:name="ref-echoes_hdto_1-1"/>
      <w:bookmarkEnd w:id="114"/>
      <w:r>
        <w:t xml:space="preserve">ECHOES Project. 2026. </w:t>
      </w:r>
      <w:r>
        <w:rPr>
          <w:i/>
          <w:iCs/>
        </w:rPr>
        <w:t>Heritage Digital Twins Ontology: First Report</w:t>
      </w:r>
      <w:r>
        <w:t xml:space="preserve">. Version 1.1. European Cloud for Heritage Open Science (ECHOES). </w:t>
      </w:r>
      <w:hyperlink r:id="rId44">
        <w:r>
          <w:rPr>
            <w:rStyle w:val="Hyperlink"/>
          </w:rPr>
          <w:t>https://echoes-eccch.github.io/HDTO-Heritage-Digital-Twin-Ontology/html/HDT_v1.1.html</w:t>
        </w:r>
      </w:hyperlink>
      <w:r>
        <w:t>.</w:t>
      </w:r>
    </w:p>
    <w:p w14:paraId="0E08D137" w14:textId="77777777" w:rsidR="00CE0A95" w:rsidRDefault="00000000">
      <w:pPr>
        <w:pStyle w:val="Bibliography"/>
      </w:pPr>
      <w:bookmarkStart w:id="116" w:name="ref-wikibase_datamodel"/>
      <w:bookmarkEnd w:id="115"/>
      <w:r>
        <w:t xml:space="preserve">Wikimedia Foundation. 2025. </w:t>
      </w:r>
      <w:r>
        <w:rPr>
          <w:i/>
          <w:iCs/>
        </w:rPr>
        <w:t>Wikibase DataModel</w:t>
      </w:r>
      <w:r>
        <w:t xml:space="preserve">. </w:t>
      </w:r>
      <w:hyperlink r:id="rId45">
        <w:r>
          <w:rPr>
            <w:rStyle w:val="Hyperlink"/>
          </w:rPr>
          <w:t>https://www.mediawiki.org/wiki/Wikibase/DataModel</w:t>
        </w:r>
      </w:hyperlink>
      <w:r>
        <w:t>.</w:t>
      </w:r>
      <w:bookmarkEnd w:id="105"/>
      <w:bookmarkEnd w:id="108"/>
      <w:bookmarkEnd w:id="116"/>
    </w:p>
    <w:sectPr w:rsidR="00CE0A9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3DC4" w14:textId="77777777" w:rsidR="00B9187E" w:rsidRDefault="00B9187E">
      <w:pPr>
        <w:spacing w:after="0"/>
      </w:pPr>
      <w:r>
        <w:separator/>
      </w:r>
    </w:p>
  </w:endnote>
  <w:endnote w:type="continuationSeparator" w:id="0">
    <w:p w14:paraId="6C26C7FC" w14:textId="77777777" w:rsidR="00B9187E" w:rsidRDefault="00B918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F9006" w14:textId="77777777" w:rsidR="00B9187E" w:rsidRDefault="00B9187E">
      <w:pPr>
        <w:spacing w:after="0"/>
      </w:pPr>
      <w:r>
        <w:separator/>
      </w:r>
    </w:p>
  </w:footnote>
  <w:footnote w:type="continuationSeparator" w:id="0">
    <w:p w14:paraId="1C7D5C60" w14:textId="77777777" w:rsidR="00B9187E" w:rsidRDefault="00B9187E">
      <w:pPr>
        <w:spacing w:after="0"/>
      </w:pPr>
      <w:r>
        <w:continuationSeparator/>
      </w:r>
    </w:p>
  </w:footnote>
  <w:footnote w:id="1">
    <w:p w14:paraId="00358295" w14:textId="77777777" w:rsidR="00CE0A95" w:rsidRDefault="00000000">
      <w:pPr>
        <w:pStyle w:val="FootnoteText"/>
      </w:pPr>
      <w:r>
        <w:rPr>
          <w:rStyle w:val="FootnoteReference"/>
        </w:rPr>
        <w:footnoteRef/>
      </w:r>
      <w:r>
        <w:t xml:space="preserve"> </w:t>
      </w:r>
      <w:r>
        <w:rPr>
          <w:i/>
          <w:iCs/>
        </w:rPr>
        <w:t>Records in Contexts–Conceptual Model</w:t>
      </w:r>
      <w:r>
        <w:t xml:space="preserve"> and </w:t>
      </w:r>
      <w:r>
        <w:rPr>
          <w:i/>
          <w:iCs/>
        </w:rPr>
        <w:t>Ontology</w:t>
      </w:r>
      <w:r>
        <w:t xml:space="preserve"> (Archives Expert Group on Archival Description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4A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1AE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85283021">
    <w:abstractNumId w:val="0"/>
  </w:num>
  <w:num w:numId="2" w16cid:durableId="1861354477">
    <w:abstractNumId w:val="1"/>
  </w:num>
  <w:num w:numId="3" w16cid:durableId="1554001506">
    <w:abstractNumId w:val="1"/>
  </w:num>
  <w:num w:numId="4" w16cid:durableId="1856730312">
    <w:abstractNumId w:val="1"/>
  </w:num>
  <w:num w:numId="5" w16cid:durableId="1916359550">
    <w:abstractNumId w:val="1"/>
  </w:num>
  <w:num w:numId="6" w16cid:durableId="898906123">
    <w:abstractNumId w:val="1"/>
  </w:num>
  <w:num w:numId="7" w16cid:durableId="1599633387">
    <w:abstractNumId w:val="1"/>
  </w:num>
  <w:num w:numId="8" w16cid:durableId="617103379">
    <w:abstractNumId w:val="1"/>
  </w:num>
  <w:num w:numId="9" w16cid:durableId="986275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95"/>
    <w:rsid w:val="00315F7F"/>
    <w:rsid w:val="005F6941"/>
    <w:rsid w:val="00B9187E"/>
    <w:rsid w:val="00CE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2E85"/>
  <w15:docId w15:val="{26F0B606-FC4C-43CB-BE04-FF1BEFB5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15F7F"/>
    <w:pPr>
      <w:spacing w:after="100"/>
    </w:pPr>
  </w:style>
  <w:style w:type="paragraph" w:styleId="TOC3">
    <w:name w:val="toc 3"/>
    <w:basedOn w:val="Normal"/>
    <w:next w:val="Normal"/>
    <w:autoRedefine/>
    <w:uiPriority w:val="39"/>
    <w:rsid w:val="00315F7F"/>
    <w:pPr>
      <w:spacing w:after="100"/>
      <w:ind w:left="480"/>
    </w:pPr>
  </w:style>
  <w:style w:type="paragraph" w:styleId="TOC2">
    <w:name w:val="toc 2"/>
    <w:basedOn w:val="Normal"/>
    <w:next w:val="Normal"/>
    <w:autoRedefine/>
    <w:uiPriority w:val="39"/>
    <w:rsid w:val="00315F7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doi.org/10.5281/zenodo.22091553" TargetMode="External"/><Relationship Id="rId21" Type="http://schemas.openxmlformats.org/officeDocument/2006/relationships/image" Target="media/image12.jpeg"/><Relationship Id="rId34" Type="http://schemas.openxmlformats.org/officeDocument/2006/relationships/hyperlink" Target="https://zenodo.org/records/22091484" TargetMode="External"/><Relationship Id="rId42" Type="http://schemas.openxmlformats.org/officeDocument/2006/relationships/hyperlink" Target="https://www.cidoc-crm.org/sites/default/files/cidoc_crm_version_7.2.4.pdf" TargetMode="External"/><Relationship Id="rId47" Type="http://schemas.openxmlformats.org/officeDocument/2006/relationships/theme" Target="theme/theme1.xml"/><Relationship Id="rId7" Type="http://schemas.openxmlformats.org/officeDocument/2006/relationships/hyperlink" Target="https://orcid.org/0000-0001-7513-6760" TargetMode="Externa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doi.org/10.5281/zenodo.22091484" TargetMode="External"/><Relationship Id="rId40" Type="http://schemas.openxmlformats.org/officeDocument/2006/relationships/hyperlink" Target="https://doi.org/10.5281/zenodo.22099068" TargetMode="External"/><Relationship Id="rId45" Type="http://schemas.openxmlformats.org/officeDocument/2006/relationships/hyperlink" Target="https://www.mediawiki.org/wiki/Wikibase/DataModel"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zenodo.org/records/22091484"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yperlink" Target="https://echoes-eccch.github.io/HDTO-Heritage-Digital-Twin-Ontology/html/HDT_v1.1.html" TargetMode="External"/><Relationship Id="rId4" Type="http://schemas.openxmlformats.org/officeDocument/2006/relationships/webSettings" Target="webSettings.xml"/><Relationship Id="rId9" Type="http://schemas.openxmlformats.org/officeDocument/2006/relationships/hyperlink" Target="https://reprex.nl/contact/"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zenodo.org/records/22099068" TargetMode="External"/><Relationship Id="rId43" Type="http://schemas.openxmlformats.org/officeDocument/2006/relationships/hyperlink" Target="http://dublincore.org/specifications/dublin-core/dcmi-terms/2020-01-20/" TargetMode="External"/><Relationship Id="rId8" Type="http://schemas.openxmlformats.org/officeDocument/2006/relationships/hyperlink" Target="https://scholar.google.com/citations?hl=en&amp;user=Is3IOGEAAAAJ"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zenodo.org/records/22099068" TargetMode="External"/><Relationship Id="rId38" Type="http://schemas.openxmlformats.org/officeDocument/2006/relationships/hyperlink" Target="https://doi.org/10.5281/zenodo.22091536" TargetMode="External"/><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hyperlink" Target="https://www.ica.org/app/uploads/2023/12/RiC-CM-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53</Pages>
  <Words>17033</Words>
  <Characters>97090</Characters>
  <Application>Microsoft Office Word</Application>
  <DocSecurity>0</DocSecurity>
  <Lines>809</Lines>
  <Paragraphs>227</Paragraphs>
  <ScaleCrop>false</ScaleCrop>
  <Company/>
  <LinksUpToDate>false</LinksUpToDate>
  <CharactersWithSpaces>113896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Constructing a Heritage Digital Twin of the Dēliņi Farmstead</dc:title>
  <dc:creator>Daniel Antal</dc:creator>
  <cp:keywords/>
  <cp:lastModifiedBy>Daniel Antal</cp:lastModifiedBy>
  <cp:revision>2</cp:revision>
  <dcterms:created xsi:type="dcterms:W3CDTF">2026-09-05T08:13:00Z</dcterms:created>
  <dcterms:modified xsi:type="dcterms:W3CDTF">2026-09-05T08:13:00Z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editor">
    <vt:lpwstr>source</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@cidoc_2024, @dublin_core_dcmi_2020, @echoes_hdto_1-1</vt:lpwstr>
  </property>
  <property fmtid="{D5CDD505-2E9C-101B-9397-08002B2CF9AE}" pid="16" name="papersize">
    <vt:lpwstr>A4</vt:lpwstr>
  </property>
  <property fmtid="{D5CDD505-2E9C-101B-9397-08002B2CF9AE}" pid="17" name="subtitle">
    <vt:lpwstr>Discussion paper (2026-08-26)</vt:lpwstr>
  </property>
  <property fmtid="{D5CDD505-2E9C-101B-9397-08002B2CF9AE}" pid="18" name="toc-title">
    <vt:lpwstr>Table of contents</vt:lpwstr>
  </property>
</Properties>
</file>