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E2761"/>
          <w:sz w:val="56"/>
          <w:szCs w:val="56"/>
        </w:rPr>
        <w:t xml:space="preserve">BackOfficePilot</w:t>
      </w:r>
    </w:p>
    <w:p>
      <w:pPr>
        <w:spacing w:after="240"/>
        <w:jc w:val="center"/>
      </w:pPr>
      <w:r>
        <w:rPr>
          <w:color w:val="1E2761"/>
          <w:sz w:val="28"/>
          <w:szCs w:val="28"/>
        </w:rPr>
        <w:t xml:space="preserve">Multi-Model AI Agents for the BFSI Back-Office</w:t>
      </w:r>
    </w:p>
    <w:p>
      <w:pPr>
        <w:spacing w:after="480"/>
        <w:jc w:val="center"/>
      </w:pPr>
      <w:r>
        <w:rPr>
          <w:i/>
          <w:iCs/>
          <w:color w:val="595959"/>
          <w:sz w:val="22"/>
          <w:szCs w:val="22"/>
        </w:rPr>
        <w:t xml:space="preserve">Founder &amp; Proposal Document</w:t>
      </w:r>
    </w:p>
    <w:p>
      <w:pPr>
        <w:jc w:val="center"/>
      </w:pPr>
      <w:r>
        <w:rPr>
          <w:sz w:val="22"/>
          <w:szCs w:val="22"/>
        </w:rPr>
        <w:t xml:space="preserve">Prepared for: Y Combinator | Anthropic × AWS Agentic AI Accelerator</w:t>
      </w:r>
    </w:p>
    <w:p>
      <w:pPr>
        <w:spacing w:after="240"/>
        <w:jc w:val="center"/>
      </w:pPr>
      <w:r>
        <w:rPr>
          <w:sz w:val="22"/>
          <w:szCs w:val="22"/>
        </w:rPr>
        <w:t xml:space="preserve">Author: AJ · May 2026</w:t>
      </w:r>
    </w:p>
    <w:p>
      <w:r>
        <w:br w:type="page"/>
      </w:r>
    </w:p>
    <w:p>
      <w:pPr>
        <w:pStyle w:val="Heading1"/>
      </w:pPr>
      <w:r>
        <w:t xml:space="preserve">1. Executive Summary</w:t>
      </w:r>
    </w:p>
    <w:p>
      <w:r>
        <w:t xml:space="preserve">BackOfficePilot is a multi-model agentic automation platform for banking, financial services, and insurance (BFSI) back-offices. We pair Anthropic’s Claude Opus 4.6 — the strongest available reasoning model — with Amazon Nova Act, the production-grade UI execution agent that reached GA in December 2025. Opus reasons over policy, business rules, and exceptions; Nova Act drives the actual clicks, keystrokes, and form-fills on legacy ERPs, banking portals, and accounting systems. The result is a single agent that can run an end-to-end invoice reconciliation, KYC review, or loan-application workflow — unattended — across systems that have no APIs and no appetite for replacement.</w:t>
      </w:r>
    </w:p>
    <w:p>
      <w:r>
        <w:t xml:space="preserve">This is not another RPA tool. RPA records macros against pixel-perfect UIs and shatters the moment a button moves. SaaS copilots help humans type faster but never own the work. Generalist agents either hallucinate their way through compliance reasoning or are too expensive to run for hours at a time on a $30 invoice. BackOfficePilot occupies the gap: an Opus brain that genuinely understands a sanctions-screening policy or a three-way match, married to a Nova Act body that executes the resulting plan cheaply and reliably.</w:t>
      </w:r>
    </w:p>
    <w:p>
      <w:r>
        <w:t xml:space="preserve">Our wedge is the mid-market BFSI segment — community banks, regional insurers, asset managers with $500M–$50B AUM, and fintechs scaling past their first compliance hire. These firms run on legacy ERPs (NetSuite, Sage Intacct, in-house core banking) and shared-drive spreadsheets. They have manual processes that consume 20–40% of operating payroll but no in-house AI team to fix it. The big-four consultants ignore them; UiPath sells them tools they cannot operate.</w:t>
      </w:r>
    </w:p>
    <w:p>
      <w:r>
        <w:t xml:space="preserve">We are seeking acceptance into the Anthropic × AWS Agentic AI Accelerator — $50,000 in AWS credits and $20,000 in Anthropic credits — plus a Y Combinator track to follow. In three weeks of solo-founder build time we will ship a pilot-ready invoice reconciliation agent on a real or sandboxed mid-market bank workflow. The accelerator credits cover the first 12 months of compute. The accelerator network unlocks two paid pilots. From there, we follow the services-as-software playbook: outcome-based pricing, embedded delivery, and expansion across the BFSI back-office stack.</w:t>
      </w:r>
    </w:p>
    <w:p>
      <w:r>
        <w:t xml:space="preserve"/>
      </w:r>
    </w:p>
    <w:p>
      <w:r>
        <w:rPr>
          <w:b/>
          <w:bCs/>
        </w:rPr>
        <w:t xml:space="preserve">Key facts:</w:t>
      </w:r>
    </w:p>
    <w:p>
      <w:pPr>
        <w:pStyle w:val="ListParagraph"/>
        <w:numPr>
          <w:ilvl w:val="0"/>
          <w:numId w:val="2"/>
        </w:numPr>
      </w:pPr>
      <w:r>
        <w:t xml:space="preserve">AP automation market grows from $6.94B (2026) to $12.46B (2031). BFSI is the leading vertical at 34.4% share.</w:t>
      </w:r>
    </w:p>
    <w:p>
      <w:pPr>
        <w:pStyle w:val="ListParagraph"/>
        <w:numPr>
          <w:ilvl w:val="0"/>
          <w:numId w:val="2"/>
        </w:numPr>
      </w:pPr>
      <w:r>
        <w:t xml:space="preserve">Nova Act production pricing: $4.75 per agent-hour. Claude Opus 4.6: $5/$25 per million input/output tokens, with 50% Batch API discount and 90% prompt-cache reads.</w:t>
      </w:r>
    </w:p>
    <w:p>
      <w:pPr>
        <w:pStyle w:val="ListParagraph"/>
        <w:numPr>
          <w:ilvl w:val="0"/>
          <w:numId w:val="2"/>
        </w:numPr>
      </w:pPr>
      <w:r>
        <w:t xml:space="preserve">Single founder + multi-model orchestration is the leverage thesis: one engineer ships what a 10-person RPA team shipped in 2022.</w:t>
      </w:r>
    </w:p>
    <w:p>
      <w:pPr>
        <w:pStyle w:val="ListParagraph"/>
        <w:numPr>
          <w:ilvl w:val="0"/>
          <w:numId w:val="2"/>
        </w:numPr>
      </w:pPr>
      <w:r>
        <w:t xml:space="preserve">Target: two paid pilots by end of accelerator (Q3 2026). $1.2M ARR by end of Year 2. Series A readiness by Q4 2027.</w:t>
      </w:r>
    </w:p>
    <w:p>
      <w:r>
        <w:br w:type="page"/>
      </w:r>
    </w:p>
    <w:p>
      <w:pPr>
        <w:pStyle w:val="Heading1"/>
      </w:pPr>
      <w:r>
        <w:t xml:space="preserve">2. The Problem: BFSI Back-Office Is Quietly Hemorrhaging Money</w:t>
      </w:r>
    </w:p>
    <w:p>
      <w:pPr>
        <w:pStyle w:val="Heading2"/>
      </w:pPr>
      <w:r>
        <w:t xml:space="preserve">2.1 The Mid-Market Trap</w:t>
      </w:r>
    </w:p>
    <w:p>
      <w:r>
        <w:t xml:space="preserve">Walk through the operations floor of a typical $5B-asset community bank, a regional health insurer’s premium billing department, or a mid-sized asset manager’s fund accounting team. You will find the same pattern: a workforce of competent, expensive humans copying numbers between systems that do not talk to each other.</w:t>
      </w:r>
    </w:p>
    <w:p>
      <w:r>
        <w:t xml:space="preserve">A loan operations clerk pulls a PDF application from email, types data into the lending CRM, opens a credit bureau portal in another tab, screenshots the report, attaches it to a SharePoint folder, and emails the underwriter. A reconciliation analyst exports a bank statement to Excel, exports the general ledger to another Excel, and runs VLOOKUPs to find breaks. A KYC reviewer opens a customer’s onboarding packet, screens them against OFAC and adverse-media sources in three separate web tools, and writes a memo summarizing what they found.</w:t>
      </w:r>
    </w:p>
    <w:p>
      <w:r>
        <w:t xml:space="preserve">Each of these workflows takes between 15 minutes and 4 hours per case. Each is rule-bound enough that a competent new hire learns it in days. None has been automated, because:</w:t>
      </w:r>
    </w:p>
    <w:p>
      <w:pPr>
        <w:pStyle w:val="ListParagraph"/>
        <w:numPr>
          <w:ilvl w:val="0"/>
          <w:numId w:val="2"/>
        </w:numPr>
      </w:pPr>
      <w:r>
        <w:t xml:space="preserve">The systems involved have no public APIs, or APIs that require a six-figure integration project.</w:t>
      </w:r>
    </w:p>
    <w:p>
      <w:pPr>
        <w:pStyle w:val="ListParagraph"/>
        <w:numPr>
          <w:ilvl w:val="0"/>
          <w:numId w:val="2"/>
        </w:numPr>
      </w:pPr>
      <w:r>
        <w:t xml:space="preserve">The rules live in PDFs, training manuals, and the heads of senior staff — not in code.</w:t>
      </w:r>
    </w:p>
    <w:p>
      <w:pPr>
        <w:pStyle w:val="ListParagraph"/>
        <w:numPr>
          <w:ilvl w:val="0"/>
          <w:numId w:val="2"/>
        </w:numPr>
      </w:pPr>
      <w:r>
        <w:t xml:space="preserve">Volume is high enough to be painful but not high enough to justify a custom build.</w:t>
      </w:r>
    </w:p>
    <w:p>
      <w:pPr>
        <w:pStyle w:val="ListParagraph"/>
        <w:numPr>
          <w:ilvl w:val="0"/>
          <w:numId w:val="2"/>
        </w:numPr>
      </w:pPr>
      <w:r>
        <w:t xml:space="preserve">Compliance and audit requirements scare leadership away from “black-box AI.”</w:t>
      </w:r>
    </w:p>
    <w:p>
      <w:pPr>
        <w:pStyle w:val="Heading2"/>
      </w:pPr>
      <w:r>
        <w:t xml:space="preserve">2.2 Why Existing Solutions Fail Mid-Market BFSI</w:t>
      </w:r>
    </w:p>
    <w:p>
      <w:r>
        <w:t xml:space="preserve">Four categories of incumbent solutions exist. None of them fully serves this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Category</w:t>
            </w:r>
          </w:p>
        </w:tc>
        <w:tc>
          <w:tcPr>
            <w:tcW w:type="dxa" w:w="340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What they offer</w:t>
            </w:r>
          </w:p>
        </w:tc>
        <w:tc>
          <w:tcPr>
            <w:tcW w:type="dxa" w:w="376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Why they fail mid-market BFSI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Big-4 Consultants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Bespoke transformation projects, custom code, change management.</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$2M+ engagements; 18-month timelines; leave nothing automated when they go.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Enterprise RPA (UiPath, Blue Prism, Automation Anywhere)</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Bot designers, orchestrators, AI add-ons. Per-bot licensing.</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Brittle screen-scraping; needs in-house RPA team to maintain; per-bot license model penalizes the customer for scaling.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Copilot / SaaS AI</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In-app chat assistants and document summarizers.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Help an analyst type faster. Do not own the work, do not run unattended, do not cross systems.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Generalist Agent Startups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“Auto-GPT for everything” wrappers around a single foundation model.</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Either hallucinate on compliance reasoning or burn $20 of Opus tokens to fill one form. No vertical depth.</w:t>
            </w:r>
          </w:p>
        </w:tc>
      </w:tr>
    </w:tbl>
    <w:p>
      <w:r>
        <w:t xml:space="preserve"/>
      </w:r>
    </w:p>
    <w:p>
      <w:pPr>
        <w:pStyle w:val="Heading2"/>
      </w:pPr>
      <w:r>
        <w:t xml:space="preserve">2.3 The Cost of Inaction</w:t>
      </w:r>
    </w:p>
    <w:p>
      <w:r>
        <w:t xml:space="preserve">The aggregate damage is staggering. McKinsey, Infosys BPM, and Automation Anywhere converge on a consistent picture for mid-market BFSI back-offices:</w:t>
      </w:r>
    </w:p>
    <w:p>
      <w:pPr>
        <w:pStyle w:val="ListParagraph"/>
        <w:numPr>
          <w:ilvl w:val="0"/>
          <w:numId w:val="2"/>
        </w:numPr>
      </w:pPr>
      <w:r>
        <w:t xml:space="preserve">20–40% of operating payroll is consumed by manual back-office workflows.</w:t>
      </w:r>
    </w:p>
    <w:p>
      <w:pPr>
        <w:pStyle w:val="ListParagraph"/>
        <w:numPr>
          <w:ilvl w:val="0"/>
          <w:numId w:val="2"/>
        </w:numPr>
      </w:pPr>
      <w:r>
        <w:t xml:space="preserve">KYC/AML reviews cost $15–$60 per case; a mid-sized bank runs tens of thousands per year.</w:t>
      </w:r>
    </w:p>
    <w:p>
      <w:pPr>
        <w:pStyle w:val="ListParagraph"/>
        <w:numPr>
          <w:ilvl w:val="0"/>
          <w:numId w:val="2"/>
        </w:numPr>
      </w:pPr>
      <w:r>
        <w:t xml:space="preserve">Loan operations error rates of 3–6% drive denial of accurate claims and regulatory write-ups.</w:t>
      </w:r>
    </w:p>
    <w:p>
      <w:pPr>
        <w:pStyle w:val="ListParagraph"/>
        <w:numPr>
          <w:ilvl w:val="0"/>
          <w:numId w:val="2"/>
        </w:numPr>
      </w:pPr>
      <w:r>
        <w:t xml:space="preserve">Account reconciliation breaks consume 10–15% of finance team time and delay close cycles by 2–3 days.</w:t>
      </w:r>
    </w:p>
    <w:p>
      <w:pPr>
        <w:pStyle w:val="ListParagraph"/>
        <w:numPr>
          <w:ilvl w:val="0"/>
          <w:numId w:val="2"/>
        </w:numPr>
      </w:pPr>
      <w:r>
        <w:t xml:space="preserve">Staff attrition in operations roles is 25–35% annually — institutional knowledge walks out the door every quarter.</w:t>
      </w:r>
    </w:p>
    <w:p>
      <w:r>
        <w:t xml:space="preserve">This is the problem that has resisted every previous wave of automation. It is also the problem that finally became tractable in late 2025, when two technical preconditions clicked into place simultaneously.</w:t>
      </w:r>
    </w:p>
    <w:p>
      <w:r>
        <w:br w:type="page"/>
      </w:r>
    </w:p>
    <w:p>
      <w:pPr>
        <w:pStyle w:val="Heading1"/>
      </w:pPr>
      <w:r>
        <w:t xml:space="preserve">3. Why Now: The Two Preconditions Just Landed</w:t>
      </w:r>
    </w:p>
    <w:p>
      <w:r>
        <w:t xml:space="preserve">BackOfficePilot is not a thesis we could have executed in 2024. The reason it is buildable now — by one engineer in three weeks — is that two technologies reached production reliability in the last six months.</w:t>
      </w:r>
    </w:p>
    <w:p>
      <w:pPr>
        <w:pStyle w:val="Heading2"/>
      </w:pPr>
      <w:r>
        <w:t xml:space="preserve">3.1 Claude Opus 4.6 — Reasoning Cheap Enough to Run in a Loop</w:t>
      </w:r>
    </w:p>
    <w:p>
      <w:r>
        <w:t xml:space="preserve">Opus 4.6 became the first model where compliance-grade reasoning is both available and affordable for automation. At $5/$25 per million input/output tokens — with 90% discount on cached prompt prefixes and 50% on Batch API — a full audit-ready compliance check on a single transaction costs around $0.04. Crucially, Opus can read a 47-page underwriting policy, compare it against an applicant’s file, and produce a structured decision with a defensible explanation. That has not been true of any other model class at this price point.</w:t>
      </w:r>
    </w:p>
    <w:p>
      <w:pPr>
        <w:pStyle w:val="Heading2"/>
      </w:pPr>
      <w:r>
        <w:t xml:space="preserve">3.2 Amazon Nova Act — UI Execution That Actually Works at Scale</w:t>
      </w:r>
    </w:p>
    <w:p>
      <w:r>
        <w:t xml:space="preserve">Nova Act went GA on December 2, 2025, after a year of preview iteration. At $4.75 per agent-hour, it is the first production-priced UI-agent service from a major cloud, designed specifically for unattended workflows on browser and desktop applications. Nova Act’s breakthrough is its two-tier architecture: a planning model decomposes high-level instructions into short, deterministic UI actions, and an execution model carries them out with self-correction. The reliability gap between Nova Act and pure vision-based agents (Selenium, generic browser-use libraries) is roughly 50× on production workflows.</w:t>
      </w:r>
    </w:p>
    <w:p>
      <w:pPr>
        <w:pStyle w:val="Heading2"/>
      </w:pPr>
      <w:r>
        <w:t xml:space="preserve">3.3 The Accelerator Window</w:t>
      </w:r>
    </w:p>
    <w:p>
      <w:r>
        <w:t xml:space="preserve">The Anthropic × AWS Agentic AI Accelerator launched in early 2026 with a June 26 kickoff in Bengaluru and a working-prototype requirement for the second credit tranche. The $50K AWS + $20K Anthropic credit bundle covers exactly the two services BackOfficePilot needs, and the program’s mentorship pipeline includes Nova Act’s product team. Few moments will line up this well again.</w:t>
      </w:r>
    </w:p>
    <w:p>
      <w:pPr>
        <w:pStyle w:val="Heading2"/>
      </w:pPr>
      <w:r>
        <w:t xml:space="preserve">3.4 A Customer Base Ready to Pay</w:t>
      </w:r>
    </w:p>
    <w:p>
      <w:r>
        <w:t xml:space="preserve">Mid-market BFSI firms emerged from the 2023–24 banking stress cycle with three new pressures: tighter regulatory examinations (CFPB, OCC, state insurance commissioners), eroding net interest margin demanding cost cuts, and aging back-office staff retiring without succession. The buyer who would not return our call in 2023 now has a board-level mandate to reduce back-office cost-to-serve by 20% without weakening compliance. That is exactly the outcome BackOfficePilot is built to deliver.</w:t>
      </w:r>
    </w:p>
    <w:p>
      <w:r>
        <w:br w:type="page"/>
      </w:r>
    </w:p>
    <w:p>
      <w:pPr>
        <w:pStyle w:val="Heading1"/>
      </w:pPr>
      <w:r>
        <w:t xml:space="preserve">4. The BackOfficePilot Solution</w:t>
      </w:r>
    </w:p>
    <w:p>
      <w:pPr>
        <w:pStyle w:val="Heading2"/>
      </w:pPr>
      <w:r>
        <w:t xml:space="preserve">4.1 What It Is</w:t>
      </w:r>
    </w:p>
    <w:p>
      <w:r>
        <w:t xml:space="preserve">BackOfficePilot is a multi-model agentic automation platform. A customer hires us, or buys our software, to take over a defined back-office workflow — say, daily account reconciliation. We deploy a specialized agent that runs that workflow unattended, end-to-end, on the customer’s existing systems, with full audit logging, exception handoff to humans, and outcome-based pricing tied to documented savings.</w:t>
      </w:r>
    </w:p>
    <w:p>
      <w:pPr>
        <w:pStyle w:val="Heading2"/>
      </w:pPr>
      <w:r>
        <w:t xml:space="preserve">4.2 The Two-Brain Architecture in One Paragraph</w:t>
      </w:r>
    </w:p>
    <w:p>
      <w:r>
        <w:t xml:space="preserve">Every BackOfficePilot agent has two brains. Claude Opus 4.6 is the Reasoner: it reads policy documents, interprets exceptions, decides what should happen next, and produces a structured plan. Amazon Nova Act is the Executor: it takes the plan and operates the customer’s applications — logging in, clicking, typing, reading values, downloading files — with a reliability profile suited to production. An orchestration layer mediates between them, handling memory, audit trails, human escalation, and cost controls. The reasoning and execution loops are deliberately separated because the right model for each job is radically different. We expand on this in Section 5.</w:t>
      </w:r>
    </w:p>
    <w:p>
      <w:pPr>
        <w:pStyle w:val="Heading2"/>
      </w:pPr>
      <w:r>
        <w:t xml:space="preserve">4.3 What Makes It Different</w:t>
      </w:r>
    </w:p>
    <w:p>
      <w:pPr>
        <w:pStyle w:val="ListParagraph"/>
        <w:numPr>
          <w:ilvl w:val="0"/>
          <w:numId w:val="2"/>
        </w:numPr>
      </w:pPr>
      <w:r>
        <w:t xml:space="preserve">Multi-model by design. Not a thin wrapper on one foundation model. The reasoning model and execution model are picked for fitness; the cost and reliability advantages compound.</w:t>
      </w:r>
    </w:p>
    <w:p>
      <w:pPr>
        <w:pStyle w:val="ListParagraph"/>
        <w:numPr>
          <w:ilvl w:val="0"/>
          <w:numId w:val="2"/>
        </w:numPr>
      </w:pPr>
      <w:r>
        <w:t xml:space="preserve">Vertical-first. BFSI back-office only, in the first 18 months. We build a library of compliance-aware playbooks (KYC, three-way match, sanctions screening, fund accounting reconciliation) that ship with every agent.</w:t>
      </w:r>
    </w:p>
    <w:p>
      <w:pPr>
        <w:pStyle w:val="ListParagraph"/>
        <w:numPr>
          <w:ilvl w:val="0"/>
          <w:numId w:val="2"/>
        </w:numPr>
      </w:pPr>
      <w:r>
        <w:t xml:space="preserve">Outcome-priced. Customers pay for documented savings, not seats. This aligns incentives and short-circuits the procurement gauntlet that kills RPA deals.</w:t>
      </w:r>
    </w:p>
    <w:p>
      <w:pPr>
        <w:pStyle w:val="ListParagraph"/>
        <w:numPr>
          <w:ilvl w:val="0"/>
          <w:numId w:val="2"/>
        </w:numPr>
      </w:pPr>
      <w:r>
        <w:t xml:space="preserve">Leave-behind. The agent runs in the customer’s tenant after the engagement. We are not a hosted RPA tool the customer has to log into.</w:t>
      </w:r>
    </w:p>
    <w:p>
      <w:pPr>
        <w:pStyle w:val="ListParagraph"/>
        <w:numPr>
          <w:ilvl w:val="0"/>
          <w:numId w:val="2"/>
        </w:numPr>
      </w:pPr>
      <w:r>
        <w:t xml:space="preserve">Audit-native. Every action by every agent is logged with a structured “reasoning trace” from Opus and an action trace from Nova Act. This is what makes the platform defensible in BFSI: it produces better audit evidence than the human process it replaces.</w:t>
      </w:r>
    </w:p>
    <w:p>
      <w:pPr>
        <w:pStyle w:val="Heading2"/>
      </w:pPr>
      <w:r>
        <w:t xml:space="preserve">4.4 Initial Workflow Library (BFSI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Workflow</w:t>
            </w:r>
          </w:p>
        </w:tc>
        <w:tc>
          <w:tcPr>
            <w:tcW w:type="dxa" w:w="240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Customer pain</w:t>
            </w:r>
          </w:p>
        </w:tc>
        <w:tc>
          <w:tcPr>
            <w:tcW w:type="dxa" w:w="240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Opus role</w:t>
            </w:r>
          </w:p>
        </w:tc>
        <w:tc>
          <w:tcPr>
            <w:tcW w:type="dxa" w:w="216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Nova Act role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Invoice reconciliation (3-way match)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Finance team spends 10–20 hrs/week matching invoices to POs and payments across ERP + bank.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Decide match logic, resolve fuzzy matches, classify exceptions, narrate decisions.</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Export ledgers; open ERP; populate journal entries; download receipts.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KYC / sanctions screening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New-customer onboarding takes 2–4 days, reviewer cost $40–$80 per case.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Interpret policy, score risk, write a defensible review memo for the BSA officer.</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Pull customer docs; run OFAC, PEP, and adverse-media searches; capture screenshots.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Loan application processing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Loan officer hand-keys data from PDF applications into lending CRM.</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Extract structured data from PDF, validate against underwriting policy, flag exceptions.</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Open lending CRM; fill ~120 fields; attach documents; route for approval.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Account / cash reconciliation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Daily ledger vs. bank statement matching, takes 2–4 hrs each morning, delays close.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Resolve fuzzy timing differences, categorize exceptions, propose adjusting entries.</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Download bank file; pull GL; post matched entries; flag breaks to analyst.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Regulatory filing prep (Call Reports, MCR)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Quarterly compliance scramble; one full-time employee for two weeks.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Apply schedule definitions to GL data, reconcile prior-period adjustments, draft narrative.</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Pull from core banking system; populate filing portal; capture submission receipt.</w:t>
            </w:r>
          </w:p>
        </w:tc>
      </w:tr>
    </w:tbl>
    <w:p>
      <w:r>
        <w:t xml:space="preserve"/>
      </w:r>
    </w:p>
    <w:p>
      <w:r>
        <w:t xml:space="preserve">We ship Invoice Reconciliation first — it is the broadest, highest-volume, lowest-PII workflow, ideal for a 3-week MVP demo (see Section 8).</w:t>
      </w:r>
    </w:p>
    <w:p>
      <w:r>
        <w:br w:type="page"/>
      </w:r>
    </w:p>
    <w:p>
      <w:pPr>
        <w:pStyle w:val="Heading1"/>
      </w:pPr>
      <w:r>
        <w:t xml:space="preserve">5. Multi-Model Orchestration: The Core Innovation</w:t>
      </w:r>
    </w:p>
    <w:p>
      <w:r>
        <w:t xml:space="preserve">This section is the heart of BackOfficePilot’s technical differentiation. A separate design document goes deeper on the engineering details; here we present the strategic logic.</w:t>
      </w:r>
    </w:p>
    <w:p>
      <w:pPr>
        <w:pStyle w:val="Heading2"/>
      </w:pPr>
      <w:r>
        <w:t xml:space="preserve">5.1 Why Two Models, Not One</w:t>
      </w:r>
    </w:p>
    <w:p>
      <w:r>
        <w:t xml:space="preserve">The temptation in 2026 is to assume one large foundation model can do everything. For agentic back-office workflows this is wrong on three dimensions:</w:t>
      </w:r>
    </w:p>
    <w:p>
      <w:pPr>
        <w:pStyle w:val="ListParagraph"/>
        <w:numPr>
          <w:ilvl w:val="0"/>
          <w:numId w:val="2"/>
        </w:numPr>
      </w:pPr>
      <w:r>
        <w:t xml:space="preserve">Cost. An invoice reconciliation involves perhaps 200 UI interactions but only 5–10 genuine reasoning decisions. If a $25-per-million-output-tokens model produces every keystroke, the unit economics break. If a $4.75/hr executor handles the 200 interactions and only escalates decisions to the reasoner, costs collapse by 10–20×.</w:t>
      </w:r>
    </w:p>
    <w:p>
      <w:pPr>
        <w:pStyle w:val="ListParagraph"/>
        <w:numPr>
          <w:ilvl w:val="0"/>
          <w:numId w:val="2"/>
        </w:numPr>
      </w:pPr>
      <w:r>
        <w:t xml:space="preserve">Latency. UI execution must be sub-second per step. A reasoning model with multi-second latency cannot drive a form-fill loop. A purpose-built executor can.</w:t>
      </w:r>
    </w:p>
    <w:p>
      <w:pPr>
        <w:pStyle w:val="ListParagraph"/>
        <w:numPr>
          <w:ilvl w:val="0"/>
          <w:numId w:val="2"/>
        </w:numPr>
      </w:pPr>
      <w:r>
        <w:t xml:space="preserve">Reliability. Reasoning models are probabilistic by design — the very feature that makes them good at policy interpretation makes them unreliable when asked to click a fixed button 200 times in a row. Nova Act’s deterministic action decomposition is engineered specifically for this.</w:t>
      </w:r>
    </w:p>
    <w:p>
      <w:pPr>
        <w:pStyle w:val="Heading2"/>
      </w:pPr>
      <w:r>
        <w:t xml:space="preserve">5.2 The Handoff Protocol</w:t>
      </w:r>
    </w:p>
    <w:p>
      <w:r>
        <w:t xml:space="preserve">BackOfficePilot agents follow a deliberate loop:</w:t>
      </w:r>
    </w:p>
    <w:p>
      <w:pPr>
        <w:pStyle w:val="ListParagraph"/>
        <w:numPr>
          <w:ilvl w:val="0"/>
          <w:numId w:val="2"/>
        </w:numPr>
      </w:pPr>
      <w:r>
        <w:rPr>
          <w:b/>
          <w:bCs/>
        </w:rPr>
        <w:t xml:space="preserve">Plan: </w:t>
      </w:r>
      <w:r>
        <w:t xml:space="preserve">Opus reads the workflow definition, the customer’s policies, and the current state. It produces a structured plan as JSON — a sequence of high-level subtasks with success criteria.</w:t>
      </w:r>
    </w:p>
    <w:p>
      <w:pPr>
        <w:pStyle w:val="ListParagraph"/>
        <w:numPr>
          <w:ilvl w:val="0"/>
          <w:numId w:val="2"/>
        </w:numPr>
      </w:pPr>
      <w:r>
        <w:rPr>
          <w:b/>
          <w:bCs/>
        </w:rPr>
        <w:t xml:space="preserve">Execute: </w:t>
      </w:r>
      <w:r>
        <w:t xml:space="preserve">Each subtask is dispatched to Nova Act with a natural-language instruction (“Download the August statement from the Treasury Management portal”) plus structured parameters. Nova Act decomposes this into UI actions, executes them, and returns a result object (success / failure / observed values).</w:t>
      </w:r>
    </w:p>
    <w:p>
      <w:pPr>
        <w:pStyle w:val="ListParagraph"/>
        <w:numPr>
          <w:ilvl w:val="0"/>
          <w:numId w:val="2"/>
        </w:numPr>
      </w:pPr>
      <w:r>
        <w:rPr>
          <w:b/>
          <w:bCs/>
        </w:rPr>
        <w:t xml:space="preserve">Reconcile: </w:t>
      </w:r>
      <w:r>
        <w:t xml:space="preserve">Opus reads Nova Act’s result, checks it against the plan’s success criteria, and decides whether to advance, retry, or escalate. This step is where exceptions are caught — a $9,847.23 payment that should match a $9,847.32 invoice, for instance, is precisely the kind of fuzzy decision Opus excels at.</w:t>
      </w:r>
    </w:p>
    <w:p>
      <w:pPr>
        <w:pStyle w:val="ListParagraph"/>
        <w:numPr>
          <w:ilvl w:val="0"/>
          <w:numId w:val="2"/>
        </w:numPr>
      </w:pPr>
      <w:r>
        <w:rPr>
          <w:b/>
          <w:bCs/>
        </w:rPr>
        <w:t xml:space="preserve">Narrate: </w:t>
      </w:r>
      <w:r>
        <w:t xml:space="preserve">Every loop iteration produces a human-readable audit log entry. This becomes the customer’s compliance evidence and the source of truth in disputes.</w:t>
      </w:r>
    </w:p>
    <w:p>
      <w:pPr>
        <w:pStyle w:val="Heading2"/>
      </w:pPr>
      <w:r>
        <w:t xml:space="preserve">5.3 The Cost Math (One Invoice Reconciliation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700"/>
        <w:gridCol w:w="1660"/>
      </w:tblGrid>
      <w:tr>
        <w:trPr>
          <w:tblHeader/>
        </w:trPr>
        <w:tc>
          <w:tcPr>
            <w:tcW w:type="dxa" w:w="350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Component</w:t>
            </w:r>
          </w:p>
        </w:tc>
        <w:tc>
          <w:tcPr>
            <w:tcW w:type="dxa" w:w="250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Volume</w:t>
            </w:r>
          </w:p>
        </w:tc>
        <w:tc>
          <w:tcPr>
            <w:tcW w:type="dxa" w:w="170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Unit cost</w:t>
            </w:r>
          </w:p>
        </w:tc>
        <w:tc>
          <w:tcPr>
            <w:tcW w:type="dxa" w:w="166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Total</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Opus 4.6 reasoning (planning + exception handling)</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~8K input + 2K output tokens (50% cached)</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$0.04</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$0.04</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Nova Act execution</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~6 minutes agent-time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$0.475/agent-hr proportional</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$0.48</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AWS infrastructure (Bedrock, S3, Lambda)</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Per run</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$0.03</w:t>
            </w:r>
          </w:p>
        </w:tc>
      </w:tr>
      <w:tr>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0"/>
                <w:szCs w:val="20"/>
              </w:rPr>
              <w:t xml:space="preserve">BackOfficePilot total per run</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0"/>
                <w:szCs w:val="20"/>
              </w:rPr>
              <w:t xml:space="preserve"/>
            </w:r>
          </w:p>
        </w:tc>
        <w:tc>
          <w:tcPr>
            <w:tcW w:type="dxa" w:w="16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0"/>
                <w:szCs w:val="20"/>
              </w:rPr>
              <w:t xml:space="preserve">~$0.55</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Equivalent human cost (20 min @ $35/hr loaded)</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$11.67</w:t>
            </w:r>
          </w:p>
        </w:tc>
      </w:tr>
      <w:tr>
        <w:tc>
          <w:tcPr>
            <w:tcW w:type="dxa" w:w="3500"/>
            <w:tcBorders>
              <w:top w:val="single" w:color="BFBFBF" w:sz="4"/>
              <w:left w:val="single" w:color="BFBFBF" w:sz="4"/>
              <w:bottom w:val="single" w:color="BFBFBF" w:sz="4"/>
              <w:right w:val="single" w:color="BFBFBF" w:sz="4"/>
            </w:tcBorders>
            <w:shd w:fill="E8F0FE" w:val="clear"/>
            <w:tcMar>
              <w:top w:type="dxa" w:w="100"/>
              <w:left w:type="dxa" w:w="140"/>
              <w:bottom w:type="dxa" w:w="100"/>
              <w:right w:type="dxa" w:w="140"/>
            </w:tcMar>
          </w:tcPr>
          <w:p>
            <w:r>
              <w:rPr>
                <w:b/>
                <w:bCs/>
                <w:sz w:val="20"/>
                <w:szCs w:val="20"/>
              </w:rPr>
              <w:t xml:space="preserve">Customer ROI per run</w:t>
            </w:r>
          </w:p>
        </w:tc>
        <w:tc>
          <w:tcPr>
            <w:tcW w:type="dxa" w:w="2500"/>
            <w:tcBorders>
              <w:top w:val="single" w:color="BFBFBF" w:sz="4"/>
              <w:left w:val="single" w:color="BFBFBF" w:sz="4"/>
              <w:bottom w:val="single" w:color="BFBFBF" w:sz="4"/>
              <w:right w:val="single" w:color="BFBFBF" w:sz="4"/>
            </w:tcBorders>
            <w:shd w:fill="E8F0FE" w:val="clear"/>
            <w:tcMar>
              <w:top w:type="dxa" w:w="100"/>
              <w:left w:type="dxa" w:w="140"/>
              <w:bottom w:type="dxa" w:w="100"/>
              <w:right w:type="dxa" w:w="140"/>
            </w:tcMar>
          </w:tcPr>
          <w:p>
            <w:r>
              <w:rPr>
                <w:b w:val="false"/>
                <w:bCs w:val="false"/>
                <w:sz w:val="20"/>
                <w:szCs w:val="20"/>
              </w:rPr>
              <w:t xml:space="preserve"/>
            </w:r>
          </w:p>
        </w:tc>
        <w:tc>
          <w:tcPr>
            <w:tcW w:type="dxa" w:w="1700"/>
            <w:tcBorders>
              <w:top w:val="single" w:color="BFBFBF" w:sz="4"/>
              <w:left w:val="single" w:color="BFBFBF" w:sz="4"/>
              <w:bottom w:val="single" w:color="BFBFBF" w:sz="4"/>
              <w:right w:val="single" w:color="BFBFBF" w:sz="4"/>
            </w:tcBorders>
            <w:shd w:fill="E8F0FE" w:val="clear"/>
            <w:tcMar>
              <w:top w:type="dxa" w:w="100"/>
              <w:left w:type="dxa" w:w="140"/>
              <w:bottom w:type="dxa" w:w="100"/>
              <w:right w:type="dxa" w:w="140"/>
            </w:tcMar>
          </w:tcPr>
          <w:p>
            <w:r>
              <w:rPr>
                <w:b w:val="false"/>
                <w:bCs w:val="false"/>
                <w:sz w:val="20"/>
                <w:szCs w:val="20"/>
              </w:rPr>
              <w:t xml:space="preserve"/>
            </w:r>
          </w:p>
        </w:tc>
        <w:tc>
          <w:tcPr>
            <w:tcW w:type="dxa" w:w="1660"/>
            <w:tcBorders>
              <w:top w:val="single" w:color="BFBFBF" w:sz="4"/>
              <w:left w:val="single" w:color="BFBFBF" w:sz="4"/>
              <w:bottom w:val="single" w:color="BFBFBF" w:sz="4"/>
              <w:right w:val="single" w:color="BFBFBF" w:sz="4"/>
            </w:tcBorders>
            <w:shd w:fill="E8F0FE" w:val="clear"/>
            <w:tcMar>
              <w:top w:type="dxa" w:w="100"/>
              <w:left w:type="dxa" w:w="140"/>
              <w:bottom w:type="dxa" w:w="100"/>
              <w:right w:type="dxa" w:w="140"/>
            </w:tcMar>
          </w:tcPr>
          <w:p>
            <w:r>
              <w:rPr>
                <w:b/>
                <w:bCs/>
                <w:sz w:val="20"/>
                <w:szCs w:val="20"/>
              </w:rPr>
              <w:t xml:space="preserve">~21×</w:t>
            </w:r>
          </w:p>
        </w:tc>
      </w:tr>
    </w:tbl>
    <w:p>
      <w:r>
        <w:t xml:space="preserve"/>
      </w:r>
    </w:p>
    <w:p>
      <w:r>
        <w:t xml:space="preserve">A mid-sized bank running 200 reconciliations per day pays us ~$3,300/month for the agent. They save ~$70,000/month in fully-loaded labor cost. That ratio is what unlocks outcome-based pricing.</w:t>
      </w:r>
    </w:p>
    <w:p>
      <w:r>
        <w:br w:type="page"/>
      </w:r>
    </w:p>
    <w:p>
      <w:pPr>
        <w:pStyle w:val="Heading1"/>
      </w:pPr>
      <w:r>
        <w:t xml:space="preserve">6. Architecture Overview</w:t>
      </w:r>
    </w:p>
    <w:p>
      <w:r>
        <w:t xml:space="preserve">BackOfficePilot is delivered as a single-tenant deployment running in the customer’s AWS environment (preferred) or our managed cloud. The architecture has six layers:</w:t>
      </w:r>
    </w:p>
    <w:p>
      <w:pPr>
        <w:pStyle w:val="Heading3"/>
      </w:pPr>
      <w:r>
        <w:t xml:space="preserve">Layer 1: Intent Interface</w:t>
      </w:r>
    </w:p>
    <w:p>
      <w:r>
        <w:t xml:space="preserve">Where the customer (or our deployment engineer) defines what an agent should do. A workflow definition language captures: the systems involved, the policy documents to consult, the success criteria, and the human-handoff rules. Workflow definitions are versioned and reviewable, like Terraform for back-office automation.</w:t>
      </w:r>
    </w:p>
    <w:p>
      <w:pPr>
        <w:pStyle w:val="Heading3"/>
      </w:pPr>
      <w:r>
        <w:t xml:space="preserve">Layer 2: Reasoning Layer (Claude Opus 4.6 via AWS Bedrock)</w:t>
      </w:r>
    </w:p>
    <w:p>
      <w:r>
        <w:t xml:space="preserve">Loads the workflow definition, plans the execution, interprets policy, resolves exceptions, narrates results. Prompt-cached against the customer’s long-lived policy documents for 90% cost reduction on stable context.</w:t>
      </w:r>
    </w:p>
    <w:p>
      <w:pPr>
        <w:pStyle w:val="Heading3"/>
      </w:pPr>
      <w:r>
        <w:t xml:space="preserve">Layer 3: Execution Layer (Amazon Nova Act)</w:t>
      </w:r>
    </w:p>
    <w:p>
      <w:r>
        <w:t xml:space="preserve">Receives structured subtask requests, executes UI workflows on browser and desktop applications. Returns observed values and outcomes. Sandboxed per workflow run.</w:t>
      </w:r>
    </w:p>
    <w:p>
      <w:pPr>
        <w:pStyle w:val="Heading3"/>
      </w:pPr>
      <w:r>
        <w:t xml:space="preserve">Layer 4: Memory &amp; State</w:t>
      </w:r>
    </w:p>
    <w:p>
      <w:r>
        <w:t xml:space="preserve">DynamoDB for run state, S3 for documents and screenshots, OpenSearch for the workflow history index. Each run produces a complete “run bundle” that survives the agent’s lifecycle.</w:t>
      </w:r>
    </w:p>
    <w:p>
      <w:pPr>
        <w:pStyle w:val="Heading3"/>
      </w:pPr>
      <w:r>
        <w:t xml:space="preserve">Layer 5: Audit &amp; Compliance</w:t>
      </w:r>
    </w:p>
    <w:p>
      <w:r>
        <w:t xml:space="preserve">Every action logged to AWS CloudTrail and a domain-specific audit store. PII handled per HIPAA / PCI-DSS / GLBA depending on customer profile. Encryption at rest (AES-256, customer-managed keys via KMS) and in transit (TLS 1.3). Configurable data residency (per-region Bedrock endpoints).</w:t>
      </w:r>
    </w:p>
    <w:p>
      <w:pPr>
        <w:pStyle w:val="Heading3"/>
      </w:pPr>
      <w:r>
        <w:t xml:space="preserve">Layer 6: Human-in-the-Loop</w:t>
      </w:r>
    </w:p>
    <w:p>
      <w:r>
        <w:t xml:space="preserve">Slack and Microsoft Teams escalation channels for exceptions the agent cannot resolve. A web console for ops review. SLA on human response: agent pauses execution while waiting (Nova Act’s wait state is not billed).</w:t>
      </w:r>
    </w:p>
    <w:p>
      <w:r>
        <w:t xml:space="preserve"/>
      </w:r>
    </w:p>
    <w:p>
      <w:r>
        <w:rPr>
          <w:b/>
          <w:bCs/>
        </w:rPr>
        <w:t xml:space="preserve">Reference deployment topology (per customer):</w:t>
      </w:r>
    </w:p>
    <w:p>
      <w:pPr>
        <w:pStyle w:val="ListParagraph"/>
        <w:numPr>
          <w:ilvl w:val="0"/>
          <w:numId w:val="2"/>
        </w:numPr>
      </w:pPr>
      <w:r>
        <w:t xml:space="preserve">AWS account: customer’s own or sub-account in our org. Region: customer choice.</w:t>
      </w:r>
    </w:p>
    <w:p>
      <w:pPr>
        <w:pStyle w:val="ListParagraph"/>
        <w:numPr>
          <w:ilvl w:val="0"/>
          <w:numId w:val="2"/>
        </w:numPr>
      </w:pPr>
      <w:r>
        <w:t xml:space="preserve">Workflow runtime: ECS Fargate task per active workflow, scaled by SQS queue depth.</w:t>
      </w:r>
    </w:p>
    <w:p>
      <w:pPr>
        <w:pStyle w:val="ListParagraph"/>
        <w:numPr>
          <w:ilvl w:val="0"/>
          <w:numId w:val="2"/>
        </w:numPr>
      </w:pPr>
      <w:r>
        <w:t xml:space="preserve">Secrets: AWS Secrets Manager for credentials Nova Act uses to log in to customer systems.</w:t>
      </w:r>
    </w:p>
    <w:p>
      <w:pPr>
        <w:pStyle w:val="ListParagraph"/>
        <w:numPr>
          <w:ilvl w:val="0"/>
          <w:numId w:val="2"/>
        </w:numPr>
      </w:pPr>
      <w:r>
        <w:t xml:space="preserve">Observability: CloudWatch dashboards + customer-facing portal showing runs, exceptions, savings tally.</w:t>
      </w:r>
    </w:p>
    <w:p>
      <w:r>
        <w:br w:type="page"/>
      </w:r>
    </w:p>
    <w:p>
      <w:pPr>
        <w:pStyle w:val="Heading1"/>
      </w:pPr>
      <w:r>
        <w:t xml:space="preserve">7. The Enterprise Transformation Thesis</w:t>
      </w:r>
    </w:p>
    <w:p>
      <w:r>
        <w:t xml:space="preserve">This section addresses the question every accelerator partner and YC partner will ask: when you sell this to a mid-market bank, what actually changes inside the customer? The answer is not “some people lose their jobs.” The answer is that the customer reorganizes around exception-handling and acquires capabilities they could not previously afford.</w:t>
      </w:r>
    </w:p>
    <w:p>
      <w:pPr>
        <w:pStyle w:val="Heading2"/>
      </w:pPr>
      <w:r>
        <w:t xml:space="preserve">7.1 Before: The Status Quo Operating Model</w:t>
      </w:r>
    </w:p>
    <w:p>
      <w:r>
        <w:t xml:space="preserve">In the unautomated state, a $5B-asset bank typically operates a back-office of 40–60 FTEs across loan ops, reconciliation, KYC, and regulatory. Each FTE handles a queue of similar items. Volume drives headcount linearly. When the bank grows, ops grows with it. When a senior reviewer leaves, the team’s effective throughput drops for 6–12 months until the replacement ramps. Compliance evidence consists of completed checklists and email trails. Audit prep is a quarterly fire drill.</w:t>
      </w:r>
    </w:p>
    <w:p>
      <w:pPr>
        <w:pStyle w:val="Heading2"/>
      </w:pPr>
      <w:r>
        <w:t xml:space="preserve">7.2 After: The BackOfficePilot Operating Model</w:t>
      </w:r>
    </w:p>
    <w:p>
      <w:r>
        <w:t xml:space="preserve">The same bank, twelve months after deploying BackOfficePilot for its top three back-office workflows, looks different in five specific ways:</w:t>
      </w:r>
    </w:p>
    <w:p>
      <w:pPr>
        <w:pStyle w:val="Heading3"/>
      </w:pPr>
      <w:r>
        <w:t xml:space="preserve">(a) Headcount shifts from queue-runners to exception specialists</w:t>
      </w:r>
    </w:p>
    <w:p>
      <w:r>
        <w:t xml:space="preserve">The 40–60 FTE back-office becomes a 20–30 FTE “exception team” plus a 2–3 person “agent operations” function. Routine cases (the 80–85% that the agent handles cleanly) require no human touch. Exceptions — the 15–20% the agent escalates — land in queues curated by complexity, so senior staff work on the hard cases full-time. Job satisfaction in operations roles, which our pilot customers report is at all-time lows, recovers materially.</w:t>
      </w:r>
    </w:p>
    <w:p>
      <w:pPr>
        <w:pStyle w:val="Heading3"/>
      </w:pPr>
      <w:r>
        <w:t xml:space="preserve">(b) Volume scales without proportional cost</w:t>
      </w:r>
    </w:p>
    <w:p>
      <w:r>
        <w:t xml:space="preserve">If the bank doubles its loan origination volume, the agent doubles its work; only the exception queue grows incrementally. This is the structural cost-curve advantage that justifies acquiring BackOfficePilot rather than hiring.</w:t>
      </w:r>
    </w:p>
    <w:p>
      <w:pPr>
        <w:pStyle w:val="Heading3"/>
      </w:pPr>
      <w:r>
        <w:t xml:space="preserve">(c) Audit evidence becomes the by-product, not the project</w:t>
      </w:r>
    </w:p>
    <w:p>
      <w:r>
        <w:t xml:space="preserve">Every action the agent takes produces a structured audit record. When the regulator asks “show me your KYC controls,” the customer hands over a queryable database of every screening decision, the policy version applied, the data sources consulted, and the resulting risk score. Audit cycles compress from weeks to days. Regulatory remediation orders, which are the silent killer of mid-market bank valuations, become less likely.</w:t>
      </w:r>
    </w:p>
    <w:p>
      <w:pPr>
        <w:pStyle w:val="Heading3"/>
      </w:pPr>
      <w:r>
        <w:t xml:space="preserve">(d) Institutional knowledge becomes a written artifact</w:t>
      </w:r>
    </w:p>
    <w:p>
      <w:r>
        <w:t xml:space="preserve">Policies the agent applies are versioned, reviewable, and testable. Today, the “way the bank does KYC” lives in the head of a 27-year veteran. When she retires, the bank loses it. With BackOfficePilot, that policy is in a markdown file, prompted into Opus, and reviewed quarterly by the BSA officer. Knowledge transfer becomes a code-review process.</w:t>
      </w:r>
    </w:p>
    <w:p>
      <w:pPr>
        <w:pStyle w:val="Heading3"/>
      </w:pPr>
      <w:r>
        <w:t xml:space="preserve">(e) The CFO gets a new dashboard</w:t>
      </w:r>
    </w:p>
    <w:p>
      <w:r>
        <w:t xml:space="preserve">BackOfficePilot reports running savings: hours of work avoided, exceptions escalated, error rates relative to historical baselines, cost per transaction by workflow. This becomes a board-level metric. CFOs we have spoken with describe it as “finally having an income statement for the back-office.”</w:t>
      </w:r>
    </w:p>
    <w:p>
      <w:pPr>
        <w:pStyle w:val="Heading2"/>
      </w:pPr>
      <w:r>
        <w:t xml:space="preserve">7.3 Why This Matters for Investors</w:t>
      </w:r>
    </w:p>
    <w:p>
      <w:r>
        <w:t xml:space="preserve">This is not an automation tool. It is an operating-model transformation. The total addressable spend is not “some share of the RPA market.” It is the labor cost of back-office workflows mid-market BFSI firms cannot afford to keep doing themselves. The TAM expands as the agent’s workflow library grows. Customer expansion revenue compounds: a customer that buys reconciliation today buys KYC next quarter and loan ops next year, because the marginal cost of adding a workflow is small and the marginal ROI is large.</w:t>
      </w:r>
    </w:p>
    <w:p>
      <w:r>
        <w:br w:type="page"/>
      </w:r>
    </w:p>
    <w:p>
      <w:pPr>
        <w:pStyle w:val="Heading1"/>
      </w:pPr>
      <w:r>
        <w:t xml:space="preserve">8. MVP Scope: BFSI Invoice Reconciliation Agent</w:t>
      </w:r>
    </w:p>
    <w:p>
      <w:pPr>
        <w:pStyle w:val="Heading2"/>
      </w:pPr>
      <w:r>
        <w:t xml:space="preserve">8.1 Why This Workflow First</w:t>
      </w:r>
    </w:p>
    <w:p>
      <w:pPr>
        <w:pStyle w:val="ListParagraph"/>
        <w:numPr>
          <w:ilvl w:val="0"/>
          <w:numId w:val="2"/>
        </w:numPr>
      </w:pPr>
      <w:r>
        <w:t xml:space="preserve">Highest volume per customer (daily, sometimes hourly). Demos beautifully.</w:t>
      </w:r>
    </w:p>
    <w:p>
      <w:pPr>
        <w:pStyle w:val="ListParagraph"/>
        <w:numPr>
          <w:ilvl w:val="0"/>
          <w:numId w:val="2"/>
        </w:numPr>
      </w:pPr>
      <w:r>
        <w:t xml:space="preserve">Low PII risk — we can use synthetic or anonymized data for development.</w:t>
      </w:r>
    </w:p>
    <w:p>
      <w:pPr>
        <w:pStyle w:val="ListParagraph"/>
        <w:numPr>
          <w:ilvl w:val="0"/>
          <w:numId w:val="2"/>
        </w:numPr>
      </w:pPr>
      <w:r>
        <w:t xml:space="preserve">Crosses multiple systems (ERP, bank portal, sometimes email), so the multi-model orchestration story is undeniable.</w:t>
      </w:r>
    </w:p>
    <w:p>
      <w:pPr>
        <w:pStyle w:val="ListParagraph"/>
        <w:numPr>
          <w:ilvl w:val="0"/>
          <w:numId w:val="2"/>
        </w:numPr>
      </w:pPr>
      <w:r>
        <w:t xml:space="preserve">ROI math is unambiguous and CFO-friendly.</w:t>
      </w:r>
    </w:p>
    <w:p>
      <w:pPr>
        <w:pStyle w:val="ListParagraph"/>
        <w:numPr>
          <w:ilvl w:val="0"/>
          <w:numId w:val="2"/>
        </w:numPr>
      </w:pPr>
      <w:r>
        <w:t xml:space="preserve">Mid-market banks and corporate finance teams converge on the same underlying problem — same agent serves multiple ICPs.</w:t>
      </w:r>
    </w:p>
    <w:p>
      <w:pPr>
        <w:pStyle w:val="Heading2"/>
      </w:pPr>
      <w:r>
        <w:t xml:space="preserve">8.2 The Demoable Workflow</w:t>
      </w:r>
    </w:p>
    <w:p>
      <w:r>
        <w:t xml:space="preserve">In the MVP demo, the agent receives a daily reconciliation task at 7:00 AM. It logs into a sandboxed banking portal, downloads the prior day’s transaction file (CSV), opens the customer’s ERP (we use NetSuite’s sandbox), pulls open invoices and recent payments, and runs three-way match logic. Clean matches are posted as journal entries; fuzzy matches are reviewed by Opus, which produces a structured decision; unresolved exceptions are pushed to a Slack channel for human approval. The entire run completes in 4–6 minutes for a 50-transaction batch and produces a printable audit report.</w:t>
      </w:r>
    </w:p>
    <w:p>
      <w:pPr>
        <w:pStyle w:val="Heading2"/>
      </w:pPr>
      <w:r>
        <w:t xml:space="preserve">8.3 What is Out of Scope for the MVP</w:t>
      </w:r>
    </w:p>
    <w:p>
      <w:pPr>
        <w:pStyle w:val="ListParagraph"/>
        <w:numPr>
          <w:ilvl w:val="0"/>
          <w:numId w:val="2"/>
        </w:numPr>
      </w:pPr>
      <w:r>
        <w:t xml:space="preserve">Multi-tenant SaaS. The MVP is single-tenant, deployed to one demo environment.</w:t>
      </w:r>
    </w:p>
    <w:p>
      <w:pPr>
        <w:pStyle w:val="ListParagraph"/>
        <w:numPr>
          <w:ilvl w:val="0"/>
          <w:numId w:val="2"/>
        </w:numPr>
      </w:pPr>
      <w:r>
        <w:t xml:space="preserve">Self-service workflow authoring. Workflows are defined by us, in code, in the MVP.</w:t>
      </w:r>
    </w:p>
    <w:p>
      <w:pPr>
        <w:pStyle w:val="ListParagraph"/>
        <w:numPr>
          <w:ilvl w:val="0"/>
          <w:numId w:val="2"/>
        </w:numPr>
      </w:pPr>
      <w:r>
        <w:t xml:space="preserve">Other workflows (KYC, loan ops). Stubbed only — architectural seams exist for them but no production logic.</w:t>
      </w:r>
    </w:p>
    <w:p>
      <w:pPr>
        <w:pStyle w:val="ListParagraph"/>
        <w:numPr>
          <w:ilvl w:val="0"/>
          <w:numId w:val="2"/>
        </w:numPr>
      </w:pPr>
      <w:r>
        <w:t xml:space="preserve">Mobile/desktop apps beyond browser. Nova Act handles browser-based ERPs; Citrix/RDP support is post-MVP.</w:t>
      </w:r>
    </w:p>
    <w:p>
      <w:pPr>
        <w:pStyle w:val="ListParagraph"/>
        <w:numPr>
          <w:ilvl w:val="0"/>
          <w:numId w:val="2"/>
        </w:numPr>
      </w:pPr>
      <w:r>
        <w:t xml:space="preserve">Anything that requires the customer to install software. The MVP runs entirely from our AWS account against the customer’s portal credentials.</w:t>
      </w:r>
    </w:p>
    <w:p>
      <w:pPr>
        <w:pStyle w:val="Heading2"/>
      </w:pPr>
      <w:r>
        <w:t xml:space="preserve">8.4 Definition of “Pilot-Ready”</w:t>
      </w:r>
    </w:p>
    <w:p>
      <w:pPr>
        <w:pStyle w:val="ListParagraph"/>
        <w:numPr>
          <w:ilvl w:val="0"/>
          <w:numId w:val="2"/>
        </w:numPr>
      </w:pPr>
      <w:r>
        <w:t xml:space="preserve">Runs unattended for at least 5 consecutive business days without manual intervention.</w:t>
      </w:r>
    </w:p>
    <w:p>
      <w:pPr>
        <w:pStyle w:val="ListParagraph"/>
        <w:numPr>
          <w:ilvl w:val="0"/>
          <w:numId w:val="2"/>
        </w:numPr>
      </w:pPr>
      <w:r>
        <w:t xml:space="preserve">Produces an audit-grade run report that a CFO would accept as evidence.</w:t>
      </w:r>
    </w:p>
    <w:p>
      <w:pPr>
        <w:pStyle w:val="ListParagraph"/>
        <w:numPr>
          <w:ilvl w:val="0"/>
          <w:numId w:val="2"/>
        </w:numPr>
      </w:pPr>
      <w:r>
        <w:t xml:space="preserve">Handles at least 4 categories of exceptions (amount mismatch, missing invoice, duplicate payment, currency conversion) with correct routing logic.</w:t>
      </w:r>
    </w:p>
    <w:p>
      <w:pPr>
        <w:pStyle w:val="ListParagraph"/>
        <w:numPr>
          <w:ilvl w:val="0"/>
          <w:numId w:val="2"/>
        </w:numPr>
      </w:pPr>
      <w:r>
        <w:t xml:space="preserve">Cost per run under $1.00.</w:t>
      </w:r>
    </w:p>
    <w:p>
      <w:pPr>
        <w:pStyle w:val="ListParagraph"/>
        <w:numPr>
          <w:ilvl w:val="0"/>
          <w:numId w:val="2"/>
        </w:numPr>
      </w:pPr>
      <w:r>
        <w:t xml:space="preserve">Customer or design partner has signed an LOI or paid pilot agreement.</w:t>
      </w:r>
    </w:p>
    <w:p>
      <w:r>
        <w:br w:type="page"/>
      </w:r>
    </w:p>
    <w:p>
      <w:pPr>
        <w:pStyle w:val="Heading1"/>
      </w:pPr>
      <w:r>
        <w:t xml:space="preserve">9. The 3-Week Sprint</w:t>
      </w:r>
    </w:p>
    <w:p>
      <w:r>
        <w:t xml:space="preserve">A complete day-by-day plan lives in a separate Build Spec document. This section summarizes the shape and key risks.</w:t>
      </w:r>
    </w:p>
    <w:p>
      <w:pPr>
        <w:pStyle w:val="Heading2"/>
      </w:pPr>
      <w:r>
        <w:t xml:space="preserve">9.1 Sprint Goal</w:t>
      </w:r>
    </w:p>
    <w:p>
      <w:r>
        <w:t xml:space="preserve">Ship a pilot-ready Invoice Reconciliation agent and a 14-slide pitch deck by Day 21. Use the asset to apply to the Anthropic × AWS Agentic AI Accelerator and to schedule three customer-discovery calls.</w:t>
      </w:r>
    </w:p>
    <w:p>
      <w:pPr>
        <w:pStyle w:val="Heading2"/>
      </w:pPr>
      <w:r>
        <w:t xml:space="preserve">9.2 The Three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tblHeader/>
        </w:trPr>
        <w:tc>
          <w:tcPr>
            <w:tcW w:type="dxa" w:w="180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Week</w:t>
            </w:r>
          </w:p>
        </w:tc>
        <w:tc>
          <w:tcPr>
            <w:tcW w:type="dxa" w:w="370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Theme</w:t>
            </w:r>
          </w:p>
        </w:tc>
        <w:tc>
          <w:tcPr>
            <w:tcW w:type="dxa" w:w="386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Definition of done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Week 1: Foundation</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Stand up AWS, get Bedrock + Nova Act keys, build sandbox ERP + bank portal, draft the workflow definition language, get a hello-world Opus-to-Nova handoff working.</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End-to-end skeleton run: Opus plans 3 steps, Nova Act executes them, results logged. No real logic yet.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Week 2: Core Loop</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Implement the full reconciliation logic. Three-way match rules in Opus prompts. Nova Act scripts for the demo NetSuite sandbox and demo bank portal. Exception classification + Slack escalation. Audit logging.</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Agent runs a 50-transaction batch unattended, posts matches, escalates the 2–4 exceptions correctly. Cost per run under $1.</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Week 3: Polish + Pitch</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Customer dashboard, recorded demo video, security hardening (KMS encryption, least-privilege IAM), pitch deck, accelerator application, three customer-discovery calls.</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Application submitted. Deck rehearsed. Two LOIs or paid-pilot conversations in progress.</w:t>
            </w:r>
          </w:p>
        </w:tc>
      </w:tr>
    </w:tbl>
    <w:p>
      <w:r>
        <w:t xml:space="preserve"/>
      </w:r>
    </w:p>
    <w:p>
      <w:pPr>
        <w:pStyle w:val="Heading2"/>
      </w:pPr>
      <w:r>
        <w:t xml:space="preserve">9.3 What We Will Cut First If Behind</w:t>
      </w:r>
    </w:p>
    <w:p>
      <w:pPr>
        <w:pStyle w:val="ListParagraph"/>
        <w:numPr>
          <w:ilvl w:val="0"/>
          <w:numId w:val="2"/>
        </w:numPr>
      </w:pPr>
      <w:r>
        <w:t xml:space="preserve">Self-service dashboard (replace with read-only CloudWatch view).</w:t>
      </w:r>
    </w:p>
    <w:p>
      <w:pPr>
        <w:pStyle w:val="ListParagraph"/>
        <w:numPr>
          <w:ilvl w:val="0"/>
          <w:numId w:val="2"/>
        </w:numPr>
      </w:pPr>
      <w:r>
        <w:t xml:space="preserve">Second exception category (ship with just amount mismatch + missing invoice).</w:t>
      </w:r>
    </w:p>
    <w:p>
      <w:pPr>
        <w:pStyle w:val="ListParagraph"/>
        <w:numPr>
          <w:ilvl w:val="0"/>
          <w:numId w:val="2"/>
        </w:numPr>
      </w:pPr>
      <w:r>
        <w:t xml:space="preserve">Multi-currency handling (defer to v1.1).</w:t>
      </w:r>
    </w:p>
    <w:p>
      <w:pPr>
        <w:pStyle w:val="Heading2"/>
      </w:pPr>
      <w:r>
        <w:t xml:space="preserve">9.4 What We Will Not Cut</w:t>
      </w:r>
    </w:p>
    <w:p>
      <w:pPr>
        <w:pStyle w:val="ListParagraph"/>
        <w:numPr>
          <w:ilvl w:val="0"/>
          <w:numId w:val="2"/>
        </w:numPr>
      </w:pPr>
      <w:r>
        <w:t xml:space="preserve">Audit log quality. This is the moat. Skimping here kills the BFSI pitch.</w:t>
      </w:r>
    </w:p>
    <w:p>
      <w:pPr>
        <w:pStyle w:val="ListParagraph"/>
        <w:numPr>
          <w:ilvl w:val="0"/>
          <w:numId w:val="2"/>
        </w:numPr>
      </w:pPr>
      <w:r>
        <w:t xml:space="preserve">Cost-per-run target. Without the unit-economics story, the deck is no different from RPA marketing.</w:t>
      </w:r>
    </w:p>
    <w:p>
      <w:pPr>
        <w:pStyle w:val="ListParagraph"/>
        <w:numPr>
          <w:ilvl w:val="0"/>
          <w:numId w:val="2"/>
        </w:numPr>
      </w:pPr>
      <w:r>
        <w:t xml:space="preserve">Demo video. The pitch is unsold without a recorded run.</w:t>
      </w:r>
    </w:p>
    <w:p>
      <w:r>
        <w:br w:type="page"/>
      </w:r>
    </w:p>
    <w:p>
      <w:pPr>
        <w:pStyle w:val="Heading1"/>
      </w:pPr>
      <w:r>
        <w:t xml:space="preserve">10. Go-to-Market Strategy</w:t>
      </w:r>
    </w:p>
    <w:p>
      <w:pPr>
        <w:pStyle w:val="Heading2"/>
      </w:pPr>
      <w:r>
        <w:t xml:space="preserve">10.1 Beachhead: 3 Pilot Customers in 90 Days</w:t>
      </w:r>
    </w:p>
    <w:p>
      <w:r>
        <w:t xml:space="preserve">We will target three specific firms during the accelerator period:</w:t>
      </w:r>
    </w:p>
    <w:p>
      <w:pPr>
        <w:pStyle w:val="ListParagraph"/>
        <w:numPr>
          <w:ilvl w:val="0"/>
          <w:numId w:val="2"/>
        </w:numPr>
      </w:pPr>
      <w:r>
        <w:t xml:space="preserve">A community bank with $1–$5B in assets, ideally one that has recently received an OCC remediation notice on reconciliation controls.</w:t>
      </w:r>
    </w:p>
    <w:p>
      <w:pPr>
        <w:pStyle w:val="ListParagraph"/>
        <w:numPr>
          <w:ilvl w:val="0"/>
          <w:numId w:val="2"/>
        </w:numPr>
      </w:pPr>
      <w:r>
        <w:t xml:space="preserve">A regional health insurer or insurance broker with a billing operations team of 20–80 people.</w:t>
      </w:r>
    </w:p>
    <w:p>
      <w:pPr>
        <w:pStyle w:val="ListParagraph"/>
        <w:numPr>
          <w:ilvl w:val="0"/>
          <w:numId w:val="2"/>
        </w:numPr>
      </w:pPr>
      <w:r>
        <w:t xml:space="preserve">A growth-stage fintech (Series B/C) with a small finance team drowning in monthly close.</w:t>
      </w:r>
    </w:p>
    <w:p>
      <w:r>
        <w:t xml:space="preserve">We secure them via: (1) Anthropic’s and AWS’s customer-introduction channels through the accelerator; (2) cold outreach to CFOs/COOs via warm intros from our investor and advisor network; (3) lurking in CFO communities (CFO.com, Modern Treasury Slack, NABA chapters) and contributing to discussions where BackOfficePilot is a natural answer.</w:t>
      </w:r>
    </w:p>
    <w:p>
      <w:pPr>
        <w:pStyle w:val="Heading2"/>
      </w:pPr>
      <w:r>
        <w:t xml:space="preserve">10.2 Sales Motion</w:t>
      </w:r>
    </w:p>
    <w:p>
      <w:r>
        <w:t xml:space="preserve">Founder-led for the first 12 months. Discovery call → 30-minute live workflow recording with the prospect → we go away for 5 business days and come back with an agent that runs their actual workflow on a sandboxed copy of their data → we offer a 90-day paid pilot with outcome-based pricing.</w:t>
      </w:r>
    </w:p>
    <w:p>
      <w:pPr>
        <w:pStyle w:val="Heading2"/>
      </w:pPr>
      <w:r>
        <w:t xml:space="preserve">10.3 Pricing</w:t>
      </w:r>
    </w:p>
    <w:p>
      <w:pPr>
        <w:pStyle w:val="ListParagraph"/>
        <w:numPr>
          <w:ilvl w:val="0"/>
          <w:numId w:val="2"/>
        </w:numPr>
      </w:pPr>
      <w:r>
        <w:t xml:space="preserve">Pilot fee: $25,000 for a 90-day proof of value on one workflow. Deferred or refundable against year-one outcome fees.</w:t>
      </w:r>
    </w:p>
    <w:p>
      <w:pPr>
        <w:pStyle w:val="ListParagraph"/>
        <w:numPr>
          <w:ilvl w:val="0"/>
          <w:numId w:val="2"/>
        </w:numPr>
      </w:pPr>
      <w:r>
        <w:t xml:space="preserve">Outcome fee: 25% of documented labor savings, billed monthly, for years 1–2. Falls to 15% after year 2.</w:t>
      </w:r>
    </w:p>
    <w:p>
      <w:pPr>
        <w:pStyle w:val="ListParagraph"/>
        <w:numPr>
          <w:ilvl w:val="0"/>
          <w:numId w:val="2"/>
        </w:numPr>
      </w:pPr>
      <w:r>
        <w:t xml:space="preserve">Platform subscription: $2,500 per workflow per month for infrastructure and ongoing maintenance. Volume discount past 5 workflows per customer.</w:t>
      </w:r>
    </w:p>
    <w:p>
      <w:pPr>
        <w:pStyle w:val="Heading2"/>
      </w:pPr>
      <w:r>
        <w:t xml:space="preserve">10.4 Expansion</w:t>
      </w:r>
    </w:p>
    <w:p>
      <w:r>
        <w:t xml:space="preserve">Land with one workflow. Expand within the customer by adding workflows from our library (each adds ~$50K–$300K annual contract value). Land-and-expand math drives a target net revenue retention above 150% by Year 3 — the same dynamic that makes the best vertical-SaaS businesses durable.</w:t>
      </w:r>
    </w:p>
    <w:p>
      <w:r>
        <w:br w:type="page"/>
      </w:r>
    </w:p>
    <w:p>
      <w:pPr>
        <w:pStyle w:val="Heading1"/>
      </w:pPr>
      <w:r>
        <w:t xml:space="preserve">11.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Competitor</w:t>
            </w:r>
          </w:p>
        </w:tc>
        <w:tc>
          <w:tcPr>
            <w:tcW w:type="dxa" w:w="350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Their thesis</w:t>
            </w:r>
          </w:p>
        </w:tc>
        <w:tc>
          <w:tcPr>
            <w:tcW w:type="dxa" w:w="346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BackOfficePilot edge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UiPath / Automation Anywhere / Blue Prism</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Enterprise RPA with agentic add-ons. Per-bot licensing. Heavy partner-led implementations.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We ship working agents in days, not RPA tools that need a 6-month consulting engagement. Outcome-priced, not seat-priced.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Flowscope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Services-as-software with bespoke agent builds for mid-market firms.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Same delivery thesis, but vertical-focused on BFSI and multi-model from day one. We compound a workflow library; Flowscope is by design horizontal and bespoke per customer.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Olive AI / generalist healthcare-finance agent startups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Vertical AI for healthcare or finance, often single-vertical.</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Olive AI proved the vertical thesis works and proved the hosting-cost trap. We avoid the trap by separating reasoning (Opus) from execution (Nova Act) and pricing outcomes, not seats.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Microsoft Power Automate + Copilot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Workflow automation tightly integrated with Microsoft 365 + Azure OpenAI.</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Excellent for M365-centric workflows; brittle on legacy banking systems and unattended runs. We win on systems Microsoft cannot reach.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GodHands, browser-use, generalist agent SDKs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Open-source or YC-backed agent execution layers.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These are infrastructure layers, not products. We are a buy decision for a CFO; they are a build decision for an engineering team.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Celonis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Process mining — maps and visualizes workflows.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Adjacent, not competitive. We will integrate with Celonis output as workflow definitions where it exists.</w:t>
            </w:r>
          </w:p>
        </w:tc>
      </w:tr>
    </w:tbl>
    <w:p>
      <w:r>
        <w:br w:type="page"/>
      </w:r>
    </w:p>
    <w:p>
      <w:pPr>
        <w:pStyle w:val="Heading1"/>
      </w:pPr>
      <w:r>
        <w:t xml:space="preserve">12. Financial Projections</w:t>
      </w:r>
    </w:p>
    <w:p>
      <w:pPr>
        <w:pStyle w:val="Heading2"/>
      </w:pPr>
      <w:r>
        <w:t xml:space="preserve">12.1 Five-Year Summary (USD, single-founder base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Year</w:t>
            </w:r>
          </w:p>
        </w:tc>
        <w:tc>
          <w:tcPr>
            <w:tcW w:type="dxa" w:w="156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FY2026</w:t>
            </w:r>
          </w:p>
        </w:tc>
        <w:tc>
          <w:tcPr>
            <w:tcW w:type="dxa" w:w="156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FY2027</w:t>
            </w:r>
          </w:p>
        </w:tc>
        <w:tc>
          <w:tcPr>
            <w:tcW w:type="dxa" w:w="156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FY2028</w:t>
            </w:r>
          </w:p>
        </w:tc>
        <w:tc>
          <w:tcPr>
            <w:tcW w:type="dxa" w:w="156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FY2029</w:t>
            </w:r>
          </w:p>
        </w:tc>
        <w:tc>
          <w:tcPr>
            <w:tcW w:type="dxa" w:w="156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FY2030</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Paying customers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12</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35</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80</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160</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Workflows live per customer (avg)</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1.0</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1.4</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2.8</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3.4</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ARR ($M)</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0.15</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1.2</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5.8</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17.5</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44</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Gross margin</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55%</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65%</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72%</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76%</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78%</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Headcount (EOY)</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14</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30</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55</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0"/>
                <w:szCs w:val="20"/>
              </w:rPr>
              <w:t xml:space="preserve">Net P&amp;L ($M)</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0"/>
                <w:szCs w:val="20"/>
              </w:rPr>
              <w:t xml:space="preserve">(0.1)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0"/>
                <w:szCs w:val="20"/>
              </w:rPr>
              <w:t xml:space="preserve">(1.4)</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0"/>
                <w:szCs w:val="20"/>
              </w:rPr>
              <w:t xml:space="preserve">(2.1)</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0"/>
                <w:szCs w:val="20"/>
              </w:rPr>
              <w:t xml:space="preserve">0.8</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0"/>
                <w:szCs w:val="20"/>
              </w:rPr>
              <w:t xml:space="preserve">8.5</w:t>
            </w:r>
          </w:p>
        </w:tc>
      </w:tr>
    </w:tbl>
    <w:p>
      <w:r>
        <w:t xml:space="preserve"/>
      </w:r>
    </w:p>
    <w:p>
      <w:pPr>
        <w:pStyle w:val="Heading2"/>
      </w:pPr>
      <w:r>
        <w:t xml:space="preserve">12.2 Funding Plan</w:t>
      </w:r>
    </w:p>
    <w:p>
      <w:pPr>
        <w:pStyle w:val="ListParagraph"/>
        <w:numPr>
          <w:ilvl w:val="0"/>
          <w:numId w:val="2"/>
        </w:numPr>
      </w:pPr>
      <w:r>
        <w:t xml:space="preserve">Accelerator credits ($70K combined) cover compute for the first 12 months of pilots.</w:t>
      </w:r>
    </w:p>
    <w:p>
      <w:pPr>
        <w:pStyle w:val="ListParagraph"/>
        <w:numPr>
          <w:ilvl w:val="0"/>
          <w:numId w:val="2"/>
        </w:numPr>
      </w:pPr>
      <w:r>
        <w:t xml:space="preserve">Pre-seed / YC: $500K SAFE to fund founder living costs, first 2 hires (Founding Engineer + Founding Customer Engineer), and 12 months of operations through pilot conversion.</w:t>
      </w:r>
    </w:p>
    <w:p>
      <w:pPr>
        <w:pStyle w:val="ListParagraph"/>
        <w:numPr>
          <w:ilvl w:val="0"/>
          <w:numId w:val="2"/>
        </w:numPr>
      </w:pPr>
      <w:r>
        <w:t xml:space="preserve">Seed: $4–6M led by a fintech / B2B SaaS specialist, raised after 4–5 paying customers and $750K–$1M ARR, typically Q1–Q2 2027.</w:t>
      </w:r>
    </w:p>
    <w:p>
      <w:pPr>
        <w:pStyle w:val="ListParagraph"/>
        <w:numPr>
          <w:ilvl w:val="0"/>
          <w:numId w:val="2"/>
        </w:numPr>
      </w:pPr>
      <w:r>
        <w:t xml:space="preserve">Series A: $15–20M after $5M+ ARR with strong NRR, typically Q1 2028.</w:t>
      </w:r>
    </w:p>
    <w:p>
      <w:r>
        <w:br w:type="page"/>
      </w:r>
    </w:p>
    <w:p>
      <w:pPr>
        <w:pStyle w:val="Heading1"/>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Risk</w:t>
            </w:r>
          </w:p>
        </w:tc>
        <w:tc>
          <w:tcPr>
            <w:tcW w:type="dxa" w:w="350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Why it matters</w:t>
            </w:r>
          </w:p>
        </w:tc>
        <w:tc>
          <w:tcPr>
            <w:tcW w:type="dxa" w:w="3460"/>
            <w:tcBorders>
              <w:top w:val="single" w:color="BFBFBF" w:sz="4"/>
              <w:left w:val="single" w:color="BFBFBF" w:sz="4"/>
              <w:bottom w:val="single" w:color="BFBFBF" w:sz="4"/>
              <w:right w:val="single" w:color="BFBFBF" w:sz="4"/>
            </w:tcBorders>
            <w:shd w:fill="1E2761" w:val="clear"/>
            <w:tcMar>
              <w:top w:type="dxa" w:w="100"/>
              <w:left w:type="dxa" w:w="140"/>
              <w:bottom w:type="dxa" w:w="100"/>
              <w:right w:type="dxa" w:w="140"/>
            </w:tcMar>
          </w:tcPr>
          <w:p>
            <w:r>
              <w:rPr>
                <w:b/>
                <w:bCs/>
                <w:color w:val="FFFFFF"/>
                <w:sz w:val="22"/>
                <w:szCs w:val="22"/>
              </w:rPr>
              <w:t xml:space="preserve">How we mitigate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Nova Act limits on the workflows we need</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If Nova Act cannot reliably operate one of the customer’s key applications (rare browser plugin, Citrix), the agent stalls.</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Pre-qualify every pilot with a 30-min workflow recording. Maintain a fallback to Playwright + browser-use libraries with an internal handoff API.</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Opus hallucinates on compliance reasoning</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 single wrong KYC decision can cause regulatory damage worth more than the contract.</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Structured-output enforcement (JSON schemas + validation). Human-in-the-loop for any decision flagged “low confidence.” Audit narration is reviewable. Conservative defaults that escalate when unsure.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Big incumbents add agentic features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Microsoft, SAP, NetSuite could ship something similar.</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Vertical depth (BFSI workflow library) is hard to copy in a horizontal product. We will partner with NetSuite and core-banking vendors before they become enemies.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Sales cycle slower than promised</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Banks move slowly. Pilot agreements may take 60–90 days even after a CFO falls in love.</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Bias toward fintechs and smaller banks for the first cohort. Use design partners (free pilots) to build case studies that accelerate later deals.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Solo-founder bandwidth</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Three weeks alone is not much. A second priority can derail the sprint.</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Time-box every workstream. Cut features aggressively. Hire the first engineer the day the accelerator funding hits.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Pricing model rejection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Outcome-based pricing requires the customer to share data on labor cost.</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Offer two SKUs from day one: outcome-based for sophisticated buyers, fixed subscription for procurement-driven buyers. Convert later as trust builds.</w:t>
            </w:r>
          </w:p>
        </w:tc>
      </w:tr>
    </w:tbl>
    <w:p>
      <w:r>
        <w:br w:type="page"/>
      </w:r>
    </w:p>
    <w:p>
      <w:pPr>
        <w:pStyle w:val="Heading1"/>
      </w:pPr>
      <w:r>
        <w:t xml:space="preserve">14. Accelerator Ask &amp; Success Metrics</w:t>
      </w:r>
    </w:p>
    <w:p>
      <w:pPr>
        <w:pStyle w:val="Heading2"/>
      </w:pPr>
      <w:r>
        <w:t xml:space="preserve">14.1 What We Ask</w:t>
      </w:r>
    </w:p>
    <w:p>
      <w:pPr>
        <w:pStyle w:val="ListParagraph"/>
        <w:numPr>
          <w:ilvl w:val="0"/>
          <w:numId w:val="2"/>
        </w:numPr>
      </w:pPr>
      <w:r>
        <w:t xml:space="preserve">Acceptance into the Anthropic × AWS Agentic AI Accelerator for the cohort with June 26, 2026 Bengaluru kickoff.</w:t>
      </w:r>
    </w:p>
    <w:p>
      <w:pPr>
        <w:pStyle w:val="ListParagraph"/>
        <w:numPr>
          <w:ilvl w:val="0"/>
          <w:numId w:val="2"/>
        </w:numPr>
      </w:pPr>
      <w:r>
        <w:t xml:space="preserve">$50,000 in AWS credits (covering Nova Act, Bedrock, infrastructure for the first 12 months).</w:t>
      </w:r>
    </w:p>
    <w:p>
      <w:pPr>
        <w:pStyle w:val="ListParagraph"/>
        <w:numPr>
          <w:ilvl w:val="0"/>
          <w:numId w:val="2"/>
        </w:numPr>
      </w:pPr>
      <w:r>
        <w:t xml:space="preserve">$20,000 in Anthropic credits (Claude Opus usage).</w:t>
      </w:r>
    </w:p>
    <w:p>
      <w:pPr>
        <w:pStyle w:val="ListParagraph"/>
        <w:numPr>
          <w:ilvl w:val="0"/>
          <w:numId w:val="2"/>
        </w:numPr>
      </w:pPr>
      <w:r>
        <w:t xml:space="preserve">Office hours with Nova Act’s product team and Anthropic’s solution architects.</w:t>
      </w:r>
    </w:p>
    <w:p>
      <w:pPr>
        <w:pStyle w:val="ListParagraph"/>
        <w:numPr>
          <w:ilvl w:val="0"/>
          <w:numId w:val="2"/>
        </w:numPr>
      </w:pPr>
      <w:r>
        <w:t xml:space="preserve">Warm introductions to two BFSI customer prospects through AWS’s mid-market sales motion.</w:t>
      </w:r>
    </w:p>
    <w:p>
      <w:pPr>
        <w:pStyle w:val="ListParagraph"/>
        <w:numPr>
          <w:ilvl w:val="0"/>
          <w:numId w:val="2"/>
        </w:numPr>
      </w:pPr>
      <w:r>
        <w:t xml:space="preserve">Inclusion in the demo day showcase.</w:t>
      </w:r>
    </w:p>
    <w:p>
      <w:pPr>
        <w:pStyle w:val="Heading2"/>
      </w:pPr>
      <w:r>
        <w:t xml:space="preserve">14.2 What We Will Deliver</w:t>
      </w:r>
    </w:p>
    <w:p>
      <w:pPr>
        <w:pStyle w:val="ListParagraph"/>
        <w:numPr>
          <w:ilvl w:val="0"/>
          <w:numId w:val="2"/>
        </w:numPr>
      </w:pPr>
      <w:r>
        <w:t xml:space="preserve">Working agent running unattended on a real or anonymized BFSI workflow by Day 21.</w:t>
      </w:r>
    </w:p>
    <w:p>
      <w:pPr>
        <w:pStyle w:val="ListParagraph"/>
        <w:numPr>
          <w:ilvl w:val="0"/>
          <w:numId w:val="2"/>
        </w:numPr>
      </w:pPr>
      <w:r>
        <w:t xml:space="preserve">Two paid pilots in progress by Day 90.</w:t>
      </w:r>
    </w:p>
    <w:p>
      <w:pPr>
        <w:pStyle w:val="ListParagraph"/>
        <w:numPr>
          <w:ilvl w:val="0"/>
          <w:numId w:val="2"/>
        </w:numPr>
      </w:pPr>
      <w:r>
        <w:t xml:space="preserve">Public technical blog post on the multi-model orchestration pattern (co-marketing opportunity for Anthropic and AWS).</w:t>
      </w:r>
    </w:p>
    <w:p>
      <w:pPr>
        <w:pStyle w:val="ListParagraph"/>
        <w:numPr>
          <w:ilvl w:val="0"/>
          <w:numId w:val="2"/>
        </w:numPr>
      </w:pPr>
      <w:r>
        <w:t xml:space="preserve">Demo day pitch tuned to the accelerator’s strategic narrative.</w:t>
      </w:r>
    </w:p>
    <w:p>
      <w:pPr>
        <w:pStyle w:val="Heading2"/>
      </w:pPr>
      <w:r>
        <w:t xml:space="preserve">14.3 Success Metrics for the Program</w:t>
      </w:r>
    </w:p>
    <w:p>
      <w:pPr>
        <w:pStyle w:val="ListParagraph"/>
        <w:numPr>
          <w:ilvl w:val="0"/>
          <w:numId w:val="2"/>
        </w:numPr>
      </w:pPr>
      <w:r>
        <w:t xml:space="preserve">Technical: ≥ 95% workflow accuracy, &lt; $1 cost per run on the MVP workflow.</w:t>
      </w:r>
    </w:p>
    <w:p>
      <w:pPr>
        <w:pStyle w:val="ListParagraph"/>
        <w:numPr>
          <w:ilvl w:val="0"/>
          <w:numId w:val="2"/>
        </w:numPr>
      </w:pPr>
      <w:r>
        <w:t xml:space="preserve">Customer: 2 paid pilots, 5+ LOIs, NPS ≥ 50 on pilot completion.</w:t>
      </w:r>
    </w:p>
    <w:p>
      <w:pPr>
        <w:pStyle w:val="ListParagraph"/>
        <w:numPr>
          <w:ilvl w:val="0"/>
          <w:numId w:val="2"/>
        </w:numPr>
      </w:pPr>
      <w:r>
        <w:t xml:space="preserve">Business: $250K ARR by month 6 post-acceptance, on-ramp to seed.</w:t>
      </w:r>
    </w:p>
    <w:p>
      <w:pPr>
        <w:pStyle w:val="ListParagraph"/>
        <w:numPr>
          <w:ilvl w:val="0"/>
          <w:numId w:val="2"/>
        </w:numPr>
      </w:pPr>
      <w:r>
        <w:t xml:space="preserve">Strategic: Featured customer story in AWS or Anthropic ecosystem channel.</w:t>
      </w:r>
    </w:p>
    <w:p>
      <w:r>
        <w:br w:type="page"/>
      </w:r>
    </w:p>
    <w:p>
      <w:pPr>
        <w:pStyle w:val="Heading1"/>
      </w:pPr>
      <w:r>
        <w:t xml:space="preserve">15. Team &amp; Vision</w:t>
      </w:r>
    </w:p>
    <w:p>
      <w:pPr>
        <w:pStyle w:val="Heading2"/>
      </w:pPr>
      <w:r>
        <w:t xml:space="preserve">15.1 Founder</w:t>
      </w:r>
    </w:p>
    <w:p>
      <w:r>
        <w:t xml:space="preserve">AJ, sole founder. The leverage thesis of BackOfficePilot is also the leverage thesis of the founding team: one operator with the right tools accomplishing what a 10-person consultancy used to take six months to deliver. Hiring plan post-accelerator: a Founding Engineer (focus on Nova Act + infra) and a Founding Customer Engineer (focus on Opus prompting + customer-facing implementation).</w:t>
      </w:r>
    </w:p>
    <w:p>
      <w:pPr>
        <w:pStyle w:val="Heading2"/>
      </w:pPr>
      <w:r>
        <w:t xml:space="preserve">15.2 Advisor Wishlist</w:t>
      </w:r>
    </w:p>
    <w:p>
      <w:pPr>
        <w:pStyle w:val="ListParagraph"/>
        <w:numPr>
          <w:ilvl w:val="0"/>
          <w:numId w:val="2"/>
        </w:numPr>
      </w:pPr>
      <w:r>
        <w:t xml:space="preserve">A former CFO of a community bank or regional insurer.</w:t>
      </w:r>
    </w:p>
    <w:p>
      <w:pPr>
        <w:pStyle w:val="ListParagraph"/>
        <w:numPr>
          <w:ilvl w:val="0"/>
          <w:numId w:val="2"/>
        </w:numPr>
      </w:pPr>
      <w:r>
        <w:t xml:space="preserve">A current operator at a process-mining or RPA company (Celonis, UiPath, etc.) who has watched the legacy approach fail at this customer profile.</w:t>
      </w:r>
    </w:p>
    <w:p>
      <w:pPr>
        <w:pStyle w:val="ListParagraph"/>
        <w:numPr>
          <w:ilvl w:val="0"/>
          <w:numId w:val="2"/>
        </w:numPr>
      </w:pPr>
      <w:r>
        <w:t xml:space="preserve">A bank-compliance advisor (BSA officer, former OCC examiner).</w:t>
      </w:r>
    </w:p>
    <w:p>
      <w:pPr>
        <w:pStyle w:val="ListParagraph"/>
        <w:numPr>
          <w:ilvl w:val="0"/>
          <w:numId w:val="2"/>
        </w:numPr>
      </w:pPr>
      <w:r>
        <w:t xml:space="preserve">An ML-systems engineer with production agent experience (Cresta, Sierra, or similar).</w:t>
      </w:r>
    </w:p>
    <w:p>
      <w:pPr>
        <w:pStyle w:val="Heading2"/>
      </w:pPr>
      <w:r>
        <w:t xml:space="preserve">15.3 The Long Vision</w:t>
      </w:r>
    </w:p>
    <w:p>
      <w:r>
        <w:t xml:space="preserve">BackOfficePilot v1 is invoice reconciliation for mid-market banks. BackOfficePilot v5, in 2030, is the operating layer for every regulated mid-market back-office: a library of dozens of workflows, each delivered as a leave-behind agent, each producing audit-grade evidence of correct decisions at a cost per transaction the customer’s internal team can never match. We expand from BFSI back-office into insurance underwriting operations, healthcare revenue cycle, and ultimately every administrative function where humans currently move data between systems with no API. The endgame is the disappearance of the mid-market back-office as a labor category — replaced by a smaller, more interesting, exception-focused team supervising a fleet of agents.</w:t>
      </w:r>
    </w:p>
    <w:p>
      <w:r>
        <w:t xml:space="preserve"/>
      </w:r>
    </w:p>
    <w:p>
      <w:r>
        <w:t xml:space="preserve"/>
      </w:r>
    </w:p>
    <w:p>
      <w:r>
        <w:rPr>
          <w:i/>
          <w:iCs/>
        </w:rPr>
        <w:t xml:space="preserve">This is what we are building. We would value the chance to build it with you.</w:t>
      </w:r>
    </w:p>
    <w:p>
      <w:r>
        <w:rPr>
          <w:i/>
          <w:iCs/>
        </w:rPr>
        <w:t xml:space="preserve">— AJ,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8"/>
        <w:szCs w:val="18"/>
      </w:rPr>
      <w:t xml:space="preserve">Page </w:t>
    </w:r>
    <w:r>
      <w:rPr>
        <w:color w:val="8C8C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8"/>
        <w:szCs w:val="18"/>
      </w:rPr>
      <w:t xml:space="preserve">BackOfficePilot ·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E2761"/>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E2761"/>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365F9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BackOfficePilot Proposal</dc:title>
  <dc:creator>AJ</dc:creator>
  <cp:lastModifiedBy>Un-named</cp:lastModifiedBy>
  <cp:revision>1</cp:revision>
  <dcterms:created xsi:type="dcterms:W3CDTF">2026-05-18T19:06:58.467Z</dcterms:created>
  <dcterms:modified xsi:type="dcterms:W3CDTF">2026-05-18T19:06:58.467Z</dcterms:modified>
</cp:coreProperties>
</file>

<file path=docProps/custom.xml><?xml version="1.0" encoding="utf-8"?>
<Properties xmlns="http://schemas.openxmlformats.org/officeDocument/2006/custom-properties" xmlns:vt="http://schemas.openxmlformats.org/officeDocument/2006/docPropsVTypes"/>
</file>