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0D4F4A"/>
          <w:sz w:val="48"/>
          <w:szCs w:val="48"/>
        </w:rPr>
        <w:t xml:space="preserve">BackOfficePilot</w:t>
      </w:r>
    </w:p>
    <w:p>
      <w:pPr>
        <w:spacing w:after="320"/>
        <w:jc w:val="center"/>
      </w:pPr>
      <w:r>
        <w:rPr>
          <w:color w:val="0D4F4A"/>
          <w:sz w:val="26"/>
          <w:szCs w:val="26"/>
        </w:rPr>
        <w:t xml:space="preserve">Multi-Model Orchestration Design Document</w:t>
      </w:r>
    </w:p>
    <w:p>
      <w:pPr>
        <w:spacing w:after="240"/>
        <w:jc w:val="center"/>
      </w:pPr>
      <w:r>
        <w:rPr>
          <w:i/>
          <w:iCs/>
          <w:color w:val="595959"/>
          <w:sz w:val="22"/>
          <w:szCs w:val="22"/>
        </w:rPr>
        <w:t xml:space="preserve">Claude Opus 4.6 + Amazon Nova Act — A Two-Brain Architecture for Production Back-Office Agents</w:t>
      </w:r>
    </w:p>
    <w:p>
      <w:pPr>
        <w:spacing w:after="240"/>
        <w:jc w:val="center"/>
      </w:pPr>
      <w:r>
        <w:rPr>
          <w:sz w:val="20"/>
          <w:szCs w:val="20"/>
        </w:rPr>
        <w:t xml:space="preserve">Version 0.1 · May 2026 · For Anthropic × AWS Agentic AI Accelerator Technical Review</w:t>
      </w:r>
    </w:p>
    <w:p>
      <w:r>
        <w:br w:type="page"/>
      </w:r>
    </w:p>
    <w:p>
      <w:pPr>
        <w:pStyle w:val="Heading1"/>
      </w:pPr>
      <w:r>
        <w:t xml:space="preserve">1. Executive Summary</w:t>
      </w:r>
    </w:p>
    <w:p>
      <w:r>
        <w:t xml:space="preserve">This document explains the engineering rationale behind BackOfficePilot’s core technical decision: separating reasoning and execution into two purpose-built models, Claude Opus 4.6 and Amazon Nova Act, and orchestrating them with a deterministic state machine. The pattern is not novel in spirit — separation of concerns is the oldest idea in systems engineering — but its application to autonomous back-office agents in 2026 is the difference between a demo and a production system.</w:t>
      </w:r>
    </w:p>
    <w:p>
      <w:r>
        <w:t xml:space="preserve">Three claims are made and defended in what follows. First, single-model approaches to back-office automation fail predictably on cost, latency, or reliability — usually all three. Second, the right partition between models is along the seam where reasoning (probabilistic, expensive, slow, smart) and execution (deterministic, cheap, fast, dumb) naturally cleave. Third, the orchestration layer that mediates between them is the most important code in the system: it is where audit guarantees, cost ceilings, and recovery semantics are enforced.</w:t>
      </w:r>
    </w:p>
    <w:p>
      <w:pPr>
        <w:pStyle w:val="Heading1"/>
      </w:pPr>
      <w:r>
        <w:t xml:space="preserve">2. Why Single-Model Approaches Fail</w:t>
      </w:r>
    </w:p>
    <w:p>
      <w:r>
        <w:t xml:space="preserve">Three single-model paths have been tried by the agent-startup ecosystem since GPT-4 launched. Each fails on a specific axis.</w:t>
      </w:r>
    </w:p>
    <w:p>
      <w:pPr>
        <w:pStyle w:val="Heading2"/>
      </w:pPr>
      <w:r>
        <w:t xml:space="preserve">2.1 “Just use Opus / GPT for everything”</w:t>
      </w:r>
    </w:p>
    <w:p>
      <w:r>
        <w:t xml:space="preserve">A general-purpose reasoning model is asked to plan, decide, and execute UI actions. This works for demos. It fails for production at three points:</w:t>
      </w:r>
    </w:p>
    <w:p>
      <w:pPr>
        <w:pStyle w:val="ListParagraph"/>
        <w:numPr>
          <w:ilvl w:val="0"/>
          <w:numId w:val="2"/>
        </w:numPr>
      </w:pPr>
      <w:r>
        <w:t xml:space="preserve">Cost. Reasoning models cost $5–$25 per million tokens on the input/output split. A 30-minute UI workflow generates 50K–200K tokens of action context, function-call payloads, and screenshot descriptions. Per-run cost lands at $1.50–$5. For workflows that run hundreds of times per day, this is fatal.</w:t>
      </w:r>
    </w:p>
    <w:p>
      <w:pPr>
        <w:pStyle w:val="ListParagraph"/>
        <w:numPr>
          <w:ilvl w:val="0"/>
          <w:numId w:val="2"/>
        </w:numPr>
      </w:pPr>
      <w:r>
        <w:t xml:space="preserve">Latency. Reasoning models have multi-second latency per call. UI execution requires hundreds of micro-decisions per minute. The model becomes the bottleneck.</w:t>
      </w:r>
    </w:p>
    <w:p>
      <w:pPr>
        <w:pStyle w:val="ListParagraph"/>
        <w:numPr>
          <w:ilvl w:val="0"/>
          <w:numId w:val="2"/>
        </w:numPr>
      </w:pPr>
      <w:r>
        <w:t xml:space="preserve">Reliability of routine actions. Reasoning models are tuned to be creative and contextual — the same properties that make them good at policy interpretation make them inconsistent on the 200th repetition of “click the Submit button on this form.”</w:t>
      </w:r>
    </w:p>
    <w:p>
      <w:pPr>
        <w:pStyle w:val="Heading2"/>
      </w:pPr>
      <w:r>
        <w:t xml:space="preserve">2.2 “Just use Nova Act / browser-use for everything”</w:t>
      </w:r>
    </w:p>
    <w:p>
      <w:r>
        <w:t xml:space="preserve">A specialized UI agent is asked to handle the whole workflow including any reasoning. Nova Act has limited reasoning depth by design — the planning model in its two-tier architecture is optimized for UI decomposition, not for interpreting a 47-page sanctions-screening policy.</w:t>
      </w:r>
    </w:p>
    <w:p>
      <w:pPr>
        <w:pStyle w:val="ListParagraph"/>
        <w:numPr>
          <w:ilvl w:val="0"/>
          <w:numId w:val="2"/>
        </w:numPr>
      </w:pPr>
      <w:r>
        <w:t xml:space="preserve">It will faithfully follow a bad plan. Without a strong reasoner, it cannot tell that a fuzzy invoice match should escalate.</w:t>
      </w:r>
    </w:p>
    <w:p>
      <w:pPr>
        <w:pStyle w:val="ListParagraph"/>
        <w:numPr>
          <w:ilvl w:val="0"/>
          <w:numId w:val="2"/>
        </w:numPr>
      </w:pPr>
      <w:r>
        <w:t xml:space="preserve">It cannot defend its decisions. Audit-grade narrative explanation is not its job.</w:t>
      </w:r>
    </w:p>
    <w:p>
      <w:pPr>
        <w:pStyle w:val="ListParagraph"/>
        <w:numPr>
          <w:ilvl w:val="0"/>
          <w:numId w:val="2"/>
        </w:numPr>
      </w:pPr>
      <w:r>
        <w:t xml:space="preserve">Policy updates require code changes to its scripts rather than prompt updates to a reasoner.</w:t>
      </w:r>
    </w:p>
    <w:p>
      <w:pPr>
        <w:pStyle w:val="Heading2"/>
      </w:pPr>
      <w:r>
        <w:t xml:space="preserve">2.3 “Fine-tune one model on our data”</w:t>
      </w:r>
    </w:p>
    <w:p>
      <w:r>
        <w:t xml:space="preserve">Tempting and expensive. Three issues:</w:t>
      </w:r>
    </w:p>
    <w:p>
      <w:pPr>
        <w:pStyle w:val="ListParagraph"/>
        <w:numPr>
          <w:ilvl w:val="0"/>
          <w:numId w:val="2"/>
        </w:numPr>
      </w:pPr>
      <w:r>
        <w:t xml:space="preserve">Customer data is sparse early. We do not have the volume to fine-tune meaningfully until we have many customers.</w:t>
      </w:r>
    </w:p>
    <w:p>
      <w:pPr>
        <w:pStyle w:val="ListParagraph"/>
        <w:numPr>
          <w:ilvl w:val="0"/>
          <w:numId w:val="2"/>
        </w:numPr>
      </w:pPr>
      <w:r>
        <w:t xml:space="preserve">Foundation model improvements outpace fine-tuned derivatives. Every Opus upgrade we get for free; every fine-tune we shipped costs us a re-train.</w:t>
      </w:r>
    </w:p>
    <w:p>
      <w:pPr>
        <w:pStyle w:val="ListParagraph"/>
        <w:numPr>
          <w:ilvl w:val="0"/>
          <w:numId w:val="2"/>
        </w:numPr>
      </w:pPr>
      <w:r>
        <w:t xml:space="preserve">It locks us into one vendor. The multi-model architecture preserves optionality.</w:t>
      </w:r>
    </w:p>
    <w:p>
      <w:r>
        <w:br w:type="page"/>
      </w:r>
    </w:p>
    <w:p>
      <w:pPr>
        <w:pStyle w:val="Heading1"/>
      </w:pPr>
      <w:r>
        <w:t xml:space="preserve">3. The Two-Brain Architecture</w:t>
      </w:r>
    </w:p>
    <w:p>
      <w:pPr>
        <w:pStyle w:val="Heading2"/>
      </w:pPr>
      <w:r>
        <w:t xml:space="preserve">3.1 Role of Claude Opus 4.6 (the Reasoner)</w:t>
      </w:r>
    </w:p>
    <w:p>
      <w:r>
        <w:t xml:space="preserve">Opus owns the parts of the workflow that require judgment, context, or compliance-grade explanation:</w:t>
      </w:r>
    </w:p>
    <w:p>
      <w:pPr>
        <w:pStyle w:val="ListParagraph"/>
        <w:numPr>
          <w:ilvl w:val="0"/>
          <w:numId w:val="2"/>
        </w:numPr>
      </w:pPr>
      <w:r>
        <w:t xml:space="preserve">Workflow planning: read the workflow definition + customer policy + current state, produce a structured plan.</w:t>
      </w:r>
    </w:p>
    <w:p>
      <w:pPr>
        <w:pStyle w:val="ListParagraph"/>
        <w:numPr>
          <w:ilvl w:val="0"/>
          <w:numId w:val="2"/>
        </w:numPr>
      </w:pPr>
      <w:r>
        <w:t xml:space="preserve">Exception handling: when the executor returns an unexpected observation (e.g., a payment amount that does not match any invoice), Opus decides whether to retry, escalate, or branch.</w:t>
      </w:r>
    </w:p>
    <w:p>
      <w:pPr>
        <w:pStyle w:val="ListParagraph"/>
        <w:numPr>
          <w:ilvl w:val="0"/>
          <w:numId w:val="2"/>
        </w:numPr>
      </w:pPr>
      <w:r>
        <w:t xml:space="preserve">Policy interpretation: when a transaction needs to be classified against the customer’s rule set, Opus reads the rules and produces a decision plus a defensible explanation.</w:t>
      </w:r>
    </w:p>
    <w:p>
      <w:pPr>
        <w:pStyle w:val="ListParagraph"/>
        <w:numPr>
          <w:ilvl w:val="0"/>
          <w:numId w:val="2"/>
        </w:numPr>
      </w:pPr>
      <w:r>
        <w:t xml:space="preserve">Audit narration: at every decision point, Opus writes a one-paragraph rationale. These paragraphs are the customer’s audit evidence.</w:t>
      </w:r>
    </w:p>
    <w:p>
      <w:r>
        <w:t xml:space="preserve">Opus runs on AWS Bedrock with prompt caching enabled for long-lived context (customer policies, workflow definitions). Cached prefixes cost 10% of input tokens. A typical run sees 8K input tokens (mostly cached) plus 2K of output tokens — about $0.04 in raw inference cost.</w:t>
      </w:r>
    </w:p>
    <w:p>
      <w:pPr>
        <w:pStyle w:val="Heading2"/>
      </w:pPr>
      <w:r>
        <w:t xml:space="preserve">3.2 Role of Amazon Nova Act (the Executor)</w:t>
      </w:r>
    </w:p>
    <w:p>
      <w:r>
        <w:t xml:space="preserve">Nova Act owns everything that touches a UI:</w:t>
      </w:r>
    </w:p>
    <w:p>
      <w:pPr>
        <w:pStyle w:val="ListParagraph"/>
        <w:numPr>
          <w:ilvl w:val="0"/>
          <w:numId w:val="2"/>
        </w:numPr>
      </w:pPr>
      <w:r>
        <w:t xml:space="preserve">Browser automation: log in to the customer’s ERP, banking portal, lending CRM, regulatory filing system. Navigate menus. Fill forms. Download files.</w:t>
      </w:r>
    </w:p>
    <w:p>
      <w:pPr>
        <w:pStyle w:val="ListParagraph"/>
        <w:numPr>
          <w:ilvl w:val="0"/>
          <w:numId w:val="2"/>
        </w:numPr>
      </w:pPr>
      <w:r>
        <w:t xml:space="preserve">Desktop automation (via GA roadmap features): SAP GUI, Citrix-wrapped legacy apps.</w:t>
      </w:r>
    </w:p>
    <w:p>
      <w:pPr>
        <w:pStyle w:val="ListParagraph"/>
        <w:numPr>
          <w:ilvl w:val="0"/>
          <w:numId w:val="2"/>
        </w:numPr>
      </w:pPr>
      <w:r>
        <w:t xml:space="preserve">Document handling: open PDFs, extract text from images via Nova’s built-in vision.</w:t>
      </w:r>
    </w:p>
    <w:p>
      <w:pPr>
        <w:pStyle w:val="ListParagraph"/>
        <w:numPr>
          <w:ilvl w:val="0"/>
          <w:numId w:val="2"/>
        </w:numPr>
      </w:pPr>
      <w:r>
        <w:t xml:space="preserve">Wait states: when an external system is slow, Nova Act waits — and waited-time is not billed.</w:t>
      </w:r>
    </w:p>
    <w:p>
      <w:r>
        <w:t xml:space="preserve">Nova Act is billed at $4.75 per agent-hour. A 6-minute reconciliation run costs $0.48 in execution. Nova Act exposes a Python SDK; we wrap it in a thin RPC layer so the orchestrator can call it as a microservice.</w:t>
      </w:r>
    </w:p>
    <w:p>
      <w:pPr>
        <w:pStyle w:val="Heading2"/>
      </w:pPr>
      <w:r>
        <w:t xml:space="preserve">3.3 Orchestration Layer (Where the Magic Lives)</w:t>
      </w:r>
    </w:p>
    <w:p>
      <w:r>
        <w:t xml:space="preserve">The orchestrator is the determined-everything kernel between the two models. It is a finite state machine implemented in Python on AWS Lambda + Step Functions. Its responsibilities:</w:t>
      </w:r>
    </w:p>
    <w:p>
      <w:pPr>
        <w:pStyle w:val="ListParagraph"/>
        <w:numPr>
          <w:ilvl w:val="0"/>
          <w:numId w:val="2"/>
        </w:numPr>
      </w:pPr>
      <w:r>
        <w:t xml:space="preserve">Mediate every Opus ↔ Nova handoff through typed JSON contracts.</w:t>
      </w:r>
    </w:p>
    <w:p>
      <w:pPr>
        <w:pStyle w:val="ListParagraph"/>
        <w:numPr>
          <w:ilvl w:val="0"/>
          <w:numId w:val="2"/>
        </w:numPr>
      </w:pPr>
      <w:r>
        <w:t xml:space="preserve">Enforce per-run cost ceilings (kill switch when token spend exceeds budget).</w:t>
      </w:r>
    </w:p>
    <w:p>
      <w:pPr>
        <w:pStyle w:val="ListParagraph"/>
        <w:numPr>
          <w:ilvl w:val="0"/>
          <w:numId w:val="2"/>
        </w:numPr>
      </w:pPr>
      <w:r>
        <w:t xml:space="preserve">Manage retries, timeouts, and circuit breakers per system.</w:t>
      </w:r>
    </w:p>
    <w:p>
      <w:pPr>
        <w:pStyle w:val="ListParagraph"/>
        <w:numPr>
          <w:ilvl w:val="0"/>
          <w:numId w:val="2"/>
        </w:numPr>
      </w:pPr>
      <w:r>
        <w:t xml:space="preserve">Write the full audit log to S3 + DynamoDB with cryptographic hashing for tamper evidence.</w:t>
      </w:r>
    </w:p>
    <w:p>
      <w:pPr>
        <w:pStyle w:val="ListParagraph"/>
        <w:numPr>
          <w:ilvl w:val="0"/>
          <w:numId w:val="2"/>
        </w:numPr>
      </w:pPr>
      <w:r>
        <w:t xml:space="preserve">Escalate to humans via Slack/Teams when the agent flags low confidence.</w:t>
      </w:r>
    </w:p>
    <w:p>
      <w:pPr>
        <w:pStyle w:val="ListParagraph"/>
        <w:numPr>
          <w:ilvl w:val="0"/>
          <w:numId w:val="2"/>
        </w:numPr>
      </w:pPr>
      <w:r>
        <w:t xml:space="preserve">Update the customer-facing dashboard with run status.</w:t>
      </w:r>
    </w:p>
    <w:p>
      <w:r>
        <w:br w:type="page"/>
      </w:r>
    </w:p>
    <w:p>
      <w:pPr>
        <w:pStyle w:val="Heading1"/>
      </w:pPr>
      <w:r>
        <w:t xml:space="preserve">4. The Handoff Protocol</w:t>
      </w:r>
    </w:p>
    <w:p>
      <w:pPr>
        <w:pStyle w:val="Heading2"/>
      </w:pPr>
      <w:r>
        <w:t xml:space="preserve">4.1 The Plan-Execute-Reconcile Loop</w:t>
      </w:r>
    </w:p>
    <w:p>
      <w:r>
        <w:t xml:space="preserve">Each agent run progresses through a deterministic loop:</w:t>
      </w:r>
    </w:p>
    <w:p>
      <w:pPr>
        <w:shd w:fill="F5F5F5" w:val="clear"/>
        <w:spacing w:after="80" w:before="80"/>
      </w:pPr>
      <w:r>
        <w:rPr>
          <w:rFonts w:ascii="Consolas" w:cs="Consolas" w:eastAsia="Consolas" w:hAnsi="Consolas"/>
          <w:sz w:val="20"/>
          <w:szCs w:val="20"/>
        </w:rPr>
        <w:t xml:space="preserve">PLAN → EXECUTE → RECONCILE → (advance | retry | escalate) → COMMIT</w:t>
      </w:r>
    </w:p>
    <w:p>
      <w:r>
        <w:t xml:space="preserve"/>
      </w:r>
    </w:p>
    <w:p>
      <w:r>
        <w:t xml:space="preserve">Step by step:</w:t>
      </w:r>
    </w:p>
    <w:p>
      <w:pPr>
        <w:pStyle w:val="Heading3"/>
      </w:pPr>
      <w:r>
        <w:t xml:space="preserve">PLAN (Opus)</w:t>
      </w:r>
    </w:p>
    <w:p>
      <w:r>
        <w:t xml:space="preserve">Inputs: workflow definition, customer policy bundle (cached), current state object.</w:t>
      </w:r>
    </w:p>
    <w:p>
      <w:r>
        <w:t xml:space="preserve">Outputs: typed JSON object:</w:t>
      </w:r>
    </w:p>
    <w:p>
      <w:pPr>
        <w:shd w:fill="F5F5F5" w:val="clear"/>
        <w:spacing w:after="80" w:before="80"/>
      </w:pPr>
      <w:r>
        <w:rPr>
          <w:rFonts w:ascii="Consolas" w:cs="Consolas" w:eastAsia="Consolas" w:hAnsi="Consolas"/>
          <w:sz w:val="20"/>
          <w:szCs w:val="20"/>
        </w:rPr>
        <w:t xml:space="preserve">{
  "plan_id": "...",
  "steps": [
    {
      "step_id": "s1",
      "intent": "Download August transaction file from the Treasury portal",
      "system": "treasury_portal",
      "success_criteria": {
        "file_present": true,
        "file_format": "csv",
        "min_rows": 30
      },
      "max_retries": 2,
      "escalation_policy": "human_review"
    },
    ...
  ],
  "reasoning": "..."
}</w:t>
      </w:r>
    </w:p>
    <w:p>
      <w:pPr>
        <w:pStyle w:val="Heading3"/>
      </w:pPr>
      <w:r>
        <w:t xml:space="preserve">EXECUTE (Nova Act)</w:t>
      </w:r>
    </w:p>
    <w:p>
      <w:r>
        <w:t xml:space="preserve">Each step’s `intent` is passed to Nova Act with the system credentials and the success criteria. Nova Act decomposes the intent into UI actions, executes them, and returns:</w:t>
      </w:r>
    </w:p>
    <w:p>
      <w:pPr>
        <w:shd w:fill="F5F5F5" w:val="clear"/>
        <w:spacing w:after="80" w:before="80"/>
      </w:pPr>
      <w:r>
        <w:rPr>
          <w:rFonts w:ascii="Consolas" w:cs="Consolas" w:eastAsia="Consolas" w:hAnsi="Consolas"/>
          <w:sz w:val="20"/>
          <w:szCs w:val="20"/>
        </w:rPr>
        <w:t xml:space="preserve">{
  "step_id": "s1",
  "status": "success | failure | partial",
  "observations": { "file_path": "s3://...", "rows": 47 },
  "actions_taken": [...],
  "duration_seconds": 14,
  "screenshots": [...]
}</w:t>
      </w:r>
    </w:p>
    <w:p>
      <w:pPr>
        <w:pStyle w:val="Heading3"/>
      </w:pPr>
      <w:r>
        <w:t xml:space="preserve">RECONCILE (Opus)</w:t>
      </w:r>
    </w:p>
    <w:p>
      <w:r>
        <w:t xml:space="preserve">The orchestrator passes the step result back to Opus with the plan. Opus decides:</w:t>
      </w:r>
    </w:p>
    <w:p>
      <w:pPr>
        <w:pStyle w:val="ListParagraph"/>
        <w:numPr>
          <w:ilvl w:val="0"/>
          <w:numId w:val="2"/>
        </w:numPr>
      </w:pPr>
      <w:r>
        <w:t xml:space="preserve">advance: criteria met, proceed to next step.</w:t>
      </w:r>
    </w:p>
    <w:p>
      <w:pPr>
        <w:pStyle w:val="ListParagraph"/>
        <w:numPr>
          <w:ilvl w:val="0"/>
          <w:numId w:val="2"/>
        </w:numPr>
      </w:pPr>
      <w:r>
        <w:t xml:space="preserve">retry: transient failure, attempt again.</w:t>
      </w:r>
    </w:p>
    <w:p>
      <w:pPr>
        <w:pStyle w:val="ListParagraph"/>
        <w:numPr>
          <w:ilvl w:val="0"/>
          <w:numId w:val="2"/>
        </w:numPr>
      </w:pPr>
      <w:r>
        <w:t xml:space="preserve">escalate: human review needed; pause and notify.</w:t>
      </w:r>
    </w:p>
    <w:p>
      <w:pPr>
        <w:pStyle w:val="ListParagraph"/>
        <w:numPr>
          <w:ilvl w:val="0"/>
          <w:numId w:val="2"/>
        </w:numPr>
      </w:pPr>
      <w:r>
        <w:t xml:space="preserve">abort: unrecoverable, commit the partial run and write the failure audit log.</w:t>
      </w:r>
    </w:p>
    <w:p>
      <w:pPr>
        <w:pStyle w:val="Heading3"/>
      </w:pPr>
      <w:r>
        <w:t xml:space="preserve">COMMIT</w:t>
      </w:r>
    </w:p>
    <w:p>
      <w:r>
        <w:t xml:space="preserve">After the final step’s reconcile, the orchestrator writes the full run bundle to durable storage and notifies downstream consumers (customer dashboard, finance system webhook).</w:t>
      </w:r>
    </w:p>
    <w:p>
      <w:r>
        <w:br w:type="page"/>
      </w:r>
    </w:p>
    <w:p>
      <w:pPr>
        <w:pStyle w:val="Heading2"/>
      </w:pPr>
      <w:r>
        <w:t xml:space="preserve">4.2 Schema-First Design</w:t>
      </w:r>
    </w:p>
    <w:p>
      <w:r>
        <w:t xml:space="preserve">Both Opus outputs and Nova Act inputs/outputs are validated against JSON schemas at every step. Schema violations trigger a controlled failure path, never an uncaught exception. This is the discipline that converts probabilistic models into production systems.</w:t>
      </w:r>
    </w:p>
    <w:p>
      <w:pPr>
        <w:pStyle w:val="Heading2"/>
      </w:pPr>
      <w:r>
        <w:t xml:space="preserve">4.3 Prompt Caching Strategy</w:t>
      </w:r>
    </w:p>
    <w:p>
      <w:r>
        <w:t xml:space="preserve">The customer’s policy bundle and workflow definition are large (5K–20K tokens) but stable across runs. We use Bedrock’s prompt caching:</w:t>
      </w:r>
    </w:p>
    <w:p>
      <w:pPr>
        <w:pStyle w:val="ListParagraph"/>
        <w:numPr>
          <w:ilvl w:val="0"/>
          <w:numId w:val="2"/>
        </w:numPr>
      </w:pPr>
      <w:r>
        <w:t xml:space="preserve">Cache prefix: customer policy bundle + workflow definition (sticky for 5 minutes, refreshed on workflow updates).</w:t>
      </w:r>
    </w:p>
    <w:p>
      <w:pPr>
        <w:pStyle w:val="ListParagraph"/>
        <w:numPr>
          <w:ilvl w:val="0"/>
          <w:numId w:val="2"/>
        </w:numPr>
      </w:pPr>
      <w:r>
        <w:t xml:space="preserve">Per-run input: current state, step result observations. ~500–2,000 tokens.</w:t>
      </w:r>
    </w:p>
    <w:p>
      <w:pPr>
        <w:pStyle w:val="ListParagraph"/>
        <w:numPr>
          <w:ilvl w:val="0"/>
          <w:numId w:val="2"/>
        </w:numPr>
      </w:pPr>
      <w:r>
        <w:t xml:space="preserve">Effective input cost: 90% of input bytes are cached, paid at 10% of $5/M = $0.50/M.</w:t>
      </w:r>
    </w:p>
    <w:p>
      <w:pPr>
        <w:pStyle w:val="Heading2"/>
      </w:pPr>
      <w:r>
        <w:t xml:space="preserve">4.4 Cost Ceilings</w:t>
      </w:r>
    </w:p>
    <w:p>
      <w:r>
        <w:t xml:space="preserve">Per-run hard cap configured per workflow. Default for invoice reconciliation: $1.00 total. The orchestrator tracks running token spend + Nova Act seconds; on ceiling breach it aborts cleanly and escalates.</w:t>
      </w:r>
    </w:p>
    <w:p>
      <w:pPr>
        <w:pStyle w:val="Heading1"/>
      </w:pPr>
      <w:r>
        <w:t xml:space="preserve">5. Failure Modes &amp;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0D9488" w:val="clear"/>
            <w:tcMar>
              <w:top w:type="dxa" w:w="100"/>
              <w:left w:type="dxa" w:w="140"/>
              <w:bottom w:type="dxa" w:w="100"/>
              <w:right w:type="dxa" w:w="140"/>
            </w:tcMar>
          </w:tcPr>
          <w:p>
            <w:r>
              <w:rPr>
                <w:b/>
                <w:bCs/>
                <w:color w:val="FFFFFF"/>
                <w:sz w:val="22"/>
                <w:szCs w:val="22"/>
              </w:rPr>
              <w:t xml:space="preserve">Failure mode</w:t>
            </w:r>
          </w:p>
        </w:tc>
        <w:tc>
          <w:tcPr>
            <w:tcW w:type="dxa" w:w="3500"/>
            <w:tcBorders>
              <w:top w:val="single" w:color="BFBFBF" w:sz="4"/>
              <w:left w:val="single" w:color="BFBFBF" w:sz="4"/>
              <w:bottom w:val="single" w:color="BFBFBF" w:sz="4"/>
              <w:right w:val="single" w:color="BFBFBF" w:sz="4"/>
            </w:tcBorders>
            <w:shd w:fill="0D9488" w:val="clear"/>
            <w:tcMar>
              <w:top w:type="dxa" w:w="100"/>
              <w:left w:type="dxa" w:w="140"/>
              <w:bottom w:type="dxa" w:w="100"/>
              <w:right w:type="dxa" w:w="140"/>
            </w:tcMar>
          </w:tcPr>
          <w:p>
            <w:r>
              <w:rPr>
                <w:b/>
                <w:bCs/>
                <w:color w:val="FFFFFF"/>
                <w:sz w:val="22"/>
                <w:szCs w:val="22"/>
              </w:rPr>
              <w:t xml:space="preserve">Detection</w:t>
            </w:r>
          </w:p>
        </w:tc>
        <w:tc>
          <w:tcPr>
            <w:tcW w:type="dxa" w:w="3460"/>
            <w:tcBorders>
              <w:top w:val="single" w:color="BFBFBF" w:sz="4"/>
              <w:left w:val="single" w:color="BFBFBF" w:sz="4"/>
              <w:bottom w:val="single" w:color="BFBFBF" w:sz="4"/>
              <w:right w:val="single" w:color="BFBFBF" w:sz="4"/>
            </w:tcBorders>
            <w:shd w:fill="0D9488" w:val="clear"/>
            <w:tcMar>
              <w:top w:type="dxa" w:w="100"/>
              <w:left w:type="dxa" w:w="140"/>
              <w:bottom w:type="dxa" w:w="100"/>
              <w:right w:type="dxa" w:w="140"/>
            </w:tcMar>
          </w:tcPr>
          <w:p>
            <w:r>
              <w:rPr>
                <w:b/>
                <w:bCs/>
                <w:color w:val="FFFFFF"/>
                <w:sz w:val="22"/>
                <w:szCs w:val="22"/>
              </w:rPr>
              <w:t xml:space="preserve">Recovery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Opus returns malformed JSON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Schema validator fails to parse output.</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One re-prompt with explicit schema. If second fails, escalate the run.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Nova Act cannot find a UI element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Step returns status=failure with element-not-found.</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Opus re-plans: was a system update made? Different login state? Up to N retries with backoff. Escalate after.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Customer system is down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Repeated step failures from one system within a window.</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Circuit breaker opens for that system; runs pause; Slack notification to ops.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Opus low-confidence decision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Output includes self-reported confidence &lt; threshold.</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Auto-escalate. Capture the partial state for the human reviewer.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Cost ceiling breached</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Running tally exceeds per-run cap.</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Abort with a structured “budget_exceeded” reason. Page the operator if it happens twice for the same workflow in 24 hours.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bCs/>
                <w:sz w:val="20"/>
                <w:szCs w:val="20"/>
              </w:rPr>
              <w:t xml:space="preserve">Credential rotation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Login failure on a system whose credentials worked yesterday.</w:t>
            </w:r>
          </w:p>
        </w:tc>
        <w:tc>
          <w:tcPr>
            <w:tcW w:type="dxa" w:w="34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sz w:val="20"/>
                <w:szCs w:val="20"/>
              </w:rPr>
              <w:t xml:space="preserve">Detect 401/403 patterns; pause workflow; request fresh secret from Secrets Manager.</w:t>
            </w:r>
          </w:p>
        </w:tc>
      </w:tr>
    </w:tbl>
    <w:p>
      <w:r>
        <w:br w:type="page"/>
      </w:r>
    </w:p>
    <w:p>
      <w:pPr>
        <w:pStyle w:val="Heading1"/>
      </w:pPr>
      <w:r>
        <w:t xml:space="preserve">6. Audit Trail &amp; Compliance</w:t>
      </w:r>
    </w:p>
    <w:p>
      <w:r>
        <w:t xml:space="preserve">The audit trail is not a nice-to-have. For BFSI customers it is the primary product. A run that completes successfully but cannot be defended in audit is a failed run.</w:t>
      </w:r>
    </w:p>
    <w:p>
      <w:pPr>
        <w:pStyle w:val="Heading2"/>
      </w:pPr>
      <w:r>
        <w:t xml:space="preserve">6.1 What we log</w:t>
      </w:r>
    </w:p>
    <w:p>
      <w:pPr>
        <w:pStyle w:val="ListParagraph"/>
        <w:numPr>
          <w:ilvl w:val="0"/>
          <w:numId w:val="2"/>
        </w:numPr>
      </w:pPr>
      <w:r>
        <w:t xml:space="preserve">Every Opus call: input prompt (with redaction of PII), output, token usage, model version.</w:t>
      </w:r>
    </w:p>
    <w:p>
      <w:pPr>
        <w:pStyle w:val="ListParagraph"/>
        <w:numPr>
          <w:ilvl w:val="0"/>
          <w:numId w:val="2"/>
        </w:numPr>
      </w:pPr>
      <w:r>
        <w:t xml:space="preserve">Every Nova Act call: intent, observed outcome, screenshots (selectively, for sensitive workflows), duration.</w:t>
      </w:r>
    </w:p>
    <w:p>
      <w:pPr>
        <w:pStyle w:val="ListParagraph"/>
        <w:numPr>
          <w:ilvl w:val="0"/>
          <w:numId w:val="2"/>
        </w:numPr>
      </w:pPr>
      <w:r>
        <w:t xml:space="preserve">Every state transition in the orchestrator.</w:t>
      </w:r>
    </w:p>
    <w:p>
      <w:pPr>
        <w:pStyle w:val="ListParagraph"/>
        <w:numPr>
          <w:ilvl w:val="0"/>
          <w:numId w:val="2"/>
        </w:numPr>
      </w:pPr>
      <w:r>
        <w:t xml:space="preserve">Every human escalation: who responded, what decision, when.</w:t>
      </w:r>
    </w:p>
    <w:p>
      <w:pPr>
        <w:pStyle w:val="ListParagraph"/>
        <w:numPr>
          <w:ilvl w:val="0"/>
          <w:numId w:val="2"/>
        </w:numPr>
      </w:pPr>
      <w:r>
        <w:t xml:space="preserve">Every external system interaction: hostname, request signature, response status.</w:t>
      </w:r>
    </w:p>
    <w:p>
      <w:pPr>
        <w:pStyle w:val="Heading2"/>
      </w:pPr>
      <w:r>
        <w:t xml:space="preserve">6.2 How we store it</w:t>
      </w:r>
    </w:p>
    <w:p>
      <w:pPr>
        <w:pStyle w:val="ListParagraph"/>
        <w:numPr>
          <w:ilvl w:val="0"/>
          <w:numId w:val="2"/>
        </w:numPr>
      </w:pPr>
      <w:r>
        <w:t xml:space="preserve">S3 with object lock (WORM mode) for the run bundles.</w:t>
      </w:r>
    </w:p>
    <w:p>
      <w:pPr>
        <w:pStyle w:val="ListParagraph"/>
        <w:numPr>
          <w:ilvl w:val="0"/>
          <w:numId w:val="2"/>
        </w:numPr>
      </w:pPr>
      <w:r>
        <w:t xml:space="preserve">DynamoDB index for fast queryability.</w:t>
      </w:r>
    </w:p>
    <w:p>
      <w:pPr>
        <w:pStyle w:val="ListParagraph"/>
        <w:numPr>
          <w:ilvl w:val="0"/>
          <w:numId w:val="2"/>
        </w:numPr>
      </w:pPr>
      <w:r>
        <w:t xml:space="preserve">SHA-256 hash chain across run events; each event references the previous event’s hash. Tamper evidence built-in.</w:t>
      </w:r>
    </w:p>
    <w:p>
      <w:pPr>
        <w:pStyle w:val="ListParagraph"/>
        <w:numPr>
          <w:ilvl w:val="0"/>
          <w:numId w:val="2"/>
        </w:numPr>
      </w:pPr>
      <w:r>
        <w:t xml:space="preserve">Customer-managed KMS keys for at-rest encryption. We never see the keys.</w:t>
      </w:r>
    </w:p>
    <w:p>
      <w:pPr>
        <w:pStyle w:val="Heading2"/>
      </w:pPr>
      <w:r>
        <w:t xml:space="preserve">6.3 The reviewer’s experience</w:t>
      </w:r>
    </w:p>
    <w:p>
      <w:r>
        <w:t xml:space="preserve">A compliance officer auditing a year of agent activity can: query by date range, by customer, by decision outcome; export a CSV or PDF run report; replay a run’s decisions side-by-side with the policy text version that was active at the time. This is materially better evidence than a human-completed checklist.</w:t>
      </w:r>
    </w:p>
    <w:p>
      <w:pPr>
        <w:pStyle w:val="Heading1"/>
      </w:pPr>
      <w:r>
        <w:t xml:space="preserve">7. Cost &amp; Latency Optimization</w:t>
      </w:r>
    </w:p>
    <w:p>
      <w:pPr>
        <w:pStyle w:val="Heading2"/>
      </w:pPr>
      <w:r>
        <w:t xml:space="preserve">7.1 Cost Levers</w:t>
      </w:r>
    </w:p>
    <w:p>
      <w:pPr>
        <w:pStyle w:val="ListParagraph"/>
        <w:numPr>
          <w:ilvl w:val="0"/>
          <w:numId w:val="2"/>
        </w:numPr>
      </w:pPr>
      <w:r>
        <w:t xml:space="preserve">Prompt caching for stable context (90% input cost reduction).</w:t>
      </w:r>
    </w:p>
    <w:p>
      <w:pPr>
        <w:pStyle w:val="ListParagraph"/>
        <w:numPr>
          <w:ilvl w:val="0"/>
          <w:numId w:val="2"/>
        </w:numPr>
      </w:pPr>
      <w:r>
        <w:t xml:space="preserve">Batch API for non-real-time runs like overnight reconciliation (50% on both input and output).</w:t>
      </w:r>
    </w:p>
    <w:p>
      <w:pPr>
        <w:pStyle w:val="ListParagraph"/>
        <w:numPr>
          <w:ilvl w:val="0"/>
          <w:numId w:val="2"/>
        </w:numPr>
      </w:pPr>
      <w:r>
        <w:t xml:space="preserve">Skip Opus on routine cases. The orchestrator has a fast path: if the previous run’s plan still applies and inputs are structurally identical, reuse the plan and only invoke Opus on exceptions.</w:t>
      </w:r>
    </w:p>
    <w:p>
      <w:pPr>
        <w:pStyle w:val="ListParagraph"/>
        <w:numPr>
          <w:ilvl w:val="0"/>
          <w:numId w:val="2"/>
        </w:numPr>
      </w:pPr>
      <w:r>
        <w:t xml:space="preserve">Use Sonnet (cheaper Claude) for low-stakes sub-decisions. Opus is reserved for the high-stakes path.</w:t>
      </w:r>
    </w:p>
    <w:p>
      <w:pPr>
        <w:pStyle w:val="ListParagraph"/>
        <w:numPr>
          <w:ilvl w:val="0"/>
          <w:numId w:val="2"/>
        </w:numPr>
      </w:pPr>
      <w:r>
        <w:t xml:space="preserve">Tune Nova Act timeouts. A run that waits 30 minutes on a slow customer system is billed for the wait; aggressive timeouts cap downside.</w:t>
      </w:r>
    </w:p>
    <w:p>
      <w:pPr>
        <w:pStyle w:val="Heading2"/>
      </w:pPr>
      <w:r>
        <w:t xml:space="preserve">7.2 Latency Levers</w:t>
      </w:r>
    </w:p>
    <w:p>
      <w:pPr>
        <w:pStyle w:val="ListParagraph"/>
        <w:numPr>
          <w:ilvl w:val="0"/>
          <w:numId w:val="2"/>
        </w:numPr>
      </w:pPr>
      <w:r>
        <w:t xml:space="preserve">Parallelize across independent steps. The orchestrator inspects the plan’s DAG; non-dependent steps fan out.</w:t>
      </w:r>
    </w:p>
    <w:p>
      <w:pPr>
        <w:pStyle w:val="ListParagraph"/>
        <w:numPr>
          <w:ilvl w:val="0"/>
          <w:numId w:val="2"/>
        </w:numPr>
      </w:pPr>
      <w:r>
        <w:t xml:space="preserve">Speculative execution. While Opus reconciles step N, Nova Act can start step N+1 if the plan flagged it as safely re-orderable.</w:t>
      </w:r>
    </w:p>
    <w:p>
      <w:pPr>
        <w:pStyle w:val="ListParagraph"/>
        <w:numPr>
          <w:ilvl w:val="0"/>
          <w:numId w:val="2"/>
        </w:numPr>
      </w:pPr>
      <w:r>
        <w:t xml:space="preserve">Pre-warm Nova Act sessions. Per customer, keep one or two browser contexts hot to avoid cold-start latency.</w:t>
      </w:r>
    </w:p>
    <w:p>
      <w:pPr>
        <w:pStyle w:val="Heading1"/>
      </w:pPr>
      <w:r>
        <w:t xml:space="preserve">8. Future Extensions</w:t>
      </w:r>
    </w:p>
    <w:p>
      <w:pPr>
        <w:pStyle w:val="ListParagraph"/>
        <w:numPr>
          <w:ilvl w:val="0"/>
          <w:numId w:val="2"/>
        </w:numPr>
      </w:pPr>
      <w:r>
        <w:t xml:space="preserve">Multi-reasoner routing. As model quality moves, route specific decision classes to the best-fit model (Opus vs. Sonnet vs. Haiku vs. competing models). The orchestrator’s contract makes the reasoner pluggable.</w:t>
      </w:r>
    </w:p>
    <w:p>
      <w:pPr>
        <w:pStyle w:val="ListParagraph"/>
        <w:numPr>
          <w:ilvl w:val="0"/>
          <w:numId w:val="2"/>
        </w:numPr>
      </w:pPr>
      <w:r>
        <w:t xml:space="preserve">Reflection loops. Opus reviews a sample of recent runs and proposes prompt or policy updates. Reviewed by a human, merged via PR.</w:t>
      </w:r>
    </w:p>
    <w:p>
      <w:pPr>
        <w:pStyle w:val="ListParagraph"/>
        <w:numPr>
          <w:ilvl w:val="0"/>
          <w:numId w:val="2"/>
        </w:numPr>
      </w:pPr>
      <w:r>
        <w:t xml:space="preserve">Multi-agent coordination. Within a customer, multiple agents (reconciliation + KYC + loan ops) share state through a customer-scoped event bus.</w:t>
      </w:r>
    </w:p>
    <w:p>
      <w:pPr>
        <w:pStyle w:val="ListParagraph"/>
        <w:numPr>
          <w:ilvl w:val="0"/>
          <w:numId w:val="2"/>
        </w:numPr>
      </w:pPr>
      <w:r>
        <w:t xml:space="preserve">Customer-trained sub-models. As we accumulate per-customer data, fine-tune small classifiers for the most repeated decision points; keep Opus on the long tail.</w:t>
      </w:r>
    </w:p>
    <w:p>
      <w:pPr>
        <w:pStyle w:val="ListParagraph"/>
        <w:numPr>
          <w:ilvl w:val="0"/>
          <w:numId w:val="2"/>
        </w:numPr>
      </w:pPr>
      <w:r>
        <w:t xml:space="preserve">Workflow synthesis. Customer records a workflow once; Opus drafts the workflow definition; human reviews and approves. The path to self-service deployment.</w:t>
      </w:r>
    </w:p>
    <w:p>
      <w:pPr>
        <w:pStyle w:val="Heading1"/>
      </w:pPr>
      <w:r>
        <w:t xml:space="preserve">9. Summary</w:t>
      </w:r>
    </w:p>
    <w:p>
      <w:r>
        <w:t xml:space="preserve">BackOfficePilot’s multi-model architecture is the technical decision the rest of the company rides on. The split between Opus and Nova Act is not a clever optimization — it is the natural fault line in agentic systems. Reasoning is expensive, slow, and smart. Execution is cheap, fast, and dumb. Building a product that respects this distinction is the difference between an agent that costs $5 per run and burns out customer goodwill, and an agent that costs $0.55 per run and runs every weekday morning for a year.</w:t>
      </w:r>
    </w:p>
    <w:p>
      <w:r>
        <w:t xml:space="preserve">The accelerator’s technical reviewers will see this pattern repeated elsewhere over the next 24 months. We are betting it becomes the dominant architecture for vertical agent companies. BackOfficePilot is its first concrete instance in regulated mid-market BFSI back-office, and we intend to ship it before anyone else does.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8"/>
        <w:szCs w:val="18"/>
      </w:rPr>
      <w:t xml:space="preserve">Page </w:t>
    </w:r>
    <w:r>
      <w:rPr>
        <w:color w:val="8C8C8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8"/>
        <w:szCs w:val="18"/>
      </w:rPr>
      <w:t xml:space="preserve">BackOfficePilot · Multi-Model Orchestration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D4F4A"/>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0D4F4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32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BackOfficePilot Multi-Model Orchestration Design Doc</dc:title>
  <dc:creator>AJ</dc:creator>
  <cp:lastModifiedBy>Un-named</cp:lastModifiedBy>
  <cp:revision>1</cp:revision>
  <dcterms:created xsi:type="dcterms:W3CDTF">2026-05-18T19:09:00.139Z</dcterms:created>
  <dcterms:modified xsi:type="dcterms:W3CDTF">2026-05-18T19:09:00.140Z</dcterms:modified>
</cp:coreProperties>
</file>

<file path=docProps/custom.xml><?xml version="1.0" encoding="utf-8"?>
<Properties xmlns="http://schemas.openxmlformats.org/officeDocument/2006/custom-properties" xmlns:vt="http://schemas.openxmlformats.org/officeDocument/2006/docPropsVTypes"/>
</file>