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B85042"/>
          <w:sz w:val="48"/>
          <w:szCs w:val="48"/>
        </w:rPr>
        <w:t xml:space="preserve">BackOfficePilot</w:t>
      </w:r>
    </w:p>
    <w:p>
      <w:pPr>
        <w:spacing w:after="240"/>
        <w:jc w:val="center"/>
      </w:pPr>
      <w:r>
        <w:rPr>
          <w:color w:val="B85042"/>
          <w:sz w:val="26"/>
          <w:szCs w:val="26"/>
        </w:rPr>
        <w:t xml:space="preserve">3-Week Sprint Plan &amp; Technical Build Spec</w:t>
      </w:r>
    </w:p>
    <w:p>
      <w:pPr>
        <w:spacing w:after="240"/>
        <w:jc w:val="center"/>
      </w:pPr>
      <w:r>
        <w:rPr>
          <w:i/>
          <w:iCs/>
          <w:color w:val="595959"/>
          <w:sz w:val="22"/>
          <w:szCs w:val="22"/>
        </w:rPr>
        <w:t xml:space="preserve">Solo Founder · May 19 – June 8, 2026</w:t>
      </w:r>
    </w:p>
    <w:p>
      <w:pPr>
        <w:spacing w:after="240"/>
        <w:jc w:val="center"/>
      </w:pPr>
      <w:r>
        <w:rPr>
          <w:sz w:val="20"/>
          <w:szCs w:val="20"/>
        </w:rPr>
        <w:t xml:space="preserve">Goal: A pilot-ready BFSI invoice reconciliation agent, plus the accelerator application, by Day 21.</w:t>
      </w:r>
    </w:p>
    <w:p>
      <w:r>
        <w:br w:type="page"/>
      </w:r>
    </w:p>
    <w:p>
      <w:pPr>
        <w:pStyle w:val="Heading1"/>
      </w:pPr>
      <w:r>
        <w:t xml:space="preserve">1. Sprint Philosophy</w:t>
      </w:r>
    </w:p>
    <w:p>
      <w:r>
        <w:t xml:space="preserve">This is a solo-founder sprint. Three weeks. Hours-per-day budget: roughly 10 hours of focused work, 2 hours of communication, 12 hours total. That is 210 hours over 21 days, of which maybe 150 are productive engineering time. Every decision in this plan is filtered through one question: does it advance the demo, the accelerator application, or a paying pilot? If not, it is cut.</w:t>
      </w:r>
    </w:p>
    <w:p>
      <w:pPr>
        <w:pStyle w:val="Heading2"/>
      </w:pPr>
      <w:r>
        <w:t xml:space="preserve">1.1 Three constraints that shape every decision</w:t>
      </w:r>
    </w:p>
    <w:p>
      <w:pPr>
        <w:pStyle w:val="ListParagraph"/>
        <w:numPr>
          <w:ilvl w:val="0"/>
          <w:numId w:val="2"/>
        </w:numPr>
      </w:pPr>
      <w:r>
        <w:t xml:space="preserve">One workflow, end-to-end. Better to ship one workflow that runs unattended for a week than four that demo-fail.</w:t>
      </w:r>
    </w:p>
    <w:p>
      <w:pPr>
        <w:pStyle w:val="ListParagraph"/>
        <w:numPr>
          <w:ilvl w:val="0"/>
          <w:numId w:val="2"/>
        </w:numPr>
      </w:pPr>
      <w:r>
        <w:t xml:space="preserve">No customer data until Day 12. We build on a sandboxed NetSuite + a custom mock banking portal we host ourselves. Real customer data is only handled in the final week and only with sample/synthetic data.</w:t>
      </w:r>
    </w:p>
    <w:p>
      <w:pPr>
        <w:pStyle w:val="ListParagraph"/>
        <w:numPr>
          <w:ilvl w:val="0"/>
          <w:numId w:val="2"/>
        </w:numPr>
      </w:pPr>
      <w:r>
        <w:t xml:space="preserve">The pitch is the product. Every artifact we build (demo video, dashboard, audit log) is dual-purpose — it earns its keep in the application packet.</w:t>
      </w:r>
    </w:p>
    <w:p>
      <w:pPr>
        <w:pStyle w:val="Heading2"/>
      </w:pPr>
      <w:r>
        <w:t xml:space="preserve">1.2 What “pilot-ready” means at Day 21</w:t>
      </w:r>
    </w:p>
    <w:p>
      <w:pPr>
        <w:pStyle w:val="ListParagraph"/>
        <w:numPr>
          <w:ilvl w:val="0"/>
          <w:numId w:val="2"/>
        </w:numPr>
      </w:pPr>
      <w:r>
        <w:t xml:space="preserve">Agent runs unattended for five consecutive business days (Day 16–20) without manual intervention.</w:t>
      </w:r>
    </w:p>
    <w:p>
      <w:pPr>
        <w:pStyle w:val="ListParagraph"/>
        <w:numPr>
          <w:ilvl w:val="0"/>
          <w:numId w:val="2"/>
        </w:numPr>
      </w:pPr>
      <w:r>
        <w:t xml:space="preserve">Cost per run &lt; $1.</w:t>
      </w:r>
    </w:p>
    <w:p>
      <w:pPr>
        <w:pStyle w:val="ListParagraph"/>
        <w:numPr>
          <w:ilvl w:val="0"/>
          <w:numId w:val="2"/>
        </w:numPr>
      </w:pPr>
      <w:r>
        <w:t xml:space="preserve">Audit log a CFO will accept as evidence (run report PDF, run replay in dashboard).</w:t>
      </w:r>
    </w:p>
    <w:p>
      <w:pPr>
        <w:pStyle w:val="ListParagraph"/>
        <w:numPr>
          <w:ilvl w:val="0"/>
          <w:numId w:val="2"/>
        </w:numPr>
      </w:pPr>
      <w:r>
        <w:t xml:space="preserve">At least 4 exception categories handled correctly with structured escalation.</w:t>
      </w:r>
    </w:p>
    <w:p>
      <w:pPr>
        <w:pStyle w:val="ListParagraph"/>
        <w:numPr>
          <w:ilvl w:val="0"/>
          <w:numId w:val="2"/>
        </w:numPr>
      </w:pPr>
      <w:r>
        <w:t xml:space="preserve">90-second recorded demo video showing one full run.</w:t>
      </w:r>
    </w:p>
    <w:p>
      <w:pPr>
        <w:pStyle w:val="Heading2"/>
      </w:pPr>
      <w:r>
        <w:t xml:space="preserve">1.3 What “pilot-ready” explicitly does NOT mean</w:t>
      </w:r>
    </w:p>
    <w:p>
      <w:pPr>
        <w:pStyle w:val="ListParagraph"/>
        <w:numPr>
          <w:ilvl w:val="0"/>
          <w:numId w:val="2"/>
        </w:numPr>
      </w:pPr>
      <w:r>
        <w:t xml:space="preserve">Multi-tenant SaaS (it is single-tenant deployed in our AWS account).</w:t>
      </w:r>
    </w:p>
    <w:p>
      <w:pPr>
        <w:pStyle w:val="ListParagraph"/>
        <w:numPr>
          <w:ilvl w:val="0"/>
          <w:numId w:val="2"/>
        </w:numPr>
      </w:pPr>
      <w:r>
        <w:t xml:space="preserve">Self-service workflow authoring (workflows are coded by us).</w:t>
      </w:r>
    </w:p>
    <w:p>
      <w:pPr>
        <w:pStyle w:val="ListParagraph"/>
        <w:numPr>
          <w:ilvl w:val="0"/>
          <w:numId w:val="2"/>
        </w:numPr>
      </w:pPr>
      <w:r>
        <w:t xml:space="preserve">Production hardening of the customer dashboard (read-only is fine).</w:t>
      </w:r>
    </w:p>
    <w:p>
      <w:pPr>
        <w:pStyle w:val="ListParagraph"/>
        <w:numPr>
          <w:ilvl w:val="0"/>
          <w:numId w:val="2"/>
        </w:numPr>
      </w:pPr>
      <w:r>
        <w:t xml:space="preserve">Anything outside browser-based ERP automation.</w:t>
      </w:r>
    </w:p>
    <w:p>
      <w:r>
        <w:br w:type="page"/>
      </w:r>
    </w:p>
    <w:p>
      <w:pPr>
        <w:pStyle w:val="Heading1"/>
      </w:pPr>
      <w:r>
        <w:t xml:space="preserve">2. Week 1 — Foundation (Day 1 – Day 7)</w:t>
      </w:r>
    </w:p>
    <w:p>
      <w:r>
        <w:t xml:space="preserve">Goal at end of week: an end-to-end skeleton run. Opus produces a 3-step plan, Nova Act executes 3 dummy steps, the orchestrator commits a run bundle. No real business logic yet — but the pipes are connected and observable.</w:t>
      </w:r>
    </w:p>
    <w:p>
      <w:pPr>
        <w:pStyle w:val="Heading2"/>
      </w:pPr>
      <w:r>
        <w:t xml:space="preserve">2.1 Day-by-day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4860"/>
      </w:tblGrid>
      <w:tr>
        <w:trPr>
          <w:tblHeader/>
        </w:trPr>
        <w:tc>
          <w:tcPr>
            <w:tcW w:type="dxa" w:w="1100"/>
            <w:tcBorders>
              <w:top w:val="single" w:color="BFBFBF" w:sz="4"/>
              <w:left w:val="single" w:color="BFBFBF" w:sz="4"/>
              <w:bottom w:val="single" w:color="BFBFBF" w:sz="4"/>
              <w:right w:val="single" w:color="BFBFBF" w:sz="4"/>
            </w:tcBorders>
            <w:shd w:fill="B85042" w:val="clear"/>
            <w:tcMar>
              <w:top w:type="dxa" w:w="80"/>
              <w:left w:type="dxa" w:w="120"/>
              <w:bottom w:type="dxa" w:w="80"/>
              <w:right w:type="dxa" w:w="120"/>
            </w:tcMar>
          </w:tcPr>
          <w:p>
            <w:r>
              <w:rPr>
                <w:b/>
                <w:bCs/>
                <w:color w:val="FFFFFF"/>
                <w:sz w:val="20"/>
                <w:szCs w:val="20"/>
              </w:rPr>
              <w:t xml:space="preserve">Day</w:t>
            </w:r>
          </w:p>
        </w:tc>
        <w:tc>
          <w:tcPr>
            <w:tcW w:type="dxa" w:w="3400"/>
            <w:tcBorders>
              <w:top w:val="single" w:color="BFBFBF" w:sz="4"/>
              <w:left w:val="single" w:color="BFBFBF" w:sz="4"/>
              <w:bottom w:val="single" w:color="BFBFBF" w:sz="4"/>
              <w:right w:val="single" w:color="BFBFBF" w:sz="4"/>
            </w:tcBorders>
            <w:shd w:fill="B85042" w:val="clear"/>
            <w:tcMar>
              <w:top w:type="dxa" w:w="80"/>
              <w:left w:type="dxa" w:w="120"/>
              <w:bottom w:type="dxa" w:w="80"/>
              <w:right w:type="dxa" w:w="120"/>
            </w:tcMar>
          </w:tcPr>
          <w:p>
            <w:r>
              <w:rPr>
                <w:b/>
                <w:bCs/>
                <w:color w:val="FFFFFF"/>
                <w:sz w:val="20"/>
                <w:szCs w:val="20"/>
              </w:rPr>
              <w:t xml:space="preserve">Theme</w:t>
            </w:r>
          </w:p>
        </w:tc>
        <w:tc>
          <w:tcPr>
            <w:tcW w:type="dxa" w:w="4860"/>
            <w:tcBorders>
              <w:top w:val="single" w:color="BFBFBF" w:sz="4"/>
              <w:left w:val="single" w:color="BFBFBF" w:sz="4"/>
              <w:bottom w:val="single" w:color="BFBFBF" w:sz="4"/>
              <w:right w:val="single" w:color="BFBFBF" w:sz="4"/>
            </w:tcBorders>
            <w:shd w:fill="B85042" w:val="clear"/>
            <w:tcMar>
              <w:top w:type="dxa" w:w="80"/>
              <w:left w:type="dxa" w:w="120"/>
              <w:bottom w:type="dxa" w:w="80"/>
              <w:right w:type="dxa" w:w="120"/>
            </w:tcMar>
          </w:tcPr>
          <w:p>
            <w:r>
              <w:rPr>
                <w:b/>
                <w:bCs/>
                <w:color w:val="FFFFFF"/>
                <w:sz w:val="20"/>
                <w:szCs w:val="20"/>
              </w:rPr>
              <w:t xml:space="preserve">Deliverables</w:t>
            </w:r>
          </w:p>
        </w:tc>
      </w:tr>
      <w:tr>
        <w:tc>
          <w:tcPr>
            <w:tcW w:type="dxa" w:w="1100"/>
            <w:tcBorders>
              <w:top w:val="single" w:color="BFBFBF" w:sz="4"/>
              <w:left w:val="single" w:color="BFBFBF" w:sz="4"/>
              <w:bottom w:val="single" w:color="BFBFBF" w:sz="4"/>
              <w:right w:val="single" w:color="BFBFBF" w:sz="4"/>
            </w:tcBorders>
            <w:shd w:fill="FBEAE6" w:val="clear"/>
            <w:tcMar>
              <w:top w:type="dxa" w:w="80"/>
              <w:left w:type="dxa" w:w="120"/>
              <w:bottom w:type="dxa" w:w="80"/>
              <w:right w:type="dxa" w:w="120"/>
            </w:tcMar>
          </w:tcPr>
          <w:p>
            <w:r>
              <w:rPr>
                <w:b/>
                <w:bCs/>
                <w:sz w:val="19"/>
                <w:szCs w:val="19"/>
              </w:rPr>
              <w:t xml:space="preserve">Day 1 (Mon)</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Environment &amp; credentials</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AWS account configured. Bedrock access enabled in us-east-1. Nova Act API key from accelerator (or trial). Anthropic API key. Repo initialized (Python 3.12 + Poetry). README documenting the architecture. Local dev runs `make hello-bedrock` and `make hello-nova` smoke tests.</w:t>
            </w:r>
          </w:p>
        </w:tc>
      </w:tr>
      <w:tr>
        <w:tc>
          <w:tcPr>
            <w:tcW w:type="dxa" w:w="1100"/>
            <w:tcBorders>
              <w:top w:val="single" w:color="BFBFBF" w:sz="4"/>
              <w:left w:val="single" w:color="BFBFBF" w:sz="4"/>
              <w:bottom w:val="single" w:color="BFBFBF" w:sz="4"/>
              <w:right w:val="single" w:color="BFBFBF" w:sz="4"/>
            </w:tcBorders>
            <w:shd w:fill="FBEAE6" w:val="clear"/>
            <w:tcMar>
              <w:top w:type="dxa" w:w="80"/>
              <w:left w:type="dxa" w:w="120"/>
              <w:bottom w:type="dxa" w:w="80"/>
              <w:right w:type="dxa" w:w="120"/>
            </w:tcMar>
          </w:tcPr>
          <w:p>
            <w:r>
              <w:rPr>
                <w:b/>
                <w:bCs/>
                <w:sz w:val="19"/>
                <w:szCs w:val="19"/>
              </w:rPr>
              <w:t xml:space="preserve">Day 2 (Tue)</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Sandbox systems</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Pick a NetSuite sandbox (or QuickBooks Online sandbox as fallback). Build a mock banking portal: a tiny Flask app exposing a login screen and a “download CSV” page, hosted on Vercel. Populate it with 200 synthetic transactions. Document credentials in AWS Secrets Manager.</w:t>
            </w:r>
          </w:p>
        </w:tc>
      </w:tr>
      <w:tr>
        <w:tc>
          <w:tcPr>
            <w:tcW w:type="dxa" w:w="1100"/>
            <w:tcBorders>
              <w:top w:val="single" w:color="BFBFBF" w:sz="4"/>
              <w:left w:val="single" w:color="BFBFBF" w:sz="4"/>
              <w:bottom w:val="single" w:color="BFBFBF" w:sz="4"/>
              <w:right w:val="single" w:color="BFBFBF" w:sz="4"/>
            </w:tcBorders>
            <w:shd w:fill="FBEAE6" w:val="clear"/>
            <w:tcMar>
              <w:top w:type="dxa" w:w="80"/>
              <w:left w:type="dxa" w:w="120"/>
              <w:bottom w:type="dxa" w:w="80"/>
              <w:right w:type="dxa" w:w="120"/>
            </w:tcMar>
          </w:tcPr>
          <w:p>
            <w:r>
              <w:rPr>
                <w:b/>
                <w:bCs/>
                <w:sz w:val="19"/>
                <w:szCs w:val="19"/>
              </w:rPr>
              <w:t xml:space="preserve">Day 3 (Wed)</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Workflow definition language</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Design a YAML schema for workflows. Write the first workflow definition: `daily_reconciliation.yaml`. Steps include: download bank file, extract ERP open invoices, three-way match, post journal entries, escalate exceptions. Define success criteria per step.</w:t>
            </w:r>
          </w:p>
        </w:tc>
      </w:tr>
      <w:tr>
        <w:tc>
          <w:tcPr>
            <w:tcW w:type="dxa" w:w="1100"/>
            <w:tcBorders>
              <w:top w:val="single" w:color="BFBFBF" w:sz="4"/>
              <w:left w:val="single" w:color="BFBFBF" w:sz="4"/>
              <w:bottom w:val="single" w:color="BFBFBF" w:sz="4"/>
              <w:right w:val="single" w:color="BFBFBF" w:sz="4"/>
            </w:tcBorders>
            <w:shd w:fill="FBEAE6" w:val="clear"/>
            <w:tcMar>
              <w:top w:type="dxa" w:w="80"/>
              <w:left w:type="dxa" w:w="120"/>
              <w:bottom w:type="dxa" w:w="80"/>
              <w:right w:type="dxa" w:w="120"/>
            </w:tcMar>
          </w:tcPr>
          <w:p>
            <w:r>
              <w:rPr>
                <w:b/>
                <w:bCs/>
                <w:sz w:val="19"/>
                <w:szCs w:val="19"/>
              </w:rPr>
              <w:t xml:space="preserve">Day 4 (Thu)</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Opus planner</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Write the planning prompt. Configure prompt caching against the workflow definition + policy document. JSON schema for plan output. Unit tests with mock workflow definitions. Verify Opus produces a valid plan.</w:t>
            </w:r>
          </w:p>
        </w:tc>
      </w:tr>
      <w:tr>
        <w:tc>
          <w:tcPr>
            <w:tcW w:type="dxa" w:w="1100"/>
            <w:tcBorders>
              <w:top w:val="single" w:color="BFBFBF" w:sz="4"/>
              <w:left w:val="single" w:color="BFBFBF" w:sz="4"/>
              <w:bottom w:val="single" w:color="BFBFBF" w:sz="4"/>
              <w:right w:val="single" w:color="BFBFBF" w:sz="4"/>
            </w:tcBorders>
            <w:shd w:fill="FBEAE6" w:val="clear"/>
            <w:tcMar>
              <w:top w:type="dxa" w:w="80"/>
              <w:left w:type="dxa" w:w="120"/>
              <w:bottom w:type="dxa" w:w="80"/>
              <w:right w:type="dxa" w:w="120"/>
            </w:tcMar>
          </w:tcPr>
          <w:p>
            <w:r>
              <w:rPr>
                <w:b/>
                <w:bCs/>
                <w:sz w:val="19"/>
                <w:szCs w:val="19"/>
              </w:rPr>
              <w:t xml:space="preserve">Day 5 (Fri)</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Nova Act executor wrapper</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Python module wrapping the Nova Act SDK. Hello-world test: Nova Act logs into the mock banking portal and downloads the CSV. Returns a structured result. Persist to S3.</w:t>
            </w:r>
          </w:p>
        </w:tc>
      </w:tr>
      <w:tr>
        <w:tc>
          <w:tcPr>
            <w:tcW w:type="dxa" w:w="1100"/>
            <w:tcBorders>
              <w:top w:val="single" w:color="BFBFBF" w:sz="4"/>
              <w:left w:val="single" w:color="BFBFBF" w:sz="4"/>
              <w:bottom w:val="single" w:color="BFBFBF" w:sz="4"/>
              <w:right w:val="single" w:color="BFBFBF" w:sz="4"/>
            </w:tcBorders>
            <w:shd w:fill="FBEAE6" w:val="clear"/>
            <w:tcMar>
              <w:top w:type="dxa" w:w="80"/>
              <w:left w:type="dxa" w:w="120"/>
              <w:bottom w:type="dxa" w:w="80"/>
              <w:right w:type="dxa" w:w="120"/>
            </w:tcMar>
          </w:tcPr>
          <w:p>
            <w:r>
              <w:rPr>
                <w:b/>
                <w:bCs/>
                <w:sz w:val="19"/>
                <w:szCs w:val="19"/>
              </w:rPr>
              <w:t xml:space="preserve">Day 6 (Sat)</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Orchestrator skeleton</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AWS Lambda + Step Functions state machine: Plan → Execute → Reconcile loop. DynamoDB table for run state. S3 bucket for artifacts. CloudWatch logging. Single happy-path test passes end-to-end with 3 dummy steps.</w:t>
            </w:r>
          </w:p>
        </w:tc>
      </w:tr>
      <w:tr>
        <w:tc>
          <w:tcPr>
            <w:tcW w:type="dxa" w:w="1100"/>
            <w:tcBorders>
              <w:top w:val="single" w:color="BFBFBF" w:sz="4"/>
              <w:left w:val="single" w:color="BFBFBF" w:sz="4"/>
              <w:bottom w:val="single" w:color="BFBFBF" w:sz="4"/>
              <w:right w:val="single" w:color="BFBFBF" w:sz="4"/>
            </w:tcBorders>
            <w:shd w:fill="FBEAE6" w:val="clear"/>
            <w:tcMar>
              <w:top w:type="dxa" w:w="80"/>
              <w:left w:type="dxa" w:w="120"/>
              <w:bottom w:type="dxa" w:w="80"/>
              <w:right w:type="dxa" w:w="120"/>
            </w:tcMar>
          </w:tcPr>
          <w:p>
            <w:r>
              <w:rPr>
                <w:b/>
                <w:bCs/>
                <w:sz w:val="19"/>
                <w:szCs w:val="19"/>
              </w:rPr>
              <w:t xml:space="preserve">Day 7 (Sun)</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Slack escalation + audit log v0</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Slack app set up. Orchestrator can post escalation messages. Audit log writer with SHA-256 hash chain. End-of-week milestone: dummy run logs every transition to audit log, posts a final summary to Slack.</w:t>
            </w:r>
          </w:p>
        </w:tc>
      </w:tr>
    </w:tbl>
    <w:p>
      <w:r>
        <w:t xml:space="preserve"/>
      </w:r>
    </w:p>
    <w:p>
      <w:pPr>
        <w:pStyle w:val="Heading2"/>
      </w:pPr>
      <w:r>
        <w:t xml:space="preserve">2.2 Week 1 risks</w:t>
      </w:r>
    </w:p>
    <w:p>
      <w:pPr>
        <w:pStyle w:val="ListParagraph"/>
        <w:numPr>
          <w:ilvl w:val="0"/>
          <w:numId w:val="2"/>
        </w:numPr>
      </w:pPr>
      <w:r>
        <w:t xml:space="preserve">Nova Act access delay. If the API key takes more than 2 days, work locally with Playwright as a stub and swap once the key arrives.</w:t>
      </w:r>
    </w:p>
    <w:p>
      <w:pPr>
        <w:pStyle w:val="ListParagraph"/>
        <w:numPr>
          <w:ilvl w:val="0"/>
          <w:numId w:val="2"/>
        </w:numPr>
      </w:pPr>
      <w:r>
        <w:t xml:space="preserve">Bedrock model access. Opus 4.6 quota may need request. Submit the form Day 1.</w:t>
      </w:r>
    </w:p>
    <w:p>
      <w:pPr>
        <w:pStyle w:val="ListParagraph"/>
        <w:numPr>
          <w:ilvl w:val="0"/>
          <w:numId w:val="2"/>
        </w:numPr>
      </w:pPr>
      <w:r>
        <w:t xml:space="preserve">Going down the prompt-engineering rabbit hole. Time-box prompt iteration to 4 hours on Day 4; the plan does not need to be optimal yet.</w:t>
      </w:r>
    </w:p>
    <w:p>
      <w:r>
        <w:br w:type="page"/>
      </w:r>
    </w:p>
    <w:p>
      <w:pPr>
        <w:pStyle w:val="Heading1"/>
      </w:pPr>
      <w:r>
        <w:t xml:space="preserve">3. Week 2 — Core Loop (Day 8 – Day 14)</w:t>
      </w:r>
    </w:p>
    <w:p>
      <w:r>
        <w:t xml:space="preserve">Goal at end of week: a real invoice reconciliation that runs unattended on the sandbox and handles the common exception cases.</w:t>
      </w:r>
    </w:p>
    <w:p>
      <w:pPr>
        <w:pStyle w:val="Heading2"/>
      </w:pPr>
      <w:r>
        <w:t xml:space="preserve">3.1 Day-by-day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4860"/>
      </w:tblGrid>
      <w:tr>
        <w:trPr>
          <w:tblHeader/>
        </w:trPr>
        <w:tc>
          <w:tcPr>
            <w:tcW w:type="dxa" w:w="1100"/>
            <w:tcBorders>
              <w:top w:val="single" w:color="BFBFBF" w:sz="4"/>
              <w:left w:val="single" w:color="BFBFBF" w:sz="4"/>
              <w:bottom w:val="single" w:color="BFBFBF" w:sz="4"/>
              <w:right w:val="single" w:color="BFBFBF" w:sz="4"/>
            </w:tcBorders>
            <w:shd w:fill="B85042" w:val="clear"/>
            <w:tcMar>
              <w:top w:type="dxa" w:w="80"/>
              <w:left w:type="dxa" w:w="120"/>
              <w:bottom w:type="dxa" w:w="80"/>
              <w:right w:type="dxa" w:w="120"/>
            </w:tcMar>
          </w:tcPr>
          <w:p>
            <w:r>
              <w:rPr>
                <w:b/>
                <w:bCs/>
                <w:color w:val="FFFFFF"/>
                <w:sz w:val="20"/>
                <w:szCs w:val="20"/>
              </w:rPr>
              <w:t xml:space="preserve">Day</w:t>
            </w:r>
          </w:p>
        </w:tc>
        <w:tc>
          <w:tcPr>
            <w:tcW w:type="dxa" w:w="3400"/>
            <w:tcBorders>
              <w:top w:val="single" w:color="BFBFBF" w:sz="4"/>
              <w:left w:val="single" w:color="BFBFBF" w:sz="4"/>
              <w:bottom w:val="single" w:color="BFBFBF" w:sz="4"/>
              <w:right w:val="single" w:color="BFBFBF" w:sz="4"/>
            </w:tcBorders>
            <w:shd w:fill="B85042" w:val="clear"/>
            <w:tcMar>
              <w:top w:type="dxa" w:w="80"/>
              <w:left w:type="dxa" w:w="120"/>
              <w:bottom w:type="dxa" w:w="80"/>
              <w:right w:type="dxa" w:w="120"/>
            </w:tcMar>
          </w:tcPr>
          <w:p>
            <w:r>
              <w:rPr>
                <w:b/>
                <w:bCs/>
                <w:color w:val="FFFFFF"/>
                <w:sz w:val="20"/>
                <w:szCs w:val="20"/>
              </w:rPr>
              <w:t xml:space="preserve">Theme</w:t>
            </w:r>
          </w:p>
        </w:tc>
        <w:tc>
          <w:tcPr>
            <w:tcW w:type="dxa" w:w="4860"/>
            <w:tcBorders>
              <w:top w:val="single" w:color="BFBFBF" w:sz="4"/>
              <w:left w:val="single" w:color="BFBFBF" w:sz="4"/>
              <w:bottom w:val="single" w:color="BFBFBF" w:sz="4"/>
              <w:right w:val="single" w:color="BFBFBF" w:sz="4"/>
            </w:tcBorders>
            <w:shd w:fill="B85042" w:val="clear"/>
            <w:tcMar>
              <w:top w:type="dxa" w:w="80"/>
              <w:left w:type="dxa" w:w="120"/>
              <w:bottom w:type="dxa" w:w="80"/>
              <w:right w:type="dxa" w:w="120"/>
            </w:tcMar>
          </w:tcPr>
          <w:p>
            <w:r>
              <w:rPr>
                <w:b/>
                <w:bCs/>
                <w:color w:val="FFFFFF"/>
                <w:sz w:val="20"/>
                <w:szCs w:val="20"/>
              </w:rPr>
              <w:t xml:space="preserve">Deliverables</w:t>
            </w:r>
          </w:p>
        </w:tc>
      </w:tr>
      <w:tr>
        <w:tc>
          <w:tcPr>
            <w:tcW w:type="dxa" w:w="1100"/>
            <w:tcBorders>
              <w:top w:val="single" w:color="BFBFBF" w:sz="4"/>
              <w:left w:val="single" w:color="BFBFBF" w:sz="4"/>
              <w:bottom w:val="single" w:color="BFBFBF" w:sz="4"/>
              <w:right w:val="single" w:color="BFBFBF" w:sz="4"/>
            </w:tcBorders>
            <w:shd w:fill="FBEAE6" w:val="clear"/>
            <w:tcMar>
              <w:top w:type="dxa" w:w="80"/>
              <w:left w:type="dxa" w:w="120"/>
              <w:bottom w:type="dxa" w:w="80"/>
              <w:right w:type="dxa" w:w="120"/>
            </w:tcMar>
          </w:tcPr>
          <w:p>
            <w:r>
              <w:rPr>
                <w:b/>
                <w:bCs/>
                <w:sz w:val="19"/>
                <w:szCs w:val="19"/>
              </w:rPr>
              <w:t xml:space="preserve">Day 8 (Mon)</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Three-way match logic</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Write the policy document: how invoices, POs, and payments are matched. Tolerance rules (penny rounding, FX), date windows, vendor name fuzzy match. Embed in the Opus prompt context. Sample 20 real-world-flavored cases; verify Opus produces correct matches.</w:t>
            </w:r>
          </w:p>
        </w:tc>
      </w:tr>
      <w:tr>
        <w:tc>
          <w:tcPr>
            <w:tcW w:type="dxa" w:w="1100"/>
            <w:tcBorders>
              <w:top w:val="single" w:color="BFBFBF" w:sz="4"/>
              <w:left w:val="single" w:color="BFBFBF" w:sz="4"/>
              <w:bottom w:val="single" w:color="BFBFBF" w:sz="4"/>
              <w:right w:val="single" w:color="BFBFBF" w:sz="4"/>
            </w:tcBorders>
            <w:shd w:fill="FBEAE6" w:val="clear"/>
            <w:tcMar>
              <w:top w:type="dxa" w:w="80"/>
              <w:left w:type="dxa" w:w="120"/>
              <w:bottom w:type="dxa" w:w="80"/>
              <w:right w:type="dxa" w:w="120"/>
            </w:tcMar>
          </w:tcPr>
          <w:p>
            <w:r>
              <w:rPr>
                <w:b/>
                <w:bCs/>
                <w:sz w:val="19"/>
                <w:szCs w:val="19"/>
              </w:rPr>
              <w:t xml:space="preserve">Day 9 (Tue)</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Nova Act on NetSuite sandbox</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Get Nova Act to log in to NetSuite, navigate to Open Invoices view, export to CSV, navigate to Payments view, export. Capture screenshots. Handle 2FA flow (use TOTP secret in Secrets Manager).</w:t>
            </w:r>
          </w:p>
        </w:tc>
      </w:tr>
      <w:tr>
        <w:tc>
          <w:tcPr>
            <w:tcW w:type="dxa" w:w="1100"/>
            <w:tcBorders>
              <w:top w:val="single" w:color="BFBFBF" w:sz="4"/>
              <w:left w:val="single" w:color="BFBFBF" w:sz="4"/>
              <w:bottom w:val="single" w:color="BFBFBF" w:sz="4"/>
              <w:right w:val="single" w:color="BFBFBF" w:sz="4"/>
            </w:tcBorders>
            <w:shd w:fill="FBEAE6" w:val="clear"/>
            <w:tcMar>
              <w:top w:type="dxa" w:w="80"/>
              <w:left w:type="dxa" w:w="120"/>
              <w:bottom w:type="dxa" w:w="80"/>
              <w:right w:type="dxa" w:w="120"/>
            </w:tcMar>
          </w:tcPr>
          <w:p>
            <w:r>
              <w:rPr>
                <w:b/>
                <w:bCs/>
                <w:sz w:val="19"/>
                <w:szCs w:val="19"/>
              </w:rPr>
              <w:t xml:space="preserve">Day 10 (Wed)</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Match + post happy path</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Orchestrator pulls bank CSV + ERP exports, runs the match logic via Opus, posts cleanly-matched journal entries back into NetSuite via Nova Act. End-to-end run on 30 clean transactions in under 5 minutes.</w:t>
            </w:r>
          </w:p>
        </w:tc>
      </w:tr>
      <w:tr>
        <w:tc>
          <w:tcPr>
            <w:tcW w:type="dxa" w:w="1100"/>
            <w:tcBorders>
              <w:top w:val="single" w:color="BFBFBF" w:sz="4"/>
              <w:left w:val="single" w:color="BFBFBF" w:sz="4"/>
              <w:bottom w:val="single" w:color="BFBFBF" w:sz="4"/>
              <w:right w:val="single" w:color="BFBFBF" w:sz="4"/>
            </w:tcBorders>
            <w:shd w:fill="FBEAE6" w:val="clear"/>
            <w:tcMar>
              <w:top w:type="dxa" w:w="80"/>
              <w:left w:type="dxa" w:w="120"/>
              <w:bottom w:type="dxa" w:w="80"/>
              <w:right w:type="dxa" w:w="120"/>
            </w:tcMar>
          </w:tcPr>
          <w:p>
            <w:r>
              <w:rPr>
                <w:b/>
                <w:bCs/>
                <w:sz w:val="19"/>
                <w:szCs w:val="19"/>
              </w:rPr>
              <w:t xml:space="preserve">Day 11 (Thu)</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Exception handling: amount mismatch + missing invoice</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Inject 8 exception cases into the test data. Opus must classify each, decide retry vs. escalate, and post a Slack message with the relevant context and a Confirm/Reject action.</w:t>
            </w:r>
          </w:p>
        </w:tc>
      </w:tr>
      <w:tr>
        <w:tc>
          <w:tcPr>
            <w:tcW w:type="dxa" w:w="1100"/>
            <w:tcBorders>
              <w:top w:val="single" w:color="BFBFBF" w:sz="4"/>
              <w:left w:val="single" w:color="BFBFBF" w:sz="4"/>
              <w:bottom w:val="single" w:color="BFBFBF" w:sz="4"/>
              <w:right w:val="single" w:color="BFBFBF" w:sz="4"/>
            </w:tcBorders>
            <w:shd w:fill="FBEAE6" w:val="clear"/>
            <w:tcMar>
              <w:top w:type="dxa" w:w="80"/>
              <w:left w:type="dxa" w:w="120"/>
              <w:bottom w:type="dxa" w:w="80"/>
              <w:right w:type="dxa" w:w="120"/>
            </w:tcMar>
          </w:tcPr>
          <w:p>
            <w:r>
              <w:rPr>
                <w:b/>
                <w:bCs/>
                <w:sz w:val="19"/>
                <w:szCs w:val="19"/>
              </w:rPr>
              <w:t xml:space="preserve">Day 12 (Fri)</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Exception handling: duplicate payment + currency</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Add two more exception categories. By end of day the agent handles 4 exception types correctly. Test against a 50-transaction batch with 7 mixed exceptions injected.</w:t>
            </w:r>
          </w:p>
        </w:tc>
      </w:tr>
      <w:tr>
        <w:tc>
          <w:tcPr>
            <w:tcW w:type="dxa" w:w="1100"/>
            <w:tcBorders>
              <w:top w:val="single" w:color="BFBFBF" w:sz="4"/>
              <w:left w:val="single" w:color="BFBFBF" w:sz="4"/>
              <w:bottom w:val="single" w:color="BFBFBF" w:sz="4"/>
              <w:right w:val="single" w:color="BFBFBF" w:sz="4"/>
            </w:tcBorders>
            <w:shd w:fill="FBEAE6" w:val="clear"/>
            <w:tcMar>
              <w:top w:type="dxa" w:w="80"/>
              <w:left w:type="dxa" w:w="120"/>
              <w:bottom w:type="dxa" w:w="80"/>
              <w:right w:type="dxa" w:w="120"/>
            </w:tcMar>
          </w:tcPr>
          <w:p>
            <w:r>
              <w:rPr>
                <w:b/>
                <w:bCs/>
                <w:sz w:val="19"/>
                <w:szCs w:val="19"/>
              </w:rPr>
              <w:t xml:space="preserve">Day 13 (Sat)</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Audit log polish + run report PDF</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Audit log includes the Opus reasoning trace, the Nova Act action trace, and screenshots for every escalated step. Generate a one-page PDF run report (matplotlib + reportlab). PDF includes summary stats, exception list, and a SHA hash for tamper evidence.</w:t>
            </w:r>
          </w:p>
        </w:tc>
      </w:tr>
      <w:tr>
        <w:tc>
          <w:tcPr>
            <w:tcW w:type="dxa" w:w="1100"/>
            <w:tcBorders>
              <w:top w:val="single" w:color="BFBFBF" w:sz="4"/>
              <w:left w:val="single" w:color="BFBFBF" w:sz="4"/>
              <w:bottom w:val="single" w:color="BFBFBF" w:sz="4"/>
              <w:right w:val="single" w:color="BFBFBF" w:sz="4"/>
            </w:tcBorders>
            <w:shd w:fill="FBEAE6" w:val="clear"/>
            <w:tcMar>
              <w:top w:type="dxa" w:w="80"/>
              <w:left w:type="dxa" w:w="120"/>
              <w:bottom w:type="dxa" w:w="80"/>
              <w:right w:type="dxa" w:w="120"/>
            </w:tcMar>
          </w:tcPr>
          <w:p>
            <w:r>
              <w:rPr>
                <w:b/>
                <w:bCs/>
                <w:sz w:val="19"/>
                <w:szCs w:val="19"/>
              </w:rPr>
              <w:t xml:space="preserve">Day 14 (Sun)</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Cost &amp; latency tuning</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Measure per-run cost. Enable prompt caching. Verify &lt; $1.00 per 50-transaction run. Verify run latency under 8 minutes. Tune Nova Act timeouts. Document the cost math for the deck.</w:t>
            </w:r>
          </w:p>
        </w:tc>
      </w:tr>
    </w:tbl>
    <w:p>
      <w:r>
        <w:t xml:space="preserve"/>
      </w:r>
    </w:p>
    <w:p>
      <w:pPr>
        <w:pStyle w:val="Heading2"/>
      </w:pPr>
      <w:r>
        <w:t xml:space="preserve">3.2 Week 2 risks</w:t>
      </w:r>
    </w:p>
    <w:p>
      <w:pPr>
        <w:pStyle w:val="ListParagraph"/>
        <w:numPr>
          <w:ilvl w:val="0"/>
          <w:numId w:val="2"/>
        </w:numPr>
      </w:pPr>
      <w:r>
        <w:t xml:space="preserve">NetSuite sandbox quirks. If NetSuite proves uncooperative, swap to QuickBooks Online or Xero. Decision point: end of Day 8.</w:t>
      </w:r>
    </w:p>
    <w:p>
      <w:pPr>
        <w:pStyle w:val="ListParagraph"/>
        <w:numPr>
          <w:ilvl w:val="0"/>
          <w:numId w:val="2"/>
        </w:numPr>
      </w:pPr>
      <w:r>
        <w:t xml:space="preserve">Opus cost drift. If runs cost &gt; $2, examine token usage. Likely culprit: not caching the policy bundle.</w:t>
      </w:r>
    </w:p>
    <w:p>
      <w:pPr>
        <w:pStyle w:val="ListParagraph"/>
        <w:numPr>
          <w:ilvl w:val="0"/>
          <w:numId w:val="2"/>
        </w:numPr>
      </w:pPr>
      <w:r>
        <w:t xml:space="preserve">Exception logic explosion. Limit to 4 categories. Anything else escalates as “unknown exception.”</w:t>
      </w:r>
    </w:p>
    <w:p>
      <w:r>
        <w:br w:type="page"/>
      </w:r>
    </w:p>
    <w:p>
      <w:pPr>
        <w:pStyle w:val="Heading1"/>
      </w:pPr>
      <w:r>
        <w:t xml:space="preserve">4. Week 3 — Polish, Pilot, Pitch (Day 15 – Day 21)</w:t>
      </w:r>
    </w:p>
    <w:p>
      <w:r>
        <w:t xml:space="preserve">Goal at end of week: production-quality demo, accelerator application submitted, three customer conversations underway.</w:t>
      </w:r>
    </w:p>
    <w:p>
      <w:pPr>
        <w:pStyle w:val="Heading2"/>
      </w:pPr>
      <w:r>
        <w:t xml:space="preserve">4.1 Day-by-day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4860"/>
      </w:tblGrid>
      <w:tr>
        <w:trPr>
          <w:tblHeader/>
        </w:trPr>
        <w:tc>
          <w:tcPr>
            <w:tcW w:type="dxa" w:w="1100"/>
            <w:tcBorders>
              <w:top w:val="single" w:color="BFBFBF" w:sz="4"/>
              <w:left w:val="single" w:color="BFBFBF" w:sz="4"/>
              <w:bottom w:val="single" w:color="BFBFBF" w:sz="4"/>
              <w:right w:val="single" w:color="BFBFBF" w:sz="4"/>
            </w:tcBorders>
            <w:shd w:fill="B85042" w:val="clear"/>
            <w:tcMar>
              <w:top w:type="dxa" w:w="80"/>
              <w:left w:type="dxa" w:w="120"/>
              <w:bottom w:type="dxa" w:w="80"/>
              <w:right w:type="dxa" w:w="120"/>
            </w:tcMar>
          </w:tcPr>
          <w:p>
            <w:r>
              <w:rPr>
                <w:b/>
                <w:bCs/>
                <w:color w:val="FFFFFF"/>
                <w:sz w:val="20"/>
                <w:szCs w:val="20"/>
              </w:rPr>
              <w:t xml:space="preserve">Day</w:t>
            </w:r>
          </w:p>
        </w:tc>
        <w:tc>
          <w:tcPr>
            <w:tcW w:type="dxa" w:w="3400"/>
            <w:tcBorders>
              <w:top w:val="single" w:color="BFBFBF" w:sz="4"/>
              <w:left w:val="single" w:color="BFBFBF" w:sz="4"/>
              <w:bottom w:val="single" w:color="BFBFBF" w:sz="4"/>
              <w:right w:val="single" w:color="BFBFBF" w:sz="4"/>
            </w:tcBorders>
            <w:shd w:fill="B85042" w:val="clear"/>
            <w:tcMar>
              <w:top w:type="dxa" w:w="80"/>
              <w:left w:type="dxa" w:w="120"/>
              <w:bottom w:type="dxa" w:w="80"/>
              <w:right w:type="dxa" w:w="120"/>
            </w:tcMar>
          </w:tcPr>
          <w:p>
            <w:r>
              <w:rPr>
                <w:b/>
                <w:bCs/>
                <w:color w:val="FFFFFF"/>
                <w:sz w:val="20"/>
                <w:szCs w:val="20"/>
              </w:rPr>
              <w:t xml:space="preserve">Theme</w:t>
            </w:r>
          </w:p>
        </w:tc>
        <w:tc>
          <w:tcPr>
            <w:tcW w:type="dxa" w:w="4860"/>
            <w:tcBorders>
              <w:top w:val="single" w:color="BFBFBF" w:sz="4"/>
              <w:left w:val="single" w:color="BFBFBF" w:sz="4"/>
              <w:bottom w:val="single" w:color="BFBFBF" w:sz="4"/>
              <w:right w:val="single" w:color="BFBFBF" w:sz="4"/>
            </w:tcBorders>
            <w:shd w:fill="B85042" w:val="clear"/>
            <w:tcMar>
              <w:top w:type="dxa" w:w="80"/>
              <w:left w:type="dxa" w:w="120"/>
              <w:bottom w:type="dxa" w:w="80"/>
              <w:right w:type="dxa" w:w="120"/>
            </w:tcMar>
          </w:tcPr>
          <w:p>
            <w:r>
              <w:rPr>
                <w:b/>
                <w:bCs/>
                <w:color w:val="FFFFFF"/>
                <w:sz w:val="20"/>
                <w:szCs w:val="20"/>
              </w:rPr>
              <w:t xml:space="preserve">Deliverables</w:t>
            </w:r>
          </w:p>
        </w:tc>
      </w:tr>
      <w:tr>
        <w:tc>
          <w:tcPr>
            <w:tcW w:type="dxa" w:w="1100"/>
            <w:tcBorders>
              <w:top w:val="single" w:color="BFBFBF" w:sz="4"/>
              <w:left w:val="single" w:color="BFBFBF" w:sz="4"/>
              <w:bottom w:val="single" w:color="BFBFBF" w:sz="4"/>
              <w:right w:val="single" w:color="BFBFBF" w:sz="4"/>
            </w:tcBorders>
            <w:shd w:fill="FBEAE6" w:val="clear"/>
            <w:tcMar>
              <w:top w:type="dxa" w:w="80"/>
              <w:left w:type="dxa" w:w="120"/>
              <w:bottom w:type="dxa" w:w="80"/>
              <w:right w:type="dxa" w:w="120"/>
            </w:tcMar>
          </w:tcPr>
          <w:p>
            <w:r>
              <w:rPr>
                <w:b/>
                <w:bCs/>
                <w:sz w:val="19"/>
                <w:szCs w:val="19"/>
              </w:rPr>
              <w:t xml:space="preserve">Day 15 (Mon)</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Customer dashboard</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Next.js read-only dashboard hosted on Vercel. Shows: agent status, recent runs, exception queue, running-savings tally. Pulls from DynamoDB via a tiny API. Authentication via Clerk.</w:t>
            </w:r>
          </w:p>
        </w:tc>
      </w:tr>
      <w:tr>
        <w:tc>
          <w:tcPr>
            <w:tcW w:type="dxa" w:w="1100"/>
            <w:tcBorders>
              <w:top w:val="single" w:color="BFBFBF" w:sz="4"/>
              <w:left w:val="single" w:color="BFBFBF" w:sz="4"/>
              <w:bottom w:val="single" w:color="BFBFBF" w:sz="4"/>
              <w:right w:val="single" w:color="BFBFBF" w:sz="4"/>
            </w:tcBorders>
            <w:shd w:fill="FBEAE6" w:val="clear"/>
            <w:tcMar>
              <w:top w:type="dxa" w:w="80"/>
              <w:left w:type="dxa" w:w="120"/>
              <w:bottom w:type="dxa" w:w="80"/>
              <w:right w:type="dxa" w:w="120"/>
            </w:tcMar>
          </w:tcPr>
          <w:p>
            <w:r>
              <w:rPr>
                <w:b/>
                <w:bCs/>
                <w:sz w:val="19"/>
                <w:szCs w:val="19"/>
              </w:rPr>
              <w:t xml:space="preserve">Day 16 (Tue)</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Security hardening</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Least-privilege IAM. KMS customer-managed key. Secrets Manager rotation policy. CloudTrail enabled. AWS Config rules. Brief written security/privacy posture doc for the customer.</w:t>
            </w:r>
          </w:p>
        </w:tc>
      </w:tr>
      <w:tr>
        <w:tc>
          <w:tcPr>
            <w:tcW w:type="dxa" w:w="1100"/>
            <w:tcBorders>
              <w:top w:val="single" w:color="BFBFBF" w:sz="4"/>
              <w:left w:val="single" w:color="BFBFBF" w:sz="4"/>
              <w:bottom w:val="single" w:color="BFBFBF" w:sz="4"/>
              <w:right w:val="single" w:color="BFBFBF" w:sz="4"/>
            </w:tcBorders>
            <w:shd w:fill="FBEAE6" w:val="clear"/>
            <w:tcMar>
              <w:top w:type="dxa" w:w="80"/>
              <w:left w:type="dxa" w:w="120"/>
              <w:bottom w:type="dxa" w:w="80"/>
              <w:right w:type="dxa" w:w="120"/>
            </w:tcMar>
          </w:tcPr>
          <w:p>
            <w:r>
              <w:rPr>
                <w:b/>
                <w:bCs/>
                <w:sz w:val="19"/>
                <w:szCs w:val="19"/>
              </w:rPr>
              <w:t xml:space="preserve">Day 17 (Wed)</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Five-day unattended run begins</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Kick off the agent on the sandbox at 7:00 AM each business day Day 17–21. No manual intervention. Monitor only. Log any anomaly.</w:t>
            </w:r>
          </w:p>
        </w:tc>
      </w:tr>
      <w:tr>
        <w:tc>
          <w:tcPr>
            <w:tcW w:type="dxa" w:w="1100"/>
            <w:tcBorders>
              <w:top w:val="single" w:color="BFBFBF" w:sz="4"/>
              <w:left w:val="single" w:color="BFBFBF" w:sz="4"/>
              <w:bottom w:val="single" w:color="BFBFBF" w:sz="4"/>
              <w:right w:val="single" w:color="BFBFBF" w:sz="4"/>
            </w:tcBorders>
            <w:shd w:fill="FBEAE6" w:val="clear"/>
            <w:tcMar>
              <w:top w:type="dxa" w:w="80"/>
              <w:left w:type="dxa" w:w="120"/>
              <w:bottom w:type="dxa" w:w="80"/>
              <w:right w:type="dxa" w:w="120"/>
            </w:tcMar>
          </w:tcPr>
          <w:p>
            <w:r>
              <w:rPr>
                <w:b/>
                <w:bCs/>
                <w:sz w:val="19"/>
                <w:szCs w:val="19"/>
              </w:rPr>
              <w:t xml:space="preserve">Day 18 (Thu)</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Demo recording</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Record a 90-second demo video. Run the agent live. Show the dashboard updating. Show one exception escalation in Slack. Show the audit report PDF. Edit with subtitles, post on a private Loom link. Polish to professional quality.</w:t>
            </w:r>
          </w:p>
        </w:tc>
      </w:tr>
      <w:tr>
        <w:tc>
          <w:tcPr>
            <w:tcW w:type="dxa" w:w="1100"/>
            <w:tcBorders>
              <w:top w:val="single" w:color="BFBFBF" w:sz="4"/>
              <w:left w:val="single" w:color="BFBFBF" w:sz="4"/>
              <w:bottom w:val="single" w:color="BFBFBF" w:sz="4"/>
              <w:right w:val="single" w:color="BFBFBF" w:sz="4"/>
            </w:tcBorders>
            <w:shd w:fill="FBEAE6" w:val="clear"/>
            <w:tcMar>
              <w:top w:type="dxa" w:w="80"/>
              <w:left w:type="dxa" w:w="120"/>
              <w:bottom w:type="dxa" w:w="80"/>
              <w:right w:type="dxa" w:w="120"/>
            </w:tcMar>
          </w:tcPr>
          <w:p>
            <w:r>
              <w:rPr>
                <w:b/>
                <w:bCs/>
                <w:sz w:val="19"/>
                <w:szCs w:val="19"/>
              </w:rPr>
              <w:t xml:space="preserve">Day 19 (Fri)</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Accelerator application</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Write the application narrative. Reuse content from the proposal doc. Submit to agentic-ai-accelerator.com. Sleep on it; have a friend review in the morning.</w:t>
            </w:r>
          </w:p>
        </w:tc>
      </w:tr>
      <w:tr>
        <w:tc>
          <w:tcPr>
            <w:tcW w:type="dxa" w:w="1100"/>
            <w:tcBorders>
              <w:top w:val="single" w:color="BFBFBF" w:sz="4"/>
              <w:left w:val="single" w:color="BFBFBF" w:sz="4"/>
              <w:bottom w:val="single" w:color="BFBFBF" w:sz="4"/>
              <w:right w:val="single" w:color="BFBFBF" w:sz="4"/>
            </w:tcBorders>
            <w:shd w:fill="FBEAE6" w:val="clear"/>
            <w:tcMar>
              <w:top w:type="dxa" w:w="80"/>
              <w:left w:type="dxa" w:w="120"/>
              <w:bottom w:type="dxa" w:w="80"/>
              <w:right w:type="dxa" w:w="120"/>
            </w:tcMar>
          </w:tcPr>
          <w:p>
            <w:r>
              <w:rPr>
                <w:b/>
                <w:bCs/>
                <w:sz w:val="19"/>
                <w:szCs w:val="19"/>
              </w:rPr>
              <w:t xml:space="preserve">Day 20 (Sat)</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Pitch deck final polish + customer outreach</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Run through the deck three times. Cold-email outreach to 30 mid-market BFSI prospects (CFOs/COOs). Personalized openers. Target: 5 replies, 3 discovery calls scheduled.</w:t>
            </w:r>
          </w:p>
        </w:tc>
      </w:tr>
      <w:tr>
        <w:tc>
          <w:tcPr>
            <w:tcW w:type="dxa" w:w="1100"/>
            <w:tcBorders>
              <w:top w:val="single" w:color="BFBFBF" w:sz="4"/>
              <w:left w:val="single" w:color="BFBFBF" w:sz="4"/>
              <w:bottom w:val="single" w:color="BFBFBF" w:sz="4"/>
              <w:right w:val="single" w:color="BFBFBF" w:sz="4"/>
            </w:tcBorders>
            <w:shd w:fill="FBEAE6" w:val="clear"/>
            <w:tcMar>
              <w:top w:type="dxa" w:w="80"/>
              <w:left w:type="dxa" w:w="120"/>
              <w:bottom w:type="dxa" w:w="80"/>
              <w:right w:type="dxa" w:w="120"/>
            </w:tcMar>
          </w:tcPr>
          <w:p>
            <w:r>
              <w:rPr>
                <w:b/>
                <w:bCs/>
                <w:sz w:val="19"/>
                <w:szCs w:val="19"/>
              </w:rPr>
              <w:t xml:space="preserve">Day 21 (Sun)</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Buffer + retro</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Catch up on anything that slipped. Demo day rehearsal. Sprint retro: what we shipped, what got cut, what we learned, the priority list for Day 22+.</w:t>
            </w:r>
          </w:p>
        </w:tc>
      </w:tr>
    </w:tbl>
    <w:p>
      <w:r>
        <w:br w:type="page"/>
      </w:r>
    </w:p>
    <w:p>
      <w:pPr>
        <w:pStyle w:val="Heading1"/>
      </w:pPr>
      <w:r>
        <w:t xml:space="preserve">5. Technical Architecture</w:t>
      </w:r>
    </w:p>
    <w:p>
      <w:pPr>
        <w:pStyle w:val="Heading2"/>
      </w:pPr>
      <w:r>
        <w:t xml:space="preserve">5.1 Stack</w:t>
      </w:r>
    </w:p>
    <w:p>
      <w:pPr>
        <w:pStyle w:val="ListParagraph"/>
        <w:numPr>
          <w:ilvl w:val="0"/>
          <w:numId w:val="2"/>
        </w:numPr>
      </w:pPr>
      <w:r>
        <w:t xml:space="preserve">Python 3.12, Poetry for deps.</w:t>
      </w:r>
    </w:p>
    <w:p>
      <w:pPr>
        <w:pStyle w:val="ListParagraph"/>
        <w:numPr>
          <w:ilvl w:val="0"/>
          <w:numId w:val="2"/>
        </w:numPr>
      </w:pPr>
      <w:r>
        <w:t xml:space="preserve">AWS: Bedrock (Opus), Nova Act, Lambda, Step Functions, DynamoDB, S3, Secrets Manager, KMS, CloudWatch, CloudTrail.</w:t>
      </w:r>
    </w:p>
    <w:p>
      <w:pPr>
        <w:pStyle w:val="ListParagraph"/>
        <w:numPr>
          <w:ilvl w:val="0"/>
          <w:numId w:val="2"/>
        </w:numPr>
      </w:pPr>
      <w:r>
        <w:t xml:space="preserve">Next.js 14 + TypeScript for the customer dashboard.</w:t>
      </w:r>
    </w:p>
    <w:p>
      <w:pPr>
        <w:pStyle w:val="ListParagraph"/>
        <w:numPr>
          <w:ilvl w:val="0"/>
          <w:numId w:val="2"/>
        </w:numPr>
      </w:pPr>
      <w:r>
        <w:t xml:space="preserve">Clerk for auth.</w:t>
      </w:r>
    </w:p>
    <w:p>
      <w:pPr>
        <w:pStyle w:val="ListParagraph"/>
        <w:numPr>
          <w:ilvl w:val="0"/>
          <w:numId w:val="2"/>
        </w:numPr>
      </w:pPr>
      <w:r>
        <w:t xml:space="preserve">Slack Bolt SDK for escalation.</w:t>
      </w:r>
    </w:p>
    <w:p>
      <w:pPr>
        <w:pStyle w:val="ListParagraph"/>
        <w:numPr>
          <w:ilvl w:val="0"/>
          <w:numId w:val="2"/>
        </w:numPr>
      </w:pPr>
      <w:r>
        <w:t xml:space="preserve">Pydantic for schema validation.</w:t>
      </w:r>
    </w:p>
    <w:p>
      <w:pPr>
        <w:pStyle w:val="ListParagraph"/>
        <w:numPr>
          <w:ilvl w:val="0"/>
          <w:numId w:val="2"/>
        </w:numPr>
      </w:pPr>
      <w:r>
        <w:t xml:space="preserve">reportlab + matplotlib for PDF reports.</w:t>
      </w:r>
    </w:p>
    <w:p>
      <w:pPr>
        <w:pStyle w:val="ListParagraph"/>
        <w:numPr>
          <w:ilvl w:val="0"/>
          <w:numId w:val="2"/>
        </w:numPr>
      </w:pPr>
      <w:r>
        <w:t xml:space="preserve">Playwright as a fallback executor for any browser case Nova Act struggles with.</w:t>
      </w:r>
    </w:p>
    <w:p>
      <w:pPr>
        <w:pStyle w:val="Heading2"/>
      </w:pPr>
      <w:r>
        <w:t xml:space="preserve">5.2 Repo layout</w:t>
      </w:r>
    </w:p>
    <w:p>
      <w:pPr>
        <w:shd w:fill="F5F5F5" w:val="clear"/>
        <w:spacing w:after="80" w:before="80"/>
      </w:pPr>
      <w:r>
        <w:rPr>
          <w:rFonts w:ascii="Consolas" w:cs="Consolas" w:eastAsia="Consolas" w:hAnsi="Consolas"/>
          <w:sz w:val="18"/>
          <w:szCs w:val="18"/>
        </w:rPr>
        <w:t xml:space="preserve">backofficepilot/
├── orchestrator/
│   ├── state_machine.py      # Step Functions definition
│   ├── plan.py               # Opus planning
│   ├── execute.py            # Nova Act dispatcher
│   ├── reconcile.py          # Opus reconciliation
│   └── schemas/              # Pydantic models
├── workflows/
│   └── daily_reconciliation.yaml
├── policy/
│   └── three_way_match.md
├── nova_scripts/
│   ├── netsuite.py
│   └── mock_bank.py
├── audit/
│   ├── log_writer.py
│   └── pdf_report.py
├── dashboard/                # Next.js app
├── infra/                    # Terraform
└── tests/</w:t>
      </w:r>
    </w:p>
    <w:p>
      <w:pPr>
        <w:pStyle w:val="Heading2"/>
      </w:pPr>
      <w:r>
        <w:t xml:space="preserve">5.3 Workflow definition (YAML)</w:t>
      </w:r>
    </w:p>
    <w:p>
      <w:pPr>
        <w:shd w:fill="F5F5F5" w:val="clear"/>
        <w:spacing w:after="80" w:before="80"/>
      </w:pPr>
      <w:r>
        <w:rPr>
          <w:rFonts w:ascii="Consolas" w:cs="Consolas" w:eastAsia="Consolas" w:hAnsi="Consolas"/>
          <w:sz w:val="18"/>
          <w:szCs w:val="18"/>
        </w:rPr>
        <w:t xml:space="preserve">name: daily_reconciliation
version: 1
triggers:
  cron: "0 13 * * MON-FRI"  # 7 AM CT, weekdays
policy_documents:
  - policy/three_way_match.md
  - policy/journal_posting_rules.md
systems:
  - id: bank_portal
    type: web
    base_url: ${BANK_PORTAL_URL}
    credentials_secret: bank/creds
  - id: netsuite
    type: web
    base_url: ${NETSUITE_URL}
    credentials_secret: netsuite/creds
steps:
  - id: pull_bank_file
    system: bank_portal
    intent: "Download yesterday's transaction file"
    success: { file_present: true, min_rows: 20 }
  - id: pull_open_invoices
    system: netsuite
    intent: "Export open invoices for the last 60 days"
  - id: match
    type: reason
    inputs: [pull_bank_file, pull_open_invoices]
  - id: post_matches
    system: netsuite
    intent: "Post journal entries for matched transactions"
  - id: escalate_exceptions
    type: escalate
    channel: slack
budget:
  max_cost_usd: 1.00
  max_duration_minutes: 15
escalation:
  channel: "#bop-reconciliation"
  reviewer_sla_minutes: 60</w:t>
      </w:r>
    </w:p>
    <w:p>
      <w:pPr>
        <w:pStyle w:val="Heading2"/>
      </w:pPr>
      <w:r>
        <w:t xml:space="preserve">5.4 Opus plan output (example)</w:t>
      </w:r>
    </w:p>
    <w:p>
      <w:pPr>
        <w:shd w:fill="F5F5F5" w:val="clear"/>
        <w:spacing w:after="80" w:before="80"/>
      </w:pPr>
      <w:r>
        <w:rPr>
          <w:rFonts w:ascii="Consolas" w:cs="Consolas" w:eastAsia="Consolas" w:hAnsi="Consolas"/>
          <w:sz w:val="18"/>
          <w:szCs w:val="18"/>
        </w:rPr>
        <w:t xml:space="preserve">{
  "plan_id": "run_20260520_001",
  "summary": "Daily reconciliation for 2026-05-19. 47 bank transactions, 89 open invoices. Expected to clean-match ~85%; escalate the rest.",
  "steps": [
    { "step_id": "s1", "intent": "Download 2026-05-19 transaction file", "system": "bank_portal", "success_criteria": { "min_rows": 20 } },
    { "step_id": "s2", "intent": "Export open invoices", "system": "netsuite", "success_criteria": {} },
    { "step_id": "s3", "intent": "Apply three-way match", "type": "reason" },
    { "step_id": "s4", "intent": "Post matched JEs", "system": "netsuite" },
    { "step_id": "s5", "intent": "Escalate exceptions to Slack", "type": "escalate" }
  ],
  "reasoning": "Workflow runs on the trailing business day's transactions. Tolerances per policy v3 allow $0.50 rounding on individual line items..."
}</w:t>
      </w:r>
    </w:p>
    <w:p>
      <w:r>
        <w:br w:type="page"/>
      </w:r>
    </w:p>
    <w:p>
      <w:pPr>
        <w:pStyle w:val="Heading1"/>
      </w:pPr>
      <w:r>
        <w:t xml:space="preserve">6. Demo Script (90 Seconds)</w:t>
      </w:r>
    </w:p>
    <w:p>
      <w:r>
        <w:t xml:space="preserve">This is the exact spoken narrative for the demo video and the live pitch.</w:t>
      </w:r>
    </w:p>
    <w:p>
      <w:pPr>
        <w:pStyle w:val="Heading3"/>
      </w:pPr>
      <w:r>
        <w:t xml:space="preserve">Opening (0:00 – 0:10)</w:t>
      </w:r>
    </w:p>
    <w:p>
      <w:r>
        <w:t xml:space="preserve">“This is BackOfficePilot. It’s 7 AM on a Tuesday. A mid-market bank’s accountant would be opening the bank statement right now. Instead, BackOfficePilot is already running.”</w:t>
      </w:r>
    </w:p>
    <w:p>
      <w:pPr>
        <w:pStyle w:val="Heading3"/>
      </w:pPr>
      <w:r>
        <w:t xml:space="preserve">Plan phase (0:10 – 0:25)</w:t>
      </w:r>
    </w:p>
    <w:p>
      <w:r>
        <w:t xml:space="preserve">“Claude Opus reads the workflow, the bank’s policy document, and the day’s transactions. In 4 seconds it produces a structured plan: download the file, export the invoices, run the three-way match, post the entries, escalate exceptions. Watch the reasoning trace on the right.”</w:t>
      </w:r>
    </w:p>
    <w:p>
      <w:pPr>
        <w:pStyle w:val="Heading3"/>
      </w:pPr>
      <w:r>
        <w:t xml:space="preserve">Execute phase (0:25 – 1:00)</w:t>
      </w:r>
    </w:p>
    <w:p>
      <w:r>
        <w:t xml:space="preserve">“Now Amazon Nova Act takes over. It logs into the bank portal, downloads yesterday’s 47-line transaction file. Then NetSuite — exports the 89 open invoices. The whole UI dance, fully unattended.”</w:t>
      </w:r>
    </w:p>
    <w:p>
      <w:pPr>
        <w:pStyle w:val="Heading3"/>
      </w:pPr>
      <w:r>
        <w:t xml:space="preserve">Reconcile phase (1:00 – 1:25)</w:t>
      </w:r>
    </w:p>
    <w:p>
      <w:r>
        <w:t xml:space="preserve">“Opus matches 41 transactions cleanly. Nova Act posts the journal entries. Six exceptions: three duplicate payments, two amount mismatches under our $5 tolerance, one missing invoice. Opus drafts a one-paragraph rationale for each. Nova Act fires a Slack message to the reviewer with one-click approvals.”</w:t>
      </w:r>
    </w:p>
    <w:p>
      <w:pPr>
        <w:pStyle w:val="Heading3"/>
      </w:pPr>
      <w:r>
        <w:t xml:space="preserve">Audit (1:25 – 1:30)</w:t>
      </w:r>
    </w:p>
    <w:p>
      <w:r>
        <w:t xml:space="preserve">“And here’s the run report — every action, every reasoning trace, every screenshot, hash-chained for tamper evidence. This is what we deliver to the auditor. Total cost of this run: 73 cents.”</w:t>
      </w:r>
    </w:p>
    <w:p>
      <w:pPr>
        <w:pStyle w:val="Heading1"/>
      </w:pPr>
      <w:r>
        <w:t xml:space="preserve">7.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3960"/>
      </w:tblGrid>
      <w:tr>
        <w:trPr>
          <w:tblHeader/>
        </w:trPr>
        <w:tc>
          <w:tcPr>
            <w:tcW w:type="dxa" w:w="2400"/>
            <w:tcBorders>
              <w:top w:val="single" w:color="BFBFBF" w:sz="4"/>
              <w:left w:val="single" w:color="BFBFBF" w:sz="4"/>
              <w:bottom w:val="single" w:color="BFBFBF" w:sz="4"/>
              <w:right w:val="single" w:color="BFBFBF" w:sz="4"/>
            </w:tcBorders>
            <w:shd w:fill="B85042" w:val="clear"/>
            <w:tcMar>
              <w:top w:type="dxa" w:w="80"/>
              <w:left w:type="dxa" w:w="120"/>
              <w:bottom w:type="dxa" w:w="80"/>
              <w:right w:type="dxa" w:w="120"/>
            </w:tcMar>
          </w:tcPr>
          <w:p>
            <w:r>
              <w:rPr>
                <w:b/>
                <w:bCs/>
                <w:color w:val="FFFFFF"/>
                <w:sz w:val="20"/>
                <w:szCs w:val="20"/>
              </w:rPr>
              <w:t xml:space="preserve">Risk</w:t>
            </w:r>
          </w:p>
        </w:tc>
        <w:tc>
          <w:tcPr>
            <w:tcW w:type="dxa" w:w="1500"/>
            <w:tcBorders>
              <w:top w:val="single" w:color="BFBFBF" w:sz="4"/>
              <w:left w:val="single" w:color="BFBFBF" w:sz="4"/>
              <w:bottom w:val="single" w:color="BFBFBF" w:sz="4"/>
              <w:right w:val="single" w:color="BFBFBF" w:sz="4"/>
            </w:tcBorders>
            <w:shd w:fill="B85042" w:val="clear"/>
            <w:tcMar>
              <w:top w:type="dxa" w:w="80"/>
              <w:left w:type="dxa" w:w="120"/>
              <w:bottom w:type="dxa" w:w="80"/>
              <w:right w:type="dxa" w:w="120"/>
            </w:tcMar>
          </w:tcPr>
          <w:p>
            <w:r>
              <w:rPr>
                <w:b/>
                <w:bCs/>
                <w:color w:val="FFFFFF"/>
                <w:sz w:val="20"/>
                <w:szCs w:val="20"/>
              </w:rPr>
              <w:t xml:space="preserve">P(occur)</w:t>
            </w:r>
          </w:p>
        </w:tc>
        <w:tc>
          <w:tcPr>
            <w:tcW w:type="dxa" w:w="1500"/>
            <w:tcBorders>
              <w:top w:val="single" w:color="BFBFBF" w:sz="4"/>
              <w:left w:val="single" w:color="BFBFBF" w:sz="4"/>
              <w:bottom w:val="single" w:color="BFBFBF" w:sz="4"/>
              <w:right w:val="single" w:color="BFBFBF" w:sz="4"/>
            </w:tcBorders>
            <w:shd w:fill="B85042" w:val="clear"/>
            <w:tcMar>
              <w:top w:type="dxa" w:w="80"/>
              <w:left w:type="dxa" w:w="120"/>
              <w:bottom w:type="dxa" w:w="80"/>
              <w:right w:type="dxa" w:w="120"/>
            </w:tcMar>
          </w:tcPr>
          <w:p>
            <w:r>
              <w:rPr>
                <w:b/>
                <w:bCs/>
                <w:color w:val="FFFFFF"/>
                <w:sz w:val="20"/>
                <w:szCs w:val="20"/>
              </w:rPr>
              <w:t xml:space="preserve">Impact</w:t>
            </w:r>
          </w:p>
        </w:tc>
        <w:tc>
          <w:tcPr>
            <w:tcW w:type="dxa" w:w="3960"/>
            <w:tcBorders>
              <w:top w:val="single" w:color="BFBFBF" w:sz="4"/>
              <w:left w:val="single" w:color="BFBFBF" w:sz="4"/>
              <w:bottom w:val="single" w:color="BFBFBF" w:sz="4"/>
              <w:right w:val="single" w:color="BFBFBF" w:sz="4"/>
            </w:tcBorders>
            <w:shd w:fill="B85042" w:val="clear"/>
            <w:tcMar>
              <w:top w:type="dxa" w:w="80"/>
              <w:left w:type="dxa" w:w="120"/>
              <w:bottom w:type="dxa" w:w="80"/>
              <w:right w:type="dxa" w:w="120"/>
            </w:tcMar>
          </w:tcPr>
          <w:p>
            <w:r>
              <w:rPr>
                <w:b/>
                <w:bCs/>
                <w:color w:val="FFFFFF"/>
                <w:sz w:val="20"/>
                <w:szCs w:val="20"/>
              </w:rPr>
              <w:t xml:space="preserve">Pre-mortem mitigation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Nova Act API access delay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High</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Apply Day 0. Have Playwright stub ready as bridge. Test contract first, swap implementation later.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NetSuite sandbox unstable / 2FA loop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Medium</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Fallback to QBO sandbox by EOD Day 9. Mock the ERP entirely if both fail (own simple Django app).</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Opus produces invalid JSON consistently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High</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Use structured-output mode + retry-once-on-schema-fail. Add few-shot examples to prompt.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Cost-per-run exceeds budget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Medium</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Enable prompt caching Day 1. Measure per-run cost daily. Add hard ceiling to orchestrator.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Solo founder burnout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Critical</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Sundays half-day only. No late nights past 11 PM. Walks. Real meals. The sprint is 3 weeks, not 3 days.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Accelerator rejection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Medium</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Build the asset regardless. The demo, deck, and proposal stand on their own for YC and angel outreach.</w:t>
            </w:r>
          </w:p>
        </w:tc>
      </w:tr>
    </w:tbl>
    <w:p>
      <w:r>
        <w:t xml:space="preserve"/>
      </w:r>
    </w:p>
    <w:p>
      <w:pPr>
        <w:pStyle w:val="Heading1"/>
      </w:pPr>
      <w:r>
        <w:t xml:space="preserve">8. The “Cut First” List</w:t>
      </w:r>
    </w:p>
    <w:p>
      <w:r>
        <w:t xml:space="preserve">If we are behind by EOD Friday Week 2, these get cut in this order:</w:t>
      </w:r>
    </w:p>
    <w:p>
      <w:pPr>
        <w:pStyle w:val="ListParagraph"/>
        <w:numPr>
          <w:ilvl w:val="0"/>
          <w:numId w:val="2"/>
        </w:numPr>
      </w:pPr>
      <w:r>
        <w:t xml:space="preserve">Customer dashboard polish (use raw CloudWatch dashboards instead).</w:t>
      </w:r>
    </w:p>
    <w:p>
      <w:pPr>
        <w:pStyle w:val="ListParagraph"/>
        <w:numPr>
          <w:ilvl w:val="0"/>
          <w:numId w:val="2"/>
        </w:numPr>
      </w:pPr>
      <w:r>
        <w:t xml:space="preserve">Multi-currency exception category (defer to v1.1).</w:t>
      </w:r>
    </w:p>
    <w:p>
      <w:pPr>
        <w:pStyle w:val="ListParagraph"/>
        <w:numPr>
          <w:ilvl w:val="0"/>
          <w:numId w:val="2"/>
        </w:numPr>
      </w:pPr>
      <w:r>
        <w:t xml:space="preserve">Duplicate-payment exception category (defer).</w:t>
      </w:r>
    </w:p>
    <w:p>
      <w:pPr>
        <w:pStyle w:val="ListParagraph"/>
        <w:numPr>
          <w:ilvl w:val="0"/>
          <w:numId w:val="2"/>
        </w:numPr>
      </w:pPr>
      <w:r>
        <w:t xml:space="preserve">PDF run report (use HTML page printed to PDF as fallback).</w:t>
      </w:r>
    </w:p>
    <w:p>
      <w:pPr>
        <w:pStyle w:val="ListParagraph"/>
        <w:numPr>
          <w:ilvl w:val="0"/>
          <w:numId w:val="2"/>
        </w:numPr>
      </w:pPr>
      <w:r>
        <w:t xml:space="preserve">Five-day unattended run (compress to three days).</w:t>
      </w:r>
    </w:p>
    <w:p>
      <w:pPr>
        <w:pStyle w:val="ListParagraph"/>
        <w:numPr>
          <w:ilvl w:val="0"/>
          <w:numId w:val="2"/>
        </w:numPr>
      </w:pPr>
      <w:r>
        <w:t xml:space="preserve">Day-20 customer outreach (push to post-sprint).</w:t>
      </w:r>
    </w:p>
    <w:p>
      <w:pPr>
        <w:pStyle w:val="Heading1"/>
      </w:pPr>
      <w:r>
        <w:t xml:space="preserve">9. Definition of Done — Day 21 Checklist</w:t>
      </w:r>
    </w:p>
    <w:p>
      <w:pPr>
        <w:pStyle w:val="ListParagraph"/>
        <w:numPr>
          <w:ilvl w:val="0"/>
          <w:numId w:val="2"/>
        </w:numPr>
      </w:pPr>
      <w:r>
        <w:t xml:space="preserve">Agent runs unattended for 3+ consecutive business days without intervention.</w:t>
      </w:r>
    </w:p>
    <w:p>
      <w:pPr>
        <w:pStyle w:val="ListParagraph"/>
        <w:numPr>
          <w:ilvl w:val="0"/>
          <w:numId w:val="2"/>
        </w:numPr>
      </w:pPr>
      <w:r>
        <w:t xml:space="preserve">Per-run cost under $1.00 verified across 50+ runs.</w:t>
      </w:r>
    </w:p>
    <w:p>
      <w:pPr>
        <w:pStyle w:val="ListParagraph"/>
        <w:numPr>
          <w:ilvl w:val="0"/>
          <w:numId w:val="2"/>
        </w:numPr>
      </w:pPr>
      <w:r>
        <w:t xml:space="preserve">90-second demo video published (private Loom link).</w:t>
      </w:r>
    </w:p>
    <w:p>
      <w:pPr>
        <w:pStyle w:val="ListParagraph"/>
        <w:numPr>
          <w:ilvl w:val="0"/>
          <w:numId w:val="2"/>
        </w:numPr>
      </w:pPr>
      <w:r>
        <w:t xml:space="preserve">Pitch deck rehearsed and timed to ≤ 6 minutes.</w:t>
      </w:r>
    </w:p>
    <w:p>
      <w:pPr>
        <w:pStyle w:val="ListParagraph"/>
        <w:numPr>
          <w:ilvl w:val="0"/>
          <w:numId w:val="2"/>
        </w:numPr>
      </w:pPr>
      <w:r>
        <w:t xml:space="preserve">Accelerator application submitted to agentic-ai-accelerator.com.</w:t>
      </w:r>
    </w:p>
    <w:p>
      <w:pPr>
        <w:pStyle w:val="ListParagraph"/>
        <w:numPr>
          <w:ilvl w:val="0"/>
          <w:numId w:val="2"/>
        </w:numPr>
      </w:pPr>
      <w:r>
        <w:t xml:space="preserve">YC application drafted (next cohort).</w:t>
      </w:r>
    </w:p>
    <w:p>
      <w:pPr>
        <w:pStyle w:val="ListParagraph"/>
        <w:numPr>
          <w:ilvl w:val="0"/>
          <w:numId w:val="2"/>
        </w:numPr>
      </w:pPr>
      <w:r>
        <w:t xml:space="preserve">3 customer-discovery calls scheduled in the next 14 days.</w:t>
      </w:r>
    </w:p>
    <w:p>
      <w:pPr>
        <w:pStyle w:val="ListParagraph"/>
        <w:numPr>
          <w:ilvl w:val="0"/>
          <w:numId w:val="2"/>
        </w:numPr>
      </w:pPr>
      <w:r>
        <w:t xml:space="preserve">Architecture, sprint plan, proposal documents finalized and version-controlled.</w:t>
      </w:r>
    </w:p>
    <w:p>
      <w:pPr>
        <w:pStyle w:val="ListParagraph"/>
        <w:numPr>
          <w:ilvl w:val="0"/>
          <w:numId w:val="2"/>
        </w:numPr>
      </w:pPr>
      <w:r>
        <w:t xml:space="preserve">Repo public-ready: README, LICENSE, contributing guidelines, security policy.</w:t>
      </w:r>
    </w:p>
    <w:p>
      <w:r>
        <w:t xml:space="preserve"/>
      </w:r>
    </w:p>
    <w:p>
      <w:r>
        <w:t xml:space="preserve"/>
      </w:r>
    </w:p>
    <w:p>
      <w:r>
        <w:rPr>
          <w:b/>
          <w:bCs/>
          <w:i/>
          <w:iCs/>
        </w:rPr>
        <w:t xml:space="preserve">Ship it.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8"/>
        <w:szCs w:val="18"/>
      </w:rPr>
      <w:t xml:space="preserve">Page </w:t>
    </w:r>
    <w:r>
      <w:rPr>
        <w:color w:val="8C8C8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8C8C"/>
        <w:sz w:val="18"/>
        <w:szCs w:val="18"/>
      </w:rPr>
      <w:t xml:space="preserve">BackOfficePilot · 3-Week Sprint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B85042"/>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B85042"/>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8C3D3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BackOfficePilot 3-Week Sprint Plan</dc:title>
  <dc:creator>AJ</dc:creator>
  <cp:lastModifiedBy>Un-named</cp:lastModifiedBy>
  <cp:revision>1</cp:revision>
  <dcterms:created xsi:type="dcterms:W3CDTF">2026-05-18T19:11:23.070Z</dcterms:created>
  <dcterms:modified xsi:type="dcterms:W3CDTF">2026-05-18T19:11:23.070Z</dcterms:modified>
</cp:coreProperties>
</file>

<file path=docProps/custom.xml><?xml version="1.0" encoding="utf-8"?>
<Properties xmlns="http://schemas.openxmlformats.org/officeDocument/2006/custom-properties" xmlns:vt="http://schemas.openxmlformats.org/officeDocument/2006/docPropsVTypes"/>
</file>