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line="276"/>
      </w:pPr>
      <w:r>
        <w:rPr>
          <w:color w:val="808080"/>
          <w:sz w:val="19"/>
          <w:szCs w:val="19"/>
        </w:rPr>
        <w:t xml:space="preserve">Septembre 2026</w:t>
      </w:r>
    </w:p>
    <w:p>
      <w:pPr>
        <w:spacing w:after="60"/>
      </w:pPr>
      <w:r>
        <w:rPr>
          <w:b/>
          <w:bCs/>
          <w:color w:val="1F4E79"/>
          <w:sz w:val="30"/>
          <w:szCs w:val="30"/>
        </w:rPr>
        <w:t xml:space="preserve">Rythmes scolaires : la semaine de 4 jours a-t-elle un effet sur les résultats des élèves ?</w:t>
      </w:r>
    </w:p>
    <w:p>
      <w:pPr>
        <w:pBdr>
          <w:bottom w:val="single" w:color="1F4E79" w:sz="8" w:space="6"/>
        </w:pBdr>
        <w:spacing w:after="240"/>
      </w:pPr>
      <w:r>
        <w:rPr>
          <w:i/>
          <w:iCs/>
          <w:color w:val="808080"/>
          <w:sz w:val="20"/>
          <w:szCs w:val="20"/>
        </w:rPr>
        <w:t xml:space="preserve">Note d'analyse sur données ouvertes</w:t>
      </w:r>
    </w:p>
    <w:p>
      <w:pPr>
        <w:spacing w:after="200" w:line="276"/>
      </w:pPr>
      <w:r>
        <w:rPr>
          <w:b/>
          <w:bCs/>
          <w:sz w:val="21"/>
          <w:szCs w:val="21"/>
        </w:rPr>
        <w:t xml:space="preserve">En bref. </w:t>
      </w:r>
      <w:r>
        <w:rPr>
          <w:sz w:val="21"/>
          <w:szCs w:val="21"/>
        </w:rPr>
        <w:t xml:space="preserve">Les communes ayant conservé la semaine de 4,5 jours obtiennent de meilleurs résultats que les autres, mais cet écart est intégralement d'origine sociale et géographique. À composition comparable, aucun effet du rythme scolaire n'est détectable sur le niveau des élèves à l'entrée en sixième, ni entre établissements, ni en suivant dans le temps ceux dont la commune a changé de rythme. Les données excluent tout effet dépassant environ 0,08 écart-type, soit un peu plus d'une annuité de l'objectif décennal proposé par le CAE.</w:t>
      </w:r>
    </w:p>
    <w:p>
      <w:pPr>
        <w:pStyle w:val="Heading1"/>
        <w:spacing w:after="140" w:before="280"/>
      </w:pPr>
      <w:r>
        <w:rPr>
          <w:b/>
          <w:bCs/>
          <w:color w:val="1F4E79"/>
          <w:sz w:val="26"/>
          <w:szCs w:val="26"/>
        </w:rPr>
        <w:t xml:space="preserve">1. Question, données et unité de mesure</w:t>
      </w:r>
    </w:p>
    <w:p>
      <w:pPr>
        <w:spacing w:after="120" w:line="276"/>
      </w:pPr>
      <w:r>
        <w:rPr>
          <w:sz w:val="21"/>
          <w:szCs w:val="21"/>
        </w:rPr>
        <w:t xml:space="preserve">Depuis le décret du 27 juin 2017, chaque commune choisit l'organisation de la semaine scolaire dans ses écoles publiques. À la rentrée 2025, 9,4 % des écoles publiques restent à 4,5 jours. La question posée est simple : ce choix se voit-il dans les acquis des élèves ?</w:t>
      </w:r>
    </w:p>
    <w:p>
      <w:pPr>
        <w:spacing w:after="120" w:line="276"/>
      </w:pPr>
      <w:r>
        <w:rPr>
          <w:sz w:val="21"/>
          <w:szCs w:val="21"/>
        </w:rPr>
        <w:t xml:space="preserve">Le rythme étant décidé par la commune, il a été apparié aux collèges publics implantés dans cette même commune. La variable de résultat retenue est le score aux évaluations nationales d'entrée en sixième, qui mesure le produit du primaire l'année même où l'élève en sort. Les indicateurs de valeur ajoutée des collèges (IVAC) ont été écartés : leur modèle contrôle déjà le score d'entrée en sixième, et soustrait donc par construction tout effet venant du primaire.</w:t>
      </w:r>
    </w:p>
    <w:p>
      <w:pPr>
        <w:spacing w:after="180" w:line="276"/>
      </w:pPr>
      <w:r>
        <w:rPr>
          <w:sz w:val="21"/>
          <w:szCs w:val="21"/>
        </w:rPr>
        <w:t xml:space="preserve">Les résultats sont exprimés en écarts-types (ET), unité de la note du CAE n° 93. Pour cette tranche d'âge, 0,5 à 0,6 ET équivaut à une année scolaire, et l'objectif national proposé par le CAE est de +0,6 ET en dix ans, soit environ +0,06 ET par an.</w:t>
      </w:r>
    </w:p>
    <w:p>
      <w:pPr>
        <w:pStyle w:val="Heading1"/>
        <w:spacing w:after="140" w:before="280"/>
      </w:pPr>
      <w:r>
        <w:rPr>
          <w:b/>
          <w:bCs/>
          <w:color w:val="1F4E79"/>
          <w:sz w:val="26"/>
          <w:szCs w:val="26"/>
        </w:rPr>
        <w:t xml:space="preserve">2. Qui a conservé la semaine de 4,5 jours</w:t>
      </w:r>
    </w:p>
    <w:p>
      <w:pPr>
        <w:spacing w:after="120" w:line="276"/>
      </w:pPr>
      <w:r>
        <w:rPr>
          <w:sz w:val="21"/>
          <w:szCs w:val="21"/>
        </w:rPr>
        <w:t xml:space="preserve">Sur 20 637 communes observées à la fois en 2020-2021 et en 2025-2026, 1 264 sont restées à 4,5 jours, 18 436 sont à 4 jours, et 743 ont abandonné les 4,5 jours entre les deux dates.</w:t>
      </w:r>
    </w:p>
    <w:tbl>
      <w:tblPr>
        <w:tblW w:type="dxa" w:w="9026"/>
        <w:tblBorders>
          <w:top w:val="single" w:color="BFBFBF" w:sz="4"/>
          <w:left w:val="none"/>
          <w:bottom w:val="single" w:color="BFBFBF" w:sz="4"/>
          <w:right w:val="none"/>
          <w:insideH w:val="single" w:color="D9D9D9" w:sz="2"/>
          <w:insideV w:val="none"/>
        </w:tblBorders>
      </w:tblPr>
      <w:tblGrid>
        <w:gridCol w:w="3026"/>
        <w:gridCol w:w="2000"/>
        <w:gridCol w:w="2000"/>
        <w:gridCol w:w="2000"/>
      </w:tblGrid>
      <w:tr>
        <w:trPr>
          <w:tblHeader/>
        </w:trPr>
        <w:tc>
          <w:tcPr>
            <w:tcW w:type="dxa" w:w="3026"/>
            <w:shd w:fill="F2F4F7" w:color="auto" w:val="clear"/>
            <w:tcMar>
              <w:top w:type="dxa" w:w="60"/>
              <w:left w:type="dxa" w:w="100"/>
              <w:bottom w:type="dxa" w:w="60"/>
              <w:right w:type="dxa" w:w="100"/>
            </w:tcMar>
          </w:tcPr>
          <w:p>
            <w:pPr>
              <w:spacing w:after="0"/>
              <w:jc w:val="left"/>
            </w:pPr>
            <w:r>
              <w:rPr>
                <w:b/>
                <w:bCs/>
                <w:sz w:val="19"/>
                <w:szCs w:val="19"/>
              </w:rPr>
              <w:t xml:space="preserve">Profil des communes</w:t>
            </w:r>
          </w:p>
        </w:tc>
        <w:tc>
          <w:tcPr>
            <w:tcW w:type="dxa" w:w="2000"/>
            <w:shd w:fill="F2F4F7" w:color="auto" w:val="clear"/>
            <w:tcMar>
              <w:top w:type="dxa" w:w="60"/>
              <w:left w:type="dxa" w:w="100"/>
              <w:bottom w:type="dxa" w:w="60"/>
              <w:right w:type="dxa" w:w="100"/>
            </w:tcMar>
          </w:tcPr>
          <w:p>
            <w:pPr>
              <w:spacing w:after="0"/>
              <w:jc w:val="right"/>
            </w:pPr>
            <w:r>
              <w:rPr>
                <w:b/>
                <w:bCs/>
                <w:sz w:val="19"/>
                <w:szCs w:val="19"/>
              </w:rPr>
              <w:t xml:space="preserve">4,5 jours</w:t>
            </w:r>
          </w:p>
        </w:tc>
        <w:tc>
          <w:tcPr>
            <w:tcW w:type="dxa" w:w="2000"/>
            <w:shd w:fill="F2F4F7" w:color="auto" w:val="clear"/>
            <w:tcMar>
              <w:top w:type="dxa" w:w="60"/>
              <w:left w:type="dxa" w:w="100"/>
              <w:bottom w:type="dxa" w:w="60"/>
              <w:right w:type="dxa" w:w="100"/>
            </w:tcMar>
          </w:tcPr>
          <w:p>
            <w:pPr>
              <w:spacing w:after="0"/>
              <w:jc w:val="right"/>
            </w:pPr>
            <w:r>
              <w:rPr>
                <w:b/>
                <w:bCs/>
                <w:sz w:val="19"/>
                <w:szCs w:val="19"/>
              </w:rPr>
              <w:t xml:space="preserve">4 jours</w:t>
            </w:r>
          </w:p>
        </w:tc>
        <w:tc>
          <w:tcPr>
            <w:tcW w:type="dxa" w:w="2000"/>
            <w:shd w:fill="F2F4F7" w:color="auto" w:val="clear"/>
            <w:tcMar>
              <w:top w:type="dxa" w:w="60"/>
              <w:left w:type="dxa" w:w="100"/>
              <w:bottom w:type="dxa" w:w="60"/>
              <w:right w:type="dxa" w:w="100"/>
            </w:tcMar>
          </w:tcPr>
          <w:p>
            <w:pPr>
              <w:spacing w:after="0"/>
              <w:jc w:val="right"/>
            </w:pPr>
            <w:r>
              <w:rPr>
                <w:b/>
                <w:bCs/>
                <w:sz w:val="19"/>
                <w:szCs w:val="19"/>
              </w:rPr>
              <w:t xml:space="preserve">Écart</w:t>
            </w:r>
          </w:p>
        </w:tc>
      </w:tr>
      <w:tr>
        <w:trPr>
          <w:tblHeader w:val="false"/>
        </w:trPr>
        <w:tc>
          <w:tcPr>
            <w:tcW w:type="dxa" w:w="3026"/>
            <w:tcMar>
              <w:top w:type="dxa" w:w="60"/>
              <w:left w:type="dxa" w:w="100"/>
              <w:bottom w:type="dxa" w:w="60"/>
              <w:right w:type="dxa" w:w="100"/>
            </w:tcMar>
          </w:tcPr>
          <w:p>
            <w:pPr>
              <w:spacing w:after="0"/>
              <w:jc w:val="left"/>
            </w:pPr>
            <w:r>
              <w:rPr>
                <w:sz w:val="19"/>
                <w:szCs w:val="19"/>
              </w:rPr>
              <w:t xml:space="preserve">IPS des écoles primaires</w:t>
            </w:r>
          </w:p>
        </w:tc>
        <w:tc>
          <w:tcPr>
            <w:tcW w:type="dxa" w:w="2000"/>
            <w:tcMar>
              <w:top w:type="dxa" w:w="60"/>
              <w:left w:type="dxa" w:w="100"/>
              <w:bottom w:type="dxa" w:w="60"/>
              <w:right w:type="dxa" w:w="100"/>
            </w:tcMar>
          </w:tcPr>
          <w:p>
            <w:pPr>
              <w:spacing w:after="0"/>
              <w:jc w:val="right"/>
            </w:pPr>
            <w:r>
              <w:rPr>
                <w:sz w:val="19"/>
                <w:szCs w:val="19"/>
              </w:rPr>
              <w:t xml:space="preserve">105,2</w:t>
            </w:r>
          </w:p>
        </w:tc>
        <w:tc>
          <w:tcPr>
            <w:tcW w:type="dxa" w:w="2000"/>
            <w:tcMar>
              <w:top w:type="dxa" w:w="60"/>
              <w:left w:type="dxa" w:w="100"/>
              <w:bottom w:type="dxa" w:w="60"/>
              <w:right w:type="dxa" w:w="100"/>
            </w:tcMar>
          </w:tcPr>
          <w:p>
            <w:pPr>
              <w:spacing w:after="0"/>
              <w:jc w:val="right"/>
            </w:pPr>
            <w:r>
              <w:rPr>
                <w:sz w:val="19"/>
                <w:szCs w:val="19"/>
              </w:rPr>
              <w:t xml:space="preserve">100,0</w:t>
            </w:r>
          </w:p>
        </w:tc>
        <w:tc>
          <w:tcPr>
            <w:tcW w:type="dxa" w:w="2000"/>
            <w:tcMar>
              <w:top w:type="dxa" w:w="60"/>
              <w:left w:type="dxa" w:w="100"/>
              <w:bottom w:type="dxa" w:w="60"/>
              <w:right w:type="dxa" w:w="100"/>
            </w:tcMar>
          </w:tcPr>
          <w:p>
            <w:pPr>
              <w:spacing w:after="0"/>
              <w:jc w:val="right"/>
            </w:pPr>
            <w:r>
              <w:rPr>
                <w:sz w:val="19"/>
                <w:szCs w:val="19"/>
              </w:rPr>
              <w:t xml:space="preserve">+5,2</w:t>
            </w:r>
          </w:p>
        </w:tc>
      </w:tr>
      <w:tr>
        <w:trPr>
          <w:tblHeader w:val="false"/>
        </w:trPr>
        <w:tc>
          <w:tcPr>
            <w:tcW w:type="dxa" w:w="3026"/>
            <w:tcMar>
              <w:top w:type="dxa" w:w="60"/>
              <w:left w:type="dxa" w:w="100"/>
              <w:bottom w:type="dxa" w:w="60"/>
              <w:right w:type="dxa" w:w="100"/>
            </w:tcMar>
          </w:tcPr>
          <w:p>
            <w:pPr>
              <w:spacing w:after="0"/>
              <w:jc w:val="left"/>
            </w:pPr>
            <w:r>
              <w:rPr>
                <w:sz w:val="19"/>
                <w:szCs w:val="19"/>
              </w:rPr>
              <w:t xml:space="preserve">IPS du collège</w:t>
            </w:r>
          </w:p>
        </w:tc>
        <w:tc>
          <w:tcPr>
            <w:tcW w:type="dxa" w:w="2000"/>
            <w:tcMar>
              <w:top w:type="dxa" w:w="60"/>
              <w:left w:type="dxa" w:w="100"/>
              <w:bottom w:type="dxa" w:w="60"/>
              <w:right w:type="dxa" w:w="100"/>
            </w:tcMar>
          </w:tcPr>
          <w:p>
            <w:pPr>
              <w:spacing w:after="0"/>
              <w:jc w:val="right"/>
            </w:pPr>
            <w:r>
              <w:rPr>
                <w:sz w:val="19"/>
                <w:szCs w:val="19"/>
              </w:rPr>
              <w:t xml:space="preserve">104,2</w:t>
            </w:r>
          </w:p>
        </w:tc>
        <w:tc>
          <w:tcPr>
            <w:tcW w:type="dxa" w:w="2000"/>
            <w:tcMar>
              <w:top w:type="dxa" w:w="60"/>
              <w:left w:type="dxa" w:w="100"/>
              <w:bottom w:type="dxa" w:w="60"/>
              <w:right w:type="dxa" w:w="100"/>
            </w:tcMar>
          </w:tcPr>
          <w:p>
            <w:pPr>
              <w:spacing w:after="0"/>
              <w:jc w:val="right"/>
            </w:pPr>
            <w:r>
              <w:rPr>
                <w:sz w:val="19"/>
                <w:szCs w:val="19"/>
              </w:rPr>
              <w:t xml:space="preserve">99,9</w:t>
            </w:r>
          </w:p>
        </w:tc>
        <w:tc>
          <w:tcPr>
            <w:tcW w:type="dxa" w:w="2000"/>
            <w:tcMar>
              <w:top w:type="dxa" w:w="60"/>
              <w:left w:type="dxa" w:w="100"/>
              <w:bottom w:type="dxa" w:w="60"/>
              <w:right w:type="dxa" w:w="100"/>
            </w:tcMar>
          </w:tcPr>
          <w:p>
            <w:pPr>
              <w:spacing w:after="0"/>
              <w:jc w:val="right"/>
            </w:pPr>
            <w:r>
              <w:rPr>
                <w:sz w:val="19"/>
                <w:szCs w:val="19"/>
              </w:rPr>
              <w:t xml:space="preserve">+4,3</w:t>
            </w:r>
          </w:p>
        </w:tc>
      </w:tr>
      <w:tr>
        <w:trPr>
          <w:tblHeader w:val="false"/>
        </w:trPr>
        <w:tc>
          <w:tcPr>
            <w:tcW w:type="dxa" w:w="3026"/>
            <w:tcMar>
              <w:top w:type="dxa" w:w="60"/>
              <w:left w:type="dxa" w:w="100"/>
              <w:bottom w:type="dxa" w:w="60"/>
              <w:right w:type="dxa" w:w="100"/>
            </w:tcMar>
          </w:tcPr>
          <w:p>
            <w:pPr>
              <w:spacing w:after="0"/>
              <w:jc w:val="left"/>
            </w:pPr>
            <w:r>
              <w:rPr>
                <w:sz w:val="19"/>
                <w:szCs w:val="19"/>
              </w:rPr>
              <w:t xml:space="preserve">Population médiane</w:t>
            </w:r>
          </w:p>
        </w:tc>
        <w:tc>
          <w:tcPr>
            <w:tcW w:type="dxa" w:w="2000"/>
            <w:tcMar>
              <w:top w:type="dxa" w:w="60"/>
              <w:left w:type="dxa" w:w="100"/>
              <w:bottom w:type="dxa" w:w="60"/>
              <w:right w:type="dxa" w:w="100"/>
            </w:tcMar>
          </w:tcPr>
          <w:p>
            <w:pPr>
              <w:spacing w:after="0"/>
              <w:jc w:val="right"/>
            </w:pPr>
            <w:r>
              <w:rPr>
                <w:sz w:val="19"/>
                <w:szCs w:val="19"/>
              </w:rPr>
              <w:t xml:space="preserve">36 849</w:t>
            </w:r>
          </w:p>
        </w:tc>
        <w:tc>
          <w:tcPr>
            <w:tcW w:type="dxa" w:w="2000"/>
            <w:tcMar>
              <w:top w:type="dxa" w:w="60"/>
              <w:left w:type="dxa" w:w="100"/>
              <w:bottom w:type="dxa" w:w="60"/>
              <w:right w:type="dxa" w:w="100"/>
            </w:tcMar>
          </w:tcPr>
          <w:p>
            <w:pPr>
              <w:spacing w:after="0"/>
              <w:jc w:val="right"/>
            </w:pPr>
            <w:r>
              <w:rPr>
                <w:sz w:val="19"/>
                <w:szCs w:val="19"/>
              </w:rPr>
              <w:t xml:space="preserve">8 727</w:t>
            </w:r>
          </w:p>
        </w:tc>
        <w:tc>
          <w:tcPr>
            <w:tcW w:type="dxa" w:w="2000"/>
            <w:tcMar>
              <w:top w:type="dxa" w:w="60"/>
              <w:left w:type="dxa" w:w="100"/>
              <w:bottom w:type="dxa" w:w="60"/>
              <w:right w:type="dxa" w:w="100"/>
            </w:tcMar>
          </w:tcPr>
          <w:p>
            <w:pPr>
              <w:spacing w:after="0"/>
              <w:jc w:val="right"/>
            </w:pPr>
            <w:r>
              <w:rPr>
                <w:sz w:val="19"/>
                <w:szCs w:val="19"/>
              </w:rPr>
              <w:t xml:space="preserve">x 4,2</w:t>
            </w:r>
          </w:p>
        </w:tc>
      </w:tr>
      <w:tr>
        <w:trPr>
          <w:tblHeader w:val="false"/>
        </w:trPr>
        <w:tc>
          <w:tcPr>
            <w:tcW w:type="dxa" w:w="3026"/>
            <w:tcMar>
              <w:top w:type="dxa" w:w="60"/>
              <w:left w:type="dxa" w:w="100"/>
              <w:bottom w:type="dxa" w:w="60"/>
              <w:right w:type="dxa" w:w="100"/>
            </w:tcMar>
          </w:tcPr>
          <w:p>
            <w:pPr>
              <w:spacing w:after="0"/>
              <w:jc w:val="left"/>
            </w:pPr>
            <w:r>
              <w:rPr>
                <w:sz w:val="19"/>
                <w:szCs w:val="19"/>
              </w:rPr>
              <w:t xml:space="preserve">Revenu médian annuel</w:t>
            </w:r>
          </w:p>
        </w:tc>
        <w:tc>
          <w:tcPr>
            <w:tcW w:type="dxa" w:w="2000"/>
            <w:tcMar>
              <w:top w:type="dxa" w:w="60"/>
              <w:left w:type="dxa" w:w="100"/>
              <w:bottom w:type="dxa" w:w="60"/>
              <w:right w:type="dxa" w:w="100"/>
            </w:tcMar>
          </w:tcPr>
          <w:p>
            <w:pPr>
              <w:spacing w:after="0"/>
              <w:jc w:val="right"/>
            </w:pPr>
            <w:r>
              <w:rPr>
                <w:sz w:val="19"/>
                <w:szCs w:val="19"/>
              </w:rPr>
              <w:t xml:space="preserve">20 270 €</w:t>
            </w:r>
          </w:p>
        </w:tc>
        <w:tc>
          <w:tcPr>
            <w:tcW w:type="dxa" w:w="2000"/>
            <w:tcMar>
              <w:top w:type="dxa" w:w="60"/>
              <w:left w:type="dxa" w:w="100"/>
              <w:bottom w:type="dxa" w:w="60"/>
              <w:right w:type="dxa" w:w="100"/>
            </w:tcMar>
          </w:tcPr>
          <w:p>
            <w:pPr>
              <w:spacing w:after="0"/>
              <w:jc w:val="right"/>
            </w:pPr>
            <w:r>
              <w:rPr>
                <w:sz w:val="19"/>
                <w:szCs w:val="19"/>
              </w:rPr>
              <w:t xml:space="preserve">19 153 €</w:t>
            </w:r>
          </w:p>
        </w:tc>
        <w:tc>
          <w:tcPr>
            <w:tcW w:type="dxa" w:w="2000"/>
            <w:tcMar>
              <w:top w:type="dxa" w:w="60"/>
              <w:left w:type="dxa" w:w="100"/>
              <w:bottom w:type="dxa" w:w="60"/>
              <w:right w:type="dxa" w:w="100"/>
            </w:tcMar>
          </w:tcPr>
          <w:p>
            <w:pPr>
              <w:spacing w:after="0"/>
              <w:jc w:val="right"/>
            </w:pPr>
            <w:r>
              <w:rPr>
                <w:sz w:val="19"/>
                <w:szCs w:val="19"/>
              </w:rPr>
              <w:t xml:space="preserve">+1 117 €</w:t>
            </w:r>
          </w:p>
        </w:tc>
      </w:tr>
    </w:tbl>
    <w:p>
      <w:pPr>
        <w:spacing w:after="180" w:line="276"/>
      </w:pPr>
      <w:r>
        <w:rPr>
          <w:sz w:val="21"/>
          <w:szCs w:val="21"/>
        </w:rPr>
        <w:t xml:space="preserve">Les communes restées à 4,5 jours sont quatre fois plus peuplées et nettement plus favorisées. Le maintien du rythme long traduit d'abord une capacité à financer le périscolaire.</w:t>
      </w:r>
    </w:p>
    <w:p>
      <w:pPr>
        <w:pStyle w:val="Heading1"/>
        <w:spacing w:after="140" w:before="280"/>
      </w:pPr>
      <w:r>
        <w:rPr>
          <w:b/>
          <w:bCs/>
          <w:color w:val="1F4E79"/>
          <w:sz w:val="26"/>
          <w:szCs w:val="26"/>
        </w:rPr>
        <w:t xml:space="preserve">3. Comparaison entre établissements</w:t>
      </w:r>
    </w:p>
    <w:p>
      <w:pPr>
        <w:spacing w:after="120" w:line="276"/>
      </w:pPr>
      <w:r>
        <w:rPr>
          <w:sz w:val="21"/>
          <w:szCs w:val="21"/>
        </w:rPr>
        <w:t xml:space="preserve">Analyse portant sur 5 065 collèges publics, évaluations d'entrée en sixième 2025. Chaque ligne ajoute un niveau de contrôle.</w:t>
      </w:r>
    </w:p>
    <w:tbl>
      <w:tblPr>
        <w:tblW w:type="dxa" w:w="9026"/>
        <w:tblBorders>
          <w:top w:val="single" w:color="BFBFBF" w:sz="4"/>
          <w:left w:val="none"/>
          <w:bottom w:val="single" w:color="BFBFBF" w:sz="4"/>
          <w:right w:val="none"/>
          <w:insideH w:val="single" w:color="D9D9D9" w:sz="2"/>
          <w:insideV w:val="none"/>
        </w:tblBorders>
      </w:tblPr>
      <w:tblGrid>
        <w:gridCol w:w="3626"/>
        <w:gridCol w:w="2700"/>
        <w:gridCol w:w="2700"/>
      </w:tblGrid>
      <w:tr>
        <w:trPr>
          <w:tblHeader/>
        </w:trPr>
        <w:tc>
          <w:tcPr>
            <w:tcW w:type="dxa" w:w="3626"/>
            <w:shd w:fill="F2F4F7" w:color="auto" w:val="clear"/>
            <w:tcMar>
              <w:top w:type="dxa" w:w="60"/>
              <w:left w:type="dxa" w:w="100"/>
              <w:bottom w:type="dxa" w:w="60"/>
              <w:right w:type="dxa" w:w="100"/>
            </w:tcMar>
          </w:tcPr>
          <w:p>
            <w:pPr>
              <w:spacing w:after="0"/>
              <w:jc w:val="left"/>
            </w:pPr>
            <w:r>
              <w:rPr>
                <w:b/>
                <w:bCs/>
                <w:sz w:val="19"/>
                <w:szCs w:val="19"/>
              </w:rPr>
              <w:t xml:space="preserve">Effet estimé de la semaine de 4,5 jours</w:t>
            </w:r>
          </w:p>
        </w:tc>
        <w:tc>
          <w:tcPr>
            <w:tcW w:type="dxa" w:w="2700"/>
            <w:shd w:fill="F2F4F7" w:color="auto" w:val="clear"/>
            <w:tcMar>
              <w:top w:type="dxa" w:w="60"/>
              <w:left w:type="dxa" w:w="100"/>
              <w:bottom w:type="dxa" w:w="60"/>
              <w:right w:type="dxa" w:w="100"/>
            </w:tcMar>
          </w:tcPr>
          <w:p>
            <w:pPr>
              <w:spacing w:after="0"/>
              <w:jc w:val="right"/>
            </w:pPr>
            <w:r>
              <w:rPr>
                <w:b/>
                <w:bCs/>
                <w:sz w:val="19"/>
                <w:szCs w:val="19"/>
              </w:rPr>
              <w:t xml:space="preserve">Français</w:t>
            </w:r>
          </w:p>
        </w:tc>
        <w:tc>
          <w:tcPr>
            <w:tcW w:type="dxa" w:w="2700"/>
            <w:shd w:fill="F2F4F7" w:color="auto" w:val="clear"/>
            <w:tcMar>
              <w:top w:type="dxa" w:w="60"/>
              <w:left w:type="dxa" w:w="100"/>
              <w:bottom w:type="dxa" w:w="60"/>
              <w:right w:type="dxa" w:w="100"/>
            </w:tcMar>
          </w:tcPr>
          <w:p>
            <w:pPr>
              <w:spacing w:after="0"/>
              <w:jc w:val="right"/>
            </w:pPr>
            <w:r>
              <w:rPr>
                <w:b/>
                <w:bCs/>
                <w:sz w:val="19"/>
                <w:szCs w:val="19"/>
              </w:rPr>
              <w:t xml:space="preserve">Mathématiques</w:t>
            </w:r>
          </w:p>
        </w:tc>
      </w:tr>
      <w:tr>
        <w:trPr>
          <w:tblHeader w:val="false"/>
        </w:trPr>
        <w:tc>
          <w:tcPr>
            <w:tcW w:type="dxa" w:w="3626"/>
            <w:tcMar>
              <w:top w:type="dxa" w:w="60"/>
              <w:left w:type="dxa" w:w="100"/>
              <w:bottom w:type="dxa" w:w="60"/>
              <w:right w:type="dxa" w:w="100"/>
            </w:tcMar>
          </w:tcPr>
          <w:p>
            <w:pPr>
              <w:spacing w:after="0"/>
              <w:jc w:val="left"/>
            </w:pPr>
            <w:r>
              <w:rPr>
                <w:sz w:val="19"/>
                <w:szCs w:val="19"/>
              </w:rPr>
              <w:t xml:space="preserve">Écart brut</w:t>
            </w:r>
          </w:p>
        </w:tc>
        <w:tc>
          <w:tcPr>
            <w:tcW w:type="dxa" w:w="2700"/>
            <w:tcMar>
              <w:top w:type="dxa" w:w="60"/>
              <w:left w:type="dxa" w:w="100"/>
              <w:bottom w:type="dxa" w:w="60"/>
              <w:right w:type="dxa" w:w="100"/>
            </w:tcMar>
          </w:tcPr>
          <w:p>
            <w:pPr>
              <w:spacing w:after="0"/>
              <w:jc w:val="right"/>
            </w:pPr>
            <w:r>
              <w:rPr>
                <w:sz w:val="19"/>
                <w:szCs w:val="19"/>
              </w:rPr>
              <w:t xml:space="preserve">+0,167 ET</w:t>
            </w:r>
          </w:p>
        </w:tc>
        <w:tc>
          <w:tcPr>
            <w:tcW w:type="dxa" w:w="2700"/>
            <w:tcMar>
              <w:top w:type="dxa" w:w="60"/>
              <w:left w:type="dxa" w:w="100"/>
              <w:bottom w:type="dxa" w:w="60"/>
              <w:right w:type="dxa" w:w="100"/>
            </w:tcMar>
          </w:tcPr>
          <w:p>
            <w:pPr>
              <w:spacing w:after="0"/>
              <w:jc w:val="right"/>
            </w:pPr>
            <w:r>
              <w:rPr>
                <w:sz w:val="19"/>
                <w:szCs w:val="19"/>
              </w:rPr>
              <w:t xml:space="preserve">+0,106 ET</w:t>
            </w:r>
          </w:p>
        </w:tc>
      </w:tr>
      <w:tr>
        <w:trPr>
          <w:tblHeader w:val="false"/>
        </w:trPr>
        <w:tc>
          <w:tcPr>
            <w:tcW w:type="dxa" w:w="3626"/>
            <w:tcMar>
              <w:top w:type="dxa" w:w="60"/>
              <w:left w:type="dxa" w:w="100"/>
              <w:bottom w:type="dxa" w:w="60"/>
              <w:right w:type="dxa" w:w="100"/>
            </w:tcMar>
          </w:tcPr>
          <w:p>
            <w:pPr>
              <w:spacing w:after="0"/>
              <w:jc w:val="left"/>
            </w:pPr>
            <w:r>
              <w:rPr>
                <w:sz w:val="19"/>
                <w:szCs w:val="19"/>
              </w:rPr>
              <w:t xml:space="preserve">Après IPS du collège</w:t>
            </w:r>
          </w:p>
        </w:tc>
        <w:tc>
          <w:tcPr>
            <w:tcW w:type="dxa" w:w="2700"/>
            <w:tcMar>
              <w:top w:type="dxa" w:w="60"/>
              <w:left w:type="dxa" w:w="100"/>
              <w:bottom w:type="dxa" w:w="60"/>
              <w:right w:type="dxa" w:w="100"/>
            </w:tcMar>
          </w:tcPr>
          <w:p>
            <w:pPr>
              <w:spacing w:after="0"/>
              <w:jc w:val="right"/>
            </w:pPr>
            <w:r>
              <w:rPr>
                <w:sz w:val="19"/>
                <w:szCs w:val="19"/>
              </w:rPr>
              <w:t xml:space="preserve">-0,037</w:t>
            </w:r>
          </w:p>
        </w:tc>
        <w:tc>
          <w:tcPr>
            <w:tcW w:type="dxa" w:w="2700"/>
            <w:tcMar>
              <w:top w:type="dxa" w:w="60"/>
              <w:left w:type="dxa" w:w="100"/>
              <w:bottom w:type="dxa" w:w="60"/>
              <w:right w:type="dxa" w:w="100"/>
            </w:tcMar>
          </w:tcPr>
          <w:p>
            <w:pPr>
              <w:spacing w:after="0"/>
              <w:jc w:val="right"/>
            </w:pPr>
            <w:r>
              <w:rPr>
                <w:sz w:val="19"/>
                <w:szCs w:val="19"/>
              </w:rPr>
              <w:t xml:space="preserve">-0,100</w:t>
            </w:r>
          </w:p>
        </w:tc>
      </w:tr>
      <w:tr>
        <w:trPr>
          <w:tblHeader w:val="false"/>
        </w:trPr>
        <w:tc>
          <w:tcPr>
            <w:tcW w:type="dxa" w:w="3626"/>
            <w:tcMar>
              <w:top w:type="dxa" w:w="60"/>
              <w:left w:type="dxa" w:w="100"/>
              <w:bottom w:type="dxa" w:w="60"/>
              <w:right w:type="dxa" w:w="100"/>
            </w:tcMar>
          </w:tcPr>
          <w:p>
            <w:pPr>
              <w:spacing w:after="0"/>
              <w:jc w:val="left"/>
            </w:pPr>
            <w:r>
              <w:rPr>
                <w:sz w:val="19"/>
                <w:szCs w:val="19"/>
              </w:rPr>
              <w:t xml:space="preserve">Après IPS des écoles primaires</w:t>
            </w:r>
          </w:p>
        </w:tc>
        <w:tc>
          <w:tcPr>
            <w:tcW w:type="dxa" w:w="2700"/>
            <w:tcMar>
              <w:top w:type="dxa" w:w="60"/>
              <w:left w:type="dxa" w:w="100"/>
              <w:bottom w:type="dxa" w:w="60"/>
              <w:right w:type="dxa" w:w="100"/>
            </w:tcMar>
          </w:tcPr>
          <w:p>
            <w:pPr>
              <w:spacing w:after="0"/>
              <w:jc w:val="right"/>
            </w:pPr>
            <w:r>
              <w:rPr>
                <w:sz w:val="19"/>
                <w:szCs w:val="19"/>
              </w:rPr>
              <w:t xml:space="preserve">-0,038</w:t>
            </w:r>
          </w:p>
        </w:tc>
        <w:tc>
          <w:tcPr>
            <w:tcW w:type="dxa" w:w="2700"/>
            <w:tcMar>
              <w:top w:type="dxa" w:w="60"/>
              <w:left w:type="dxa" w:w="100"/>
              <w:bottom w:type="dxa" w:w="60"/>
              <w:right w:type="dxa" w:w="100"/>
            </w:tcMar>
          </w:tcPr>
          <w:p>
            <w:pPr>
              <w:spacing w:after="0"/>
              <w:jc w:val="right"/>
            </w:pPr>
            <w:r>
              <w:rPr>
                <w:sz w:val="19"/>
                <w:szCs w:val="19"/>
              </w:rPr>
              <w:t xml:space="preserve">-0,092</w:t>
            </w:r>
          </w:p>
        </w:tc>
      </w:tr>
      <w:tr>
        <w:trPr>
          <w:tblHeader w:val="false"/>
        </w:trPr>
        <w:tc>
          <w:tcPr>
            <w:tcW w:type="dxa" w:w="3626"/>
            <w:tcMar>
              <w:top w:type="dxa" w:w="60"/>
              <w:left w:type="dxa" w:w="100"/>
              <w:bottom w:type="dxa" w:w="60"/>
              <w:right w:type="dxa" w:w="100"/>
            </w:tcMar>
          </w:tcPr>
          <w:p>
            <w:pPr>
              <w:spacing w:after="0"/>
              <w:jc w:val="left"/>
            </w:pPr>
            <w:r>
              <w:rPr>
                <w:sz w:val="19"/>
                <w:szCs w:val="19"/>
              </w:rPr>
              <w:t xml:space="preserve">Après taille et revenu de la commune</w:t>
            </w:r>
          </w:p>
        </w:tc>
        <w:tc>
          <w:tcPr>
            <w:tcW w:type="dxa" w:w="2700"/>
            <w:tcMar>
              <w:top w:type="dxa" w:w="60"/>
              <w:left w:type="dxa" w:w="100"/>
              <w:bottom w:type="dxa" w:w="60"/>
              <w:right w:type="dxa" w:w="100"/>
            </w:tcMar>
          </w:tcPr>
          <w:p>
            <w:pPr>
              <w:spacing w:after="0"/>
              <w:jc w:val="right"/>
            </w:pPr>
            <w:r>
              <w:rPr>
                <w:sz w:val="19"/>
                <w:szCs w:val="19"/>
              </w:rPr>
              <w:t xml:space="preserve">+0,088</w:t>
            </w:r>
          </w:p>
        </w:tc>
        <w:tc>
          <w:tcPr>
            <w:tcW w:type="dxa" w:w="2700"/>
            <w:tcMar>
              <w:top w:type="dxa" w:w="60"/>
              <w:left w:type="dxa" w:w="100"/>
              <w:bottom w:type="dxa" w:w="60"/>
              <w:right w:type="dxa" w:w="100"/>
            </w:tcMar>
          </w:tcPr>
          <w:p>
            <w:pPr>
              <w:spacing w:after="0"/>
              <w:jc w:val="right"/>
            </w:pPr>
            <w:r>
              <w:rPr>
                <w:sz w:val="19"/>
                <w:szCs w:val="19"/>
              </w:rPr>
              <w:t xml:space="preserve">+0,114</w:t>
            </w:r>
          </w:p>
        </w:tc>
      </w:tr>
      <w:tr>
        <w:trPr>
          <w:tblHeader w:val="false"/>
        </w:trPr>
        <w:tc>
          <w:tcPr>
            <w:tcW w:type="dxa" w:w="3626"/>
            <w:tcMar>
              <w:top w:type="dxa" w:w="60"/>
              <w:left w:type="dxa" w:w="100"/>
              <w:bottom w:type="dxa" w:w="60"/>
              <w:right w:type="dxa" w:w="100"/>
            </w:tcMar>
          </w:tcPr>
          <w:p>
            <w:pPr>
              <w:spacing w:after="0"/>
              <w:jc w:val="left"/>
            </w:pPr>
            <w:r>
              <w:rPr>
                <w:sz w:val="19"/>
                <w:szCs w:val="19"/>
              </w:rPr>
              <w:t xml:space="preserve">À département comparable</w:t>
            </w:r>
          </w:p>
        </w:tc>
        <w:tc>
          <w:tcPr>
            <w:tcW w:type="dxa" w:w="2700"/>
            <w:tcMar>
              <w:top w:type="dxa" w:w="60"/>
              <w:left w:type="dxa" w:w="100"/>
              <w:bottom w:type="dxa" w:w="60"/>
              <w:right w:type="dxa" w:w="100"/>
            </w:tcMar>
          </w:tcPr>
          <w:p>
            <w:pPr>
              <w:spacing w:after="0"/>
              <w:jc w:val="right"/>
            </w:pPr>
            <w:r>
              <w:rPr>
                <w:sz w:val="19"/>
                <w:szCs w:val="19"/>
              </w:rPr>
              <w:t xml:space="preserve">+0,012</w:t>
            </w:r>
          </w:p>
        </w:tc>
        <w:tc>
          <w:tcPr>
            <w:tcW w:type="dxa" w:w="2700"/>
            <w:tcMar>
              <w:top w:type="dxa" w:w="60"/>
              <w:left w:type="dxa" w:w="100"/>
              <w:bottom w:type="dxa" w:w="60"/>
              <w:right w:type="dxa" w:w="100"/>
            </w:tcMar>
          </w:tcPr>
          <w:p>
            <w:pPr>
              <w:spacing w:after="0"/>
              <w:jc w:val="right"/>
            </w:pPr>
            <w:r>
              <w:rPr>
                <w:sz w:val="19"/>
                <w:szCs w:val="19"/>
              </w:rPr>
              <w:t xml:space="preserve">+0,010</w:t>
            </w:r>
          </w:p>
        </w:tc>
      </w:tr>
    </w:tbl>
    <w:p>
      <w:pPr>
        <w:spacing w:after="120" w:line="276"/>
      </w:pPr>
      <w:r>
        <w:rPr>
          <w:sz w:val="21"/>
          <w:szCs w:val="21"/>
        </w:rPr>
        <w:t xml:space="preserve">L'écart brut, de l'ordre d'un tiers d'année scolaire en français, disparaît dès l'introduction de la composition sociale. La dernière ligne, la plus exigeante, compare des communes du même département : l'effet y est nul, entre +0,010 et +0,012 ET, soit environ deux dixièmes de point sur une échelle où l'écart-type vaut 16 points.</w:t>
      </w:r>
    </w:p>
    <w:p>
      <w:pPr>
        <w:spacing w:after="180" w:line="276"/>
      </w:pPr>
      <w:r>
        <w:rPr>
          <w:sz w:val="21"/>
          <w:szCs w:val="21"/>
        </w:rPr>
        <w:t xml:space="preserve">Le résultat est identique sur le sous-échantillon des 2 266 communes ne comptant qu'un seul collège public, où l'appariement entre écoles et collège est le plus fiable (+0,014 ET en français).</w:t>
      </w:r>
    </w:p>
    <w:p>
      <w:pPr>
        <w:pStyle w:val="Heading1"/>
        <w:spacing w:after="140" w:before="280"/>
      </w:pPr>
      <w:r>
        <w:rPr>
          <w:b/>
          <w:bCs/>
          <w:color w:val="1F4E79"/>
          <w:sz w:val="26"/>
          <w:szCs w:val="26"/>
        </w:rPr>
        <w:t xml:space="preserve">4. Suivi des établissements ayant changé de rythme</w:t>
      </w:r>
    </w:p>
    <w:p>
      <w:pPr>
        <w:spacing w:after="120" w:line="276"/>
      </w:pPr>
      <w:r>
        <w:rPr>
          <w:sz w:val="21"/>
          <w:szCs w:val="21"/>
        </w:rPr>
        <w:t xml:space="preserve">Une seconde analyse suit dans le temps les 225 collèges publics dont la commune a abandonné les 4,5 jours, chaque établissement servant de référence à lui-même, face aux communes restées à 4,5 jours.</w:t>
      </w:r>
    </w:p>
    <w:tbl>
      <w:tblPr>
        <w:tblW w:type="dxa" w:w="9026"/>
        <w:tblBorders>
          <w:top w:val="single" w:color="BFBFBF" w:sz="4"/>
          <w:left w:val="none"/>
          <w:bottom w:val="single" w:color="BFBFBF" w:sz="4"/>
          <w:right w:val="none"/>
          <w:insideH w:val="single" w:color="D9D9D9" w:sz="2"/>
          <w:insideV w:val="none"/>
        </w:tblBorders>
      </w:tblPr>
      <w:tblGrid>
        <w:gridCol w:w="3026"/>
        <w:gridCol w:w="3000"/>
        <w:gridCol w:w="3000"/>
      </w:tblGrid>
      <w:tr>
        <w:trPr>
          <w:tblHeader/>
        </w:trPr>
        <w:tc>
          <w:tcPr>
            <w:tcW w:type="dxa" w:w="3026"/>
            <w:shd w:fill="F2F4F7" w:color="auto" w:val="clear"/>
            <w:tcMar>
              <w:top w:type="dxa" w:w="60"/>
              <w:left w:type="dxa" w:w="100"/>
              <w:bottom w:type="dxa" w:w="60"/>
              <w:right w:type="dxa" w:w="100"/>
            </w:tcMar>
          </w:tcPr>
          <w:p>
            <w:pPr>
              <w:spacing w:after="0"/>
              <w:jc w:val="left"/>
            </w:pPr>
            <w:r>
              <w:rPr>
                <w:b/>
                <w:bCs/>
                <w:sz w:val="19"/>
                <w:szCs w:val="19"/>
              </w:rPr>
              <w:t xml:space="preserve">Différence de différences</w:t>
            </w:r>
          </w:p>
        </w:tc>
        <w:tc>
          <w:tcPr>
            <w:tcW w:type="dxa" w:w="3000"/>
            <w:shd w:fill="F2F4F7" w:color="auto" w:val="clear"/>
            <w:tcMar>
              <w:top w:type="dxa" w:w="60"/>
              <w:left w:type="dxa" w:w="100"/>
              <w:bottom w:type="dxa" w:w="60"/>
              <w:right w:type="dxa" w:w="100"/>
            </w:tcMar>
          </w:tcPr>
          <w:p>
            <w:pPr>
              <w:spacing w:after="0"/>
              <w:jc w:val="right"/>
            </w:pPr>
            <w:r>
              <w:rPr>
                <w:b/>
                <w:bCs/>
                <w:sz w:val="19"/>
                <w:szCs w:val="19"/>
              </w:rPr>
              <w:t xml:space="preserve">Effet estimé</w:t>
            </w:r>
          </w:p>
        </w:tc>
        <w:tc>
          <w:tcPr>
            <w:tcW w:type="dxa" w:w="3000"/>
            <w:shd w:fill="F2F4F7" w:color="auto" w:val="clear"/>
            <w:tcMar>
              <w:top w:type="dxa" w:w="60"/>
              <w:left w:type="dxa" w:w="100"/>
              <w:bottom w:type="dxa" w:w="60"/>
              <w:right w:type="dxa" w:w="100"/>
            </w:tcMar>
          </w:tcPr>
          <w:p>
            <w:pPr>
              <w:spacing w:after="0"/>
              <w:jc w:val="right"/>
            </w:pPr>
            <w:r>
              <w:rPr>
                <w:b/>
                <w:bCs/>
                <w:sz w:val="19"/>
                <w:szCs w:val="19"/>
              </w:rPr>
              <w:t xml:space="preserve">Intervalle à 95 %</w:t>
            </w:r>
          </w:p>
        </w:tc>
      </w:tr>
      <w:tr>
        <w:trPr>
          <w:tblHeader w:val="false"/>
        </w:trPr>
        <w:tc>
          <w:tcPr>
            <w:tcW w:type="dxa" w:w="3026"/>
            <w:tcMar>
              <w:top w:type="dxa" w:w="60"/>
              <w:left w:type="dxa" w:w="100"/>
              <w:bottom w:type="dxa" w:w="60"/>
              <w:right w:type="dxa" w:w="100"/>
            </w:tcMar>
          </w:tcPr>
          <w:p>
            <w:pPr>
              <w:spacing w:after="0"/>
              <w:jc w:val="left"/>
            </w:pPr>
            <w:r>
              <w:rPr>
                <w:sz w:val="19"/>
                <w:szCs w:val="19"/>
              </w:rPr>
              <w:t xml:space="preserve">Mathématiques</w:t>
            </w:r>
          </w:p>
        </w:tc>
        <w:tc>
          <w:tcPr>
            <w:tcW w:type="dxa" w:w="3000"/>
            <w:tcMar>
              <w:top w:type="dxa" w:w="60"/>
              <w:left w:type="dxa" w:w="100"/>
              <w:bottom w:type="dxa" w:w="60"/>
              <w:right w:type="dxa" w:w="100"/>
            </w:tcMar>
          </w:tcPr>
          <w:p>
            <w:pPr>
              <w:spacing w:after="0"/>
              <w:jc w:val="right"/>
            </w:pPr>
            <w:r>
              <w:rPr>
                <w:sz w:val="19"/>
                <w:szCs w:val="19"/>
              </w:rPr>
              <w:t xml:space="preserve">-0,018 ET</w:t>
            </w:r>
          </w:p>
        </w:tc>
        <w:tc>
          <w:tcPr>
            <w:tcW w:type="dxa" w:w="3000"/>
            <w:tcMar>
              <w:top w:type="dxa" w:w="60"/>
              <w:left w:type="dxa" w:w="100"/>
              <w:bottom w:type="dxa" w:w="60"/>
              <w:right w:type="dxa" w:w="100"/>
            </w:tcMar>
          </w:tcPr>
          <w:p>
            <w:pPr>
              <w:spacing w:after="0"/>
              <w:jc w:val="right"/>
            </w:pPr>
            <w:r>
              <w:rPr>
                <w:sz w:val="19"/>
                <w:szCs w:val="19"/>
              </w:rPr>
              <w:t xml:space="preserve">-0,091 à +0,055</w:t>
            </w:r>
          </w:p>
        </w:tc>
      </w:tr>
      <w:tr>
        <w:trPr>
          <w:tblHeader w:val="false"/>
        </w:trPr>
        <w:tc>
          <w:tcPr>
            <w:tcW w:type="dxa" w:w="3026"/>
            <w:tcMar>
              <w:top w:type="dxa" w:w="60"/>
              <w:left w:type="dxa" w:w="100"/>
              <w:bottom w:type="dxa" w:w="60"/>
              <w:right w:type="dxa" w:w="100"/>
            </w:tcMar>
          </w:tcPr>
          <w:p>
            <w:pPr>
              <w:spacing w:after="0"/>
              <w:jc w:val="left"/>
            </w:pPr>
            <w:r>
              <w:rPr>
                <w:sz w:val="19"/>
                <w:szCs w:val="19"/>
              </w:rPr>
              <w:t xml:space="preserve">Français</w:t>
            </w:r>
          </w:p>
        </w:tc>
        <w:tc>
          <w:tcPr>
            <w:tcW w:type="dxa" w:w="3000"/>
            <w:tcMar>
              <w:top w:type="dxa" w:w="60"/>
              <w:left w:type="dxa" w:w="100"/>
              <w:bottom w:type="dxa" w:w="60"/>
              <w:right w:type="dxa" w:w="100"/>
            </w:tcMar>
          </w:tcPr>
          <w:p>
            <w:pPr>
              <w:spacing w:after="0"/>
              <w:jc w:val="right"/>
            </w:pPr>
            <w:r>
              <w:rPr>
                <w:sz w:val="19"/>
                <w:szCs w:val="19"/>
              </w:rPr>
              <w:t xml:space="preserve">-0,108 ET</w:t>
            </w:r>
          </w:p>
        </w:tc>
        <w:tc>
          <w:tcPr>
            <w:tcW w:type="dxa" w:w="3000"/>
            <w:tcMar>
              <w:top w:type="dxa" w:w="60"/>
              <w:left w:type="dxa" w:w="100"/>
              <w:bottom w:type="dxa" w:w="60"/>
              <w:right w:type="dxa" w:w="100"/>
            </w:tcMar>
          </w:tcPr>
          <w:p>
            <w:pPr>
              <w:spacing w:after="0"/>
              <w:jc w:val="right"/>
            </w:pPr>
            <w:r>
              <w:rPr>
                <w:sz w:val="19"/>
                <w:szCs w:val="19"/>
              </w:rPr>
              <w:t xml:space="preserve">-0,181 à -0,036</w:t>
            </w:r>
          </w:p>
        </w:tc>
      </w:tr>
    </w:tbl>
    <w:p>
      <w:pPr>
        <w:spacing w:after="120" w:line="276"/>
      </w:pPr>
      <w:r>
        <w:rPr>
          <w:sz w:val="21"/>
          <w:szCs w:val="21"/>
        </w:rPr>
        <w:t xml:space="preserve">Le résultat en français est statistiquement significatif, mais il n'est pas interprétable. </w:t>
      </w:r>
      <w:r>
        <w:rPr>
          <w:b/>
          <w:bCs/>
          <w:sz w:val="21"/>
          <w:szCs w:val="21"/>
        </w:rPr>
        <w:t xml:space="preserve">Le décrochage des communes concernées commence en 2018, soit quatre ans avant tout changement de rythme</w:t>
      </w:r>
      <w:r>
        <w:rPr>
          <w:sz w:val="21"/>
          <w:szCs w:val="21"/>
        </w:rPr>
        <w:t xml:space="preserve">, et le test de tendances parallèles est rejeté (p = 0,024). L'estimation capte une dérive antérieure, non un effet du rythme. En mathématiques, où les tendances antérieures sont parallèles, l'effet est nul.</w:t>
      </w:r>
    </w:p>
    <w:p>
      <w:pPr>
        <w:spacing w:after="180" w:line="276"/>
      </w:pPr>
      <w:r>
        <w:rPr>
          <w:sz w:val="21"/>
          <w:szCs w:val="21"/>
        </w:rPr>
        <w:t xml:space="preserve">Un effet réel devrait par ailleurs s'accentuer année après année, à mesure que les cohortes passent une part croissante de leur scolarité sous le nouveau régime. Les estimations postérieures à la bascule sont au contraire stables : -0,051 en 2023, -0,039 en 2024, -0,049 en 2025.</w:t>
      </w:r>
    </w:p>
    <w:p>
      <w:pPr>
        <w:pStyle w:val="Heading1"/>
        <w:spacing w:after="140" w:before="280"/>
      </w:pPr>
      <w:r>
        <w:rPr>
          <w:b/>
          <w:bCs/>
          <w:color w:val="1F4E79"/>
          <w:sz w:val="26"/>
          <w:szCs w:val="26"/>
        </w:rPr>
        <w:t xml:space="preserve">5. Portée et limites</w:t>
      </w:r>
    </w:p>
    <w:p>
      <w:pPr>
        <w:spacing w:after="120" w:line="276"/>
      </w:pPr>
      <w:r>
        <w:rPr>
          <w:sz w:val="21"/>
          <w:szCs w:val="21"/>
        </w:rPr>
        <w:t xml:space="preserve">Les données excluent tout effet dépassant environ 0,08 ET, soit approximativement 0,15 année scolaire, ou un peu plus d'une annuité de l'objectif décennal du CAE. Ce n'est pas une preuve d'absence : un effet de 0,03 ET resterait indétectable. Quatre limites doivent être portées explicitement.</w:t>
      </w:r>
    </w:p>
    <w:p>
      <w:pPr>
        <w:pStyle w:val="ListParagraph"/>
        <w:numPr>
          <w:ilvl w:val="0"/>
          <w:numId w:val="2"/>
        </w:numPr>
        <w:spacing w:after="90" w:line="276"/>
      </w:pPr>
      <w:r>
        <w:rPr>
          <w:sz w:val="21"/>
          <w:szCs w:val="21"/>
        </w:rPr>
        <w:t xml:space="preserve">La montée en charge n'est pas achevée. En 2025, les élèves concernés n'ont connu la semaine de 4 jours que sur deux à trois années de primaire sur cinq. Un test complet sera possible vers 2027-2028.</w:t>
      </w:r>
    </w:p>
    <w:p>
      <w:pPr>
        <w:pStyle w:val="ListParagraph"/>
        <w:numPr>
          <w:ilvl w:val="0"/>
          <w:numId w:val="2"/>
        </w:numPr>
        <w:spacing w:after="90" w:line="276"/>
      </w:pPr>
      <w:r>
        <w:rPr>
          <w:sz w:val="21"/>
          <w:szCs w:val="21"/>
        </w:rPr>
        <w:t xml:space="preserve">La carte scolaire des collèges ne suit pas les limites communales, ce qui introduit un bruit de mesure. Le sous-échantillon à collège unique atténue cette limite sans la supprimer.</w:t>
      </w:r>
    </w:p>
    <w:p>
      <w:pPr>
        <w:pStyle w:val="ListParagraph"/>
        <w:numPr>
          <w:ilvl w:val="0"/>
          <w:numId w:val="2"/>
        </w:numPr>
        <w:spacing w:after="90" w:line="276"/>
      </w:pPr>
      <w:r>
        <w:rPr>
          <w:sz w:val="21"/>
          <w:szCs w:val="21"/>
        </w:rPr>
        <w:t xml:space="preserve">L'organisation du temps scolaire n'est publiée que pour 2020-2021 et 2025-2026. Le retour massif aux 4 jours de 2017-2018 n'est pas observable.</w:t>
      </w:r>
    </w:p>
    <w:p>
      <w:pPr>
        <w:pStyle w:val="ListParagraph"/>
        <w:numPr>
          <w:ilvl w:val="0"/>
          <w:numId w:val="2"/>
        </w:numPr>
        <w:spacing w:after="90" w:line="276"/>
      </w:pPr>
      <w:r>
        <w:rPr>
          <w:sz w:val="21"/>
          <w:szCs w:val="21"/>
        </w:rPr>
        <w:t xml:space="preserve">Seules les évaluations de sixième sont publiées par établissement. Tous les niveaux du primaire s'arrêtent à la maille départementale, trop grossière : selon que l'on inclut ou non Mayotte, la Guyane et Paris, la corrélation départementale change deux fois de signe.</w:t>
      </w:r>
    </w:p>
    <w:p>
      <w:pPr>
        <w:pStyle w:val="Heading1"/>
        <w:spacing w:after="140" w:before="280"/>
      </w:pPr>
      <w:r>
        <w:rPr>
          <w:b/>
          <w:bCs/>
          <w:color w:val="1F4E79"/>
          <w:sz w:val="26"/>
          <w:szCs w:val="26"/>
        </w:rPr>
        <w:t xml:space="preserve">6. Ce qu'il faut en retenir</w:t>
      </w:r>
    </w:p>
    <w:p>
      <w:pPr>
        <w:spacing w:after="120" w:line="276"/>
      </w:pPr>
      <w:r>
        <w:rPr>
          <w:sz w:val="21"/>
          <w:szCs w:val="21"/>
        </w:rPr>
        <w:t xml:space="preserve">Le rythme scolaire n'apparaît pas comme un levier de niveau, alors qu'il concentre une part importante du débat éducatif local. Ce qu'il distingue, ce sont les capacités financières des communes, non les acquis de leurs élèves.</w:t>
      </w:r>
    </w:p>
    <w:p>
      <w:pPr>
        <w:spacing w:after="120" w:line="276"/>
      </w:pPr>
      <w:r>
        <w:rPr>
          <w:sz w:val="21"/>
          <w:szCs w:val="21"/>
        </w:rPr>
        <w:t xml:space="preserve">Ce constat rejoint le point soulevé par la MiP dans son décryptage de la note du CAE : le périscolaire constitue un angle mort du chiffrage, alors que la déprise démographique va y produire des effets de fermeture et de dégradation de service dont les conséquences dépendront de choix budgétaires et politiques. La semaine de 4 jours en est l'illustration la plus visible.</w:t>
      </w:r>
    </w:p>
    <w:p>
      <w:pPr>
        <w:spacing w:after="200" w:line="276"/>
      </w:pPr>
      <w:r>
        <w:rPr>
          <w:sz w:val="21"/>
          <w:szCs w:val="21"/>
        </w:rPr>
        <w:t xml:space="preserve">Deux prolongements permettraient de trancher définitivement : obtenir de la DEPP les évaluations de CM2 à la maille de l'école, qui supprimerait tout problème d'appariement, et reconduire l'analyse en 2027-2028, lorsqu'une cohorte complète aura effectué toute son élémentaire sous le nouveau régime.</w:t>
      </w:r>
    </w:p>
    <w:p>
      <w:pPr>
        <w:pBdr>
          <w:top w:val="single" w:color="BFBFBF" w:sz="4" w:space="8"/>
        </w:pBdr>
        <w:spacing w:after="100" w:before="200"/>
      </w:pPr>
      <w:r>
        <w:rPr>
          <w:b/>
          <w:bCs/>
          <w:color w:val="1F4E79"/>
          <w:sz w:val="21"/>
          <w:szCs w:val="21"/>
        </w:rPr>
        <w:t xml:space="preserve">Sources</w:t>
      </w:r>
    </w:p>
    <w:p>
      <w:pPr>
        <w:spacing w:after="80" w:line="276"/>
      </w:pPr>
      <w:r>
        <w:rPr>
          <w:sz w:val="19"/>
          <w:szCs w:val="19"/>
        </w:rPr>
        <w:t xml:space="preserve">Données ouvertes du ministère de l'Éducation nationale : </w:t>
      </w:r>
      <w:hyperlink w:history="1" r:id="rIdk5ltad-yudxw6rfolpscz">
        <w:r>
          <w:rPr>
            <w:rStyle w:val="Hyperlink"/>
            <w:sz w:val="19"/>
            <w:szCs w:val="19"/>
          </w:rPr>
          <w:t xml:space="preserve">Organisation du temps scolaire</w:t>
        </w:r>
      </w:hyperlink>
      <w:r>
        <w:rPr>
          <w:sz w:val="19"/>
          <w:szCs w:val="19"/>
        </w:rPr>
        <w:t xml:space="preserve"> · </w:t>
      </w:r>
      <w:hyperlink w:history="1" r:id="rIdkigz3-es4rn6lovfi_xf9">
        <w:r>
          <w:rPr>
            <w:rStyle w:val="Hyperlink"/>
            <w:sz w:val="19"/>
            <w:szCs w:val="19"/>
          </w:rPr>
          <w:t xml:space="preserve">Évaluations nationales de 6e par établissement</w:t>
        </w:r>
      </w:hyperlink>
      <w:r>
        <w:rPr>
          <w:sz w:val="19"/>
          <w:szCs w:val="19"/>
        </w:rPr>
        <w:t xml:space="preserve"> · </w:t>
      </w:r>
      <w:hyperlink w:history="1" r:id="rIdaknceml9t6jhyl2dnzukx">
        <w:r>
          <w:rPr>
            <w:rStyle w:val="Hyperlink"/>
            <w:sz w:val="19"/>
            <w:szCs w:val="19"/>
          </w:rPr>
          <w:t xml:space="preserve">IPS des écoles</w:t>
        </w:r>
      </w:hyperlink>
      <w:r>
        <w:rPr>
          <w:sz w:val="19"/>
          <w:szCs w:val="19"/>
        </w:rPr>
        <w:t xml:space="preserve"> · </w:t>
      </w:r>
      <w:hyperlink w:history="1" r:id="rIdtswldz0d2ggkxga957ll9">
        <w:r>
          <w:rPr>
            <w:rStyle w:val="Hyperlink"/>
            <w:sz w:val="19"/>
            <w:szCs w:val="19"/>
          </w:rPr>
          <w:t xml:space="preserve">IPS des collèges</w:t>
        </w:r>
      </w:hyperlink>
      <w:r>
        <w:rPr>
          <w:sz w:val="19"/>
          <w:szCs w:val="19"/>
        </w:rPr>
        <w:t xml:space="preserve"> · </w:t>
      </w:r>
      <w:hyperlink w:history="1" r:id="rIdetlcoq1an_rtsnfqzbut3">
        <w:r>
          <w:rPr>
            <w:rStyle w:val="Hyperlink"/>
            <w:sz w:val="19"/>
            <w:szCs w:val="19"/>
          </w:rPr>
          <w:t xml:space="preserve">Indicateurs de valeur ajoutée des collèges</w:t>
        </w:r>
      </w:hyperlink>
      <w:r>
        <w:rPr>
          <w:sz w:val="19"/>
          <w:szCs w:val="19"/>
        </w:rPr>
        <w:t xml:space="preserve"> · </w:t>
      </w:r>
      <w:hyperlink w:history="1" r:id="rIdxgkrm1xhurmmm8gkwkkpk">
        <w:r>
          <w:rPr>
            <w:rStyle w:val="Hyperlink"/>
            <w:sz w:val="19"/>
            <w:szCs w:val="19"/>
          </w:rPr>
          <w:t xml:space="preserve">Annuaire de l'éducation</w:t>
        </w:r>
      </w:hyperlink>
      <w:r>
        <w:rPr>
          <w:sz w:val="19"/>
          <w:szCs w:val="19"/>
        </w:rPr>
        <w:t xml:space="preserve">.</w:t>
      </w:r>
    </w:p>
    <w:p>
      <w:pPr>
        <w:spacing w:after="80" w:line="276"/>
      </w:pPr>
      <w:r>
        <w:rPr>
          <w:sz w:val="19"/>
          <w:szCs w:val="19"/>
        </w:rPr>
        <w:t xml:space="preserve">Cadre de référence : </w:t>
      </w:r>
      <w:hyperlink w:history="1" r:id="rId_dewwdzzzlwm9uyo5gy7s">
        <w:r>
          <w:rPr>
            <w:rStyle w:val="Hyperlink"/>
            <w:sz w:val="19"/>
            <w:szCs w:val="19"/>
          </w:rPr>
          <w:t xml:space="preserve">Note du CAE n° 93, septembre 2026, « École : un plan d'action pour rattraper le retard français »</w:t>
        </w:r>
      </w:hyperlink>
      <w:r>
        <w:rPr>
          <w:sz w:val="19"/>
          <w:szCs w:val="19"/>
        </w:rPr>
        <w:t xml:space="preserve">. Équivalence entre écart-type et année scolaire d'après Bloom et al. (2008), valable pour les niveaux CM1 à sixième.</w:t>
      </w:r>
    </w:p>
    <w:p>
      <w:pPr>
        <w:spacing w:after="120" w:line="276"/>
      </w:pPr>
      <w:r>
        <w:rPr>
          <w:i/>
          <w:iCs/>
          <w:sz w:val="19"/>
          <w:szCs w:val="19"/>
        </w:rPr>
        <w:t xml:space="preserve">Traitements : évaluations d'entrée en sixième 2017-2025, scores standardisés par année et par discipline. Erreurs-types clusterisées au niveau communal, le rythme étant décidé à cette maille.</w:t>
      </w:r>
    </w:p>
    <w:sectPr>
      <w:pgSz w:w="11906" w:h="16838" w:orient="portrait"/>
      <w:pgMar w:top="1400" w:right="1440" w:bottom="14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yperlink">
    <w:name w:val="Hyperlink"/>
    <w:rPr>
      <w:color w:val="0563C1"/>
      <w:u w:val="single"/>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k5ltad-yudxw6rfolpscz" Type="http://schemas.openxmlformats.org/officeDocument/2006/relationships/hyperlink" Target="https://data.education.gouv.fr/explore/dataset/fr-en-organisation-du-temps-scolaire/" TargetMode="External"/><Relationship Id="rIdkigz3-es4rn6lovfi_xf9" Type="http://schemas.openxmlformats.org/officeDocument/2006/relationships/hyperlink" Target="https://data.education.gouv.fr/explore/dataset/fr-en-evaluations_nationales_6eme_par_etablissement/" TargetMode="External"/><Relationship Id="rIdaknceml9t6jhyl2dnzukx" Type="http://schemas.openxmlformats.org/officeDocument/2006/relationships/hyperlink" Target="https://data.education.gouv.fr/explore/dataset/fr-en-ips-ecoles-ap2022/" TargetMode="External"/><Relationship Id="rIdtswldz0d2ggkxga957ll9" Type="http://schemas.openxmlformats.org/officeDocument/2006/relationships/hyperlink" Target="https://data.education.gouv.fr/explore/dataset/fr-en-ips-colleges-ap2023/" TargetMode="External"/><Relationship Id="rIdetlcoq1an_rtsnfqzbut3" Type="http://schemas.openxmlformats.org/officeDocument/2006/relationships/hyperlink" Target="https://data.education.gouv.fr/explore/dataset/fr-en-indicateurs-valeur-ajoutee-colleges/" TargetMode="External"/><Relationship Id="rIdxgkrm1xhurmmm8gkwkkpk" Type="http://schemas.openxmlformats.org/officeDocument/2006/relationships/hyperlink" Target="https://data.education.gouv.fr/explore/dataset/fr-en-annuaire-education/" TargetMode="External"/><Relationship Id="rId_dewwdzzzlwm9uyo5gy7s" Type="http://schemas.openxmlformats.org/officeDocument/2006/relationships/hyperlink" Target="https://cae-eco.fr/elever-le-niveau-scolaire-un-plan-daction-pour-rattraper-le-retard" TargetMode="External"/><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Rythmes scolaires et résultats des élèves</dc:title>
  <dc:creator>Outsiders</dc:creator>
  <cp:lastModifiedBy>Un-named</cp:lastModifiedBy>
  <cp:revision>1</cp:revision>
  <dcterms:created xsi:type="dcterms:W3CDTF">2026-09-22T09:55:19.830Z</dcterms:created>
  <dcterms:modified xsi:type="dcterms:W3CDTF">2026-09-22T09:55:19.833Z</dcterms:modified>
</cp:coreProperties>
</file>

<file path=docProps/custom.xml><?xml version="1.0" encoding="utf-8"?>
<Properties xmlns="http://schemas.openxmlformats.org/officeDocument/2006/custom-properties" xmlns:vt="http://schemas.openxmlformats.org/officeDocument/2006/docPropsVTypes"/>
</file>