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color w:val="808080"/>
          <w:sz w:val="20"/>
        </w:rPr>
        <w:t>April 2026 — November 2027</w:t>
      </w:r>
    </w:p>
    <w:p>
      <w:pPr>
        <w:spacing w:after="60"/>
      </w:pPr>
      <w:r>
        <w:rPr>
          <w:b/>
          <w:color w:val="1F3864"/>
          <w:sz w:val="56"/>
        </w:rPr>
        <w:t>Global AI Index</w:t>
      </w:r>
    </w:p>
    <w:p>
      <w:pPr>
        <w:spacing w:after="240"/>
      </w:pPr>
      <w:r>
        <w:rPr>
          <w:b/>
          <w:color w:val="2E75B6"/>
          <w:sz w:val="40"/>
        </w:rPr>
        <w:t>Work Plan</w:t>
      </w:r>
    </w:p>
    <w:p>
      <w:pPr>
        <w:spacing w:after="120"/>
      </w:pPr>
      <w:r>
        <w:rPr>
          <w:sz w:val="24"/>
        </w:rPr>
        <w:t>Measuring global generative AI adoption across six phases, from foundation through launch and post-publication.</w:t>
      </w:r>
    </w:p>
    <w:p>
      <w:pPr>
        <w:spacing w:after="480"/>
      </w:pPr>
      <w:r>
        <w:rPr>
          <w:color w:val="808080"/>
          <w:sz w:val="20"/>
        </w:rPr>
        <w:t>Prepared for Technical Committee Review · April 2026</w:t>
      </w:r>
    </w:p>
    <w:p/>
    <w:p>
      <w:r>
        <w:br w:type="page"/>
      </w:r>
    </w:p>
    <w:p>
      <w:r>
        <w:br w:type="page"/>
      </w:r>
    </w:p>
    <w:p>
      <w:pPr>
        <w:spacing w:after="60"/>
      </w:pPr>
      <w:r>
        <w:rPr>
          <w:b/>
          <w:color w:val="2E75B6"/>
          <w:sz w:val="18"/>
        </w:rPr>
        <w:t>OVERVIEW</w:t>
      </w:r>
    </w:p>
    <w:p>
      <w:pPr>
        <w:pStyle w:val="Heading1"/>
      </w:pPr>
      <w:r>
        <w:t>Measuring Global Generative AI Adoption</w:t>
      </w:r>
    </w:p>
    <w:p>
      <w:pPr>
        <w:spacing w:after="120"/>
      </w:pPr>
      <w:r>
        <w:t>This draft work plan covers the full project lifecycle for the Global AI Index — from governance formation through publication and post-launch monitoring. It is organized across six phases spanning April 2026 to November 2027. It is subject to change as the project progresses.</w:t>
      </w:r>
    </w:p>
    <w:p>
      <w:pPr>
        <w:spacing w:after="120"/>
      </w:pPr>
      <w:r>
        <w:t>Decision points, Roundtable meetings, and launches are called out throughout. Each decision gate requires specified inputs and delivers a go/no-go decision by the designated owner. If consensus fails at a TC-owned decision, the Terms of Reference require escalation to the Roundtable.</w:t>
      </w:r>
    </w:p>
    <w:p>
      <w:pPr>
        <w:pStyle w:val="Heading1"/>
      </w:pPr>
      <w:r>
        <w:t>Project Phases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/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340"/>
            <w:shd w:fill="1F3864"/>
          </w:tcPr>
          <w:p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2340"/>
            <w:shd w:fill="1F3864"/>
          </w:tcPr>
          <w:p>
            <w:r>
              <w:rPr>
                <w:b/>
                <w:color w:val="FFFFFF"/>
                <w:sz w:val="20"/>
              </w:rPr>
              <w:t>Dates</w:t>
            </w:r>
          </w:p>
        </w:tc>
        <w:tc>
          <w:tcPr>
            <w:tcW w:type="dxa" w:w="2340"/>
            <w:shd w:fill="1F386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Foundation April – June 2026 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overnance setup, TC meeting sc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hedule set up, MDLA signings, API Data Framework drafting, Commitment signings by 6/3.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Stakeholder Design Inputs July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 xml:space="preserve"> – September 2026 MDLA roster 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expansion, starter stakeholder consultations for design inputs, API synthetic data encryption test, Metric Harmonization Framework drafting.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Phase 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Design October – December 2026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 xml:space="preserve"> Consumer Chat Framework, glob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al researcher consultation, Metric Harmonization Retreat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Phase 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Prototype January – April 2027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 xml:space="preserve"> Metric Harmonization Framewor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k, US Adaptation Evaluation, Technical Specs, Data Sharing Protocols, Data Encryption and Transfer documentation, closed pilot with real data, Roundtable review at Spring Meetings, first Iteration produced.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Phase 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 xml:space="preserve">Iterate, Review, &amp; Launch May 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– July 2027 Formal company rev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iew window, final legal clearance, pre-publication sign-off, stakeholder consultations, joint launch at 2027 Global AI Summit.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Phase 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 xml:space="preserve">Post-Launch August – November 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2027 Stakeholder feedback, sec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ond-quarter data ingestion, Q3 indicator release, joint think pieces and data stories, Grant Completion Report.</w:t>
            </w:r>
          </w:p>
        </w:tc>
      </w:tr>
    </w:tbl>
    <w:p>
      <w:pPr>
        <w:spacing w:after="120"/>
      </w:pPr>
      <w:r>
        <w:t>Legend Decision Gate Roundtable Meeting Major Launch / Milestone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3864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4680"/>
            <w:shd w:fill="1F386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C1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Publication &amp; Comms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C2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Consumer Chat Global Indicators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C3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Consumer Chat Users and Use Metric Harmonization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C4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US Adaptation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C5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Sector-Specific Indicators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C6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API Global Indicators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C7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API Users and Use Metric Harmonization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C8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Research</w:t>
            </w:r>
          </w:p>
        </w:tc>
      </w:tr>
    </w:tbl>
    <w:p>
      <w:r>
        <w:br w:type="page"/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1F3864"/>
          </w:tcPr>
          <w:p>
            <w:r>
              <w:rPr>
                <w:b/>
                <w:color w:val="001E60"/>
                <w:sz w:val="16"/>
              </w:rPr>
              <w:t>Month</w:t>
            </w:r>
          </w:p>
        </w:tc>
        <w:tc>
          <w:tcPr>
            <w:tcW w:type="dxa" w:w="1800"/>
            <w:shd w:fill="1F3864"/>
          </w:tcPr>
          <w:p>
            <w:r>
              <w:rPr>
                <w:b/>
                <w:color w:val="001E60"/>
                <w:sz w:val="16"/>
              </w:rPr>
              <w:t>Governance &amp; Roundtable</w:t>
            </w:r>
          </w:p>
        </w:tc>
        <w:tc>
          <w:tcPr>
            <w:tcW w:type="dxa" w:w="1800"/>
            <w:shd w:fill="1F3864"/>
          </w:tcPr>
          <w:p>
            <w:r>
              <w:rPr>
                <w:b/>
                <w:color w:val="310459"/>
                <w:sz w:val="16"/>
              </w:rPr>
              <w:t>Legal &amp; MDLA</w:t>
            </w:r>
          </w:p>
        </w:tc>
        <w:tc>
          <w:tcPr>
            <w:tcW w:type="dxa" w:w="1800"/>
            <w:shd w:fill="1F3864"/>
          </w:tcPr>
          <w:p>
            <w:r>
              <w:rPr>
                <w:b/>
                <w:color w:val="1C7A7B"/>
                <w:sz w:val="16"/>
              </w:rPr>
              <w:t>Stakeholder Engagement</w:t>
            </w:r>
          </w:p>
        </w:tc>
        <w:tc>
          <w:tcPr>
            <w:tcW w:type="dxa" w:w="1800"/>
            <w:shd w:fill="1F3864"/>
          </w:tcPr>
          <w:p>
            <w:r>
              <w:rPr>
                <w:b/>
                <w:color w:val="DF6B00"/>
                <w:sz w:val="16"/>
              </w:rPr>
              <w:t>Adoption Indicators(C2, C4, C6)</w:t>
            </w:r>
          </w:p>
        </w:tc>
        <w:tc>
          <w:tcPr>
            <w:tcW w:type="dxa" w:w="1800"/>
            <w:shd w:fill="1F3864"/>
          </w:tcPr>
          <w:p>
            <w:r>
              <w:rPr>
                <w:b/>
                <w:color w:val="1C7A7B"/>
                <w:sz w:val="16"/>
              </w:rPr>
              <w:t>Users and Use Harmonization(C3, C7)</w:t>
            </w:r>
          </w:p>
        </w:tc>
        <w:tc>
          <w:tcPr>
            <w:tcW w:type="dxa" w:w="1800"/>
            <w:shd w:fill="1F3864"/>
          </w:tcPr>
          <w:p>
            <w:r>
              <w:rPr>
                <w:b/>
                <w:color w:val="808080"/>
                <w:sz w:val="16"/>
              </w:rPr>
              <w:t>Research &amp; Supplemental(C5, C8)</w:t>
            </w:r>
          </w:p>
        </w:tc>
        <w:tc>
          <w:tcPr>
            <w:tcW w:type="dxa" w:w="1800"/>
            <w:shd w:fill="1F3864"/>
          </w:tcPr>
          <w:p>
            <w:r>
              <w:rPr>
                <w:b/>
                <w:color w:val="A04A00"/>
                <w:sz w:val="16"/>
              </w:rPr>
              <w:t>Publication &amp; Comms(C1)</w:t>
            </w:r>
          </w:p>
        </w:tc>
      </w:tr>
      <w:tr>
        <w:tc>
          <w:tcPr>
            <w:tcW w:type="dxa" w:w="14400"/>
            <w:gridSpan w:val="8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 1 — FoundationApril – June 2026</w:t>
            </w:r>
          </w:p>
        </w:tc>
      </w:tr>
      <w:tr>
        <w:tc>
          <w:tcPr>
            <w:tcW w:type="dxa" w:w="1800"/>
            <w:shd w:fill="EFF9F9"/>
          </w:tcPr>
          <w:p>
            <w:pPr>
              <w:spacing w:line="240" w:lineRule="auto" w:after="0"/>
            </w:pPr>
            <w:r>
              <w:rPr>
                <w:b/>
                <w:color w:val="001E60"/>
                <w:sz w:val="16"/>
              </w:rPr>
              <w:t>Apr2026</w:t>
            </w:r>
          </w:p>
        </w:tc>
        <w:tc>
          <w:tcPr>
            <w:tcW w:type="dxa" w:w="1800"/>
            <w:shd w:fill="EFF9F9"/>
          </w:tcPr>
          <w:p>
            <w:pPr>
              <w:shd w:fill="2C7A7B"/>
              <w:spacing w:line="240" w:lineRule="auto" w:after="0"/>
            </w:pPr>
            <w:r>
              <w:rPr>
                <w:b/>
                <w:color w:val="FFFFFF"/>
                <w:sz w:val="12"/>
              </w:rPr>
              <w:t>Roundtable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>AI Roundtable (4/16)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Updated Milestone Mapping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 xml:space="preserve">TC: </w:t>
            </w:r>
            <w:r>
              <w:rPr>
                <w:color w:val="414042"/>
                <w:sz w:val="14"/>
              </w:rPr>
              <w:t>Commitments, Work Planning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Commitment commenting period opens (4/27)</w:t>
            </w:r>
          </w:p>
        </w:tc>
        <w:tc>
          <w:tcPr>
            <w:tcW w:type="dxa" w:w="1800"/>
            <w:shd w:fill="EFF9F9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MDLA signed (4/16)</w:t>
            </w:r>
          </w:p>
        </w:tc>
        <w:tc>
          <w:tcPr>
            <w:tcW w:type="dxa" w:w="1800"/>
            <w:shd w:fill="EFF9F9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  <w:tc>
          <w:tcPr>
            <w:tcW w:type="dxa" w:w="1800"/>
            <w:shd w:fill="EFF9F9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  <w:tc>
          <w:tcPr>
            <w:tcW w:type="dxa" w:w="1800"/>
            <w:shd w:fill="EFF9F9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  <w:tc>
          <w:tcPr>
            <w:tcW w:type="dxa" w:w="1800"/>
            <w:shd w:fill="EFF9F9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  <w:tc>
          <w:tcPr>
            <w:tcW w:type="dxa" w:w="1800"/>
            <w:shd w:fill="EFF9F9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001E60"/>
                <w:sz w:val="16"/>
              </w:rPr>
              <w:t>May2026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 xml:space="preserve">TC: </w:t>
            </w:r>
            <w:r>
              <w:rPr>
                <w:color w:val="414042"/>
                <w:sz w:val="14"/>
              </w:rPr>
              <w:t>API Data Framework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MDLA negotiations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Consultant and Researcher Contracting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Stakeholder consultation protocol finalized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API Data Framework (TC drafting)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API Data Framework (TC drafting)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Research partner scoping: Stanford HAI, MS AIEI, MIT FutureTech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</w:tr>
      <w:tr>
        <w:tc>
          <w:tcPr>
            <w:tcW w:type="dxa" w:w="1800"/>
            <w:shd w:fill="FFF6EF"/>
          </w:tcPr>
          <w:p>
            <w:pPr>
              <w:spacing w:line="240" w:lineRule="auto" w:after="0"/>
            </w:pPr>
            <w:r>
              <w:rPr>
                <w:b/>
                <w:color w:val="DF6B00"/>
                <w:sz w:val="16"/>
              </w:rPr>
              <w:t>Jun2026</w:t>
            </w:r>
          </w:p>
        </w:tc>
        <w:tc>
          <w:tcPr>
            <w:tcW w:type="dxa" w:w="1800"/>
            <w:shd w:fill="FFF6EF"/>
          </w:tcPr>
          <w:p>
            <w:pPr>
              <w:shd w:fill="C05621"/>
              <w:spacing w:line="240" w:lineRule="auto" w:after="0"/>
            </w:pPr>
            <w:r>
              <w:rPr>
                <w:b/>
                <w:color w:val="FFFFFF"/>
                <w:sz w:val="12"/>
              </w:rPr>
              <w:t>Decision Point 1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>Commitment signings (6/3 DDP Annual Meetings)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 xml:space="preserve">TC: </w:t>
            </w:r>
            <w:r>
              <w:rPr>
                <w:color w:val="414042"/>
                <w:sz w:val="14"/>
              </w:rPr>
              <w:t>API Data Framework</w:t>
            </w:r>
          </w:p>
        </w:tc>
        <w:tc>
          <w:tcPr>
            <w:tcW w:type="dxa" w:w="1800"/>
            <w:shd w:fill="FFF6EF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>Commitment signings (6/3)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MDLA signings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MDLA Schedules: API</w:t>
            </w:r>
          </w:p>
        </w:tc>
        <w:tc>
          <w:tcPr>
            <w:tcW w:type="dxa" w:w="1800"/>
            <w:shd w:fill="FFF6EF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 xml:space="preserve">US: </w:t>
            </w:r>
            <w:r>
              <w:rPr>
                <w:color w:val="414042"/>
                <w:sz w:val="14"/>
              </w:rPr>
              <w:t>Human Services &amp; Safety Net Consultation Report</w:t>
            </w:r>
          </w:p>
        </w:tc>
        <w:tc>
          <w:tcPr>
            <w:tcW w:type="dxa" w:w="1800"/>
            <w:shd w:fill="FFF6EF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>API Data Framework finalized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Secure data transfer and aggregation protocol design review - API tokens</w:t>
            </w:r>
          </w:p>
        </w:tc>
        <w:tc>
          <w:tcPr>
            <w:tcW w:type="dxa" w:w="1800"/>
            <w:shd w:fill="FFF6EF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>API Data Framework finalized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Secure data transfer and aggregation protocol design review - API metrics - industry, time of day, agentic, etc.</w:t>
            </w:r>
          </w:p>
        </w:tc>
        <w:tc>
          <w:tcPr>
            <w:tcW w:type="dxa" w:w="1800"/>
            <w:shd w:fill="FFF6EF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  <w:tc>
          <w:tcPr>
            <w:tcW w:type="dxa" w:w="1800"/>
            <w:shd w:fill="FFF6EF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Quarterly Progress Report Q2</w:t>
            </w:r>
          </w:p>
        </w:tc>
      </w:tr>
      <w:tr>
        <w:tc>
          <w:tcPr>
            <w:tcW w:type="dxa" w:w="14400"/>
            <w:gridSpan w:val="8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 2 — Stakeholder Design InputsJuly – September 2026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001E60"/>
                <w:sz w:val="16"/>
              </w:rPr>
              <w:t>Jul2026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 xml:space="preserve">TC: </w:t>
            </w:r>
            <w:r>
              <w:rPr>
                <w:color w:val="414042"/>
                <w:sz w:val="14"/>
              </w:rPr>
              <w:t>API Synthetic Data Test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Outstanding MDLA escalation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 xml:space="preserve">US: </w:t>
            </w:r>
            <w:r>
              <w:rPr>
                <w:color w:val="414042"/>
                <w:sz w:val="14"/>
              </w:rPr>
              <w:t>Workforce Training Consultation Report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Global: Agriculture Consultation @ ICAS Report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Synthetic Data Test of data transfer and aggregation protocol - API metrics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Synthetic Data Test of data transfer and aggregation protocol - API metrics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Framework for Labor Exposure Index by Country Income — Needed Inputs for Monitoring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001E60"/>
                <w:sz w:val="16"/>
              </w:rPr>
              <w:t>Aug2026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 xml:space="preserve">TC: </w:t>
            </w:r>
            <w:r>
              <w:rPr>
                <w:color w:val="414042"/>
                <w:sz w:val="14"/>
              </w:rPr>
              <w:t>Metric Harmonization Framework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MDLA status review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Global: Digital Health &amp; EdTech Consultation Report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 xml:space="preserve">US: </w:t>
            </w:r>
            <w:r>
              <w:rPr>
                <w:color w:val="414042"/>
                <w:sz w:val="14"/>
              </w:rPr>
              <w:t>Labor Organization Consultation Report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Users and Use Metric Harmonization Framework (drafting)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Topic taxonomies, sampling, labor/industry classifications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</w:tr>
      <w:tr>
        <w:tc>
          <w:tcPr>
            <w:tcW w:type="dxa" w:w="1800"/>
            <w:shd w:fill="FFF6EF"/>
          </w:tcPr>
          <w:p>
            <w:pPr>
              <w:spacing w:line="240" w:lineRule="auto" w:after="0"/>
            </w:pPr>
            <w:r>
              <w:rPr>
                <w:b/>
                <w:color w:val="DF6B00"/>
                <w:sz w:val="16"/>
              </w:rPr>
              <w:t>Sep2026</w:t>
            </w:r>
          </w:p>
        </w:tc>
        <w:tc>
          <w:tcPr>
            <w:tcW w:type="dxa" w:w="1800"/>
            <w:shd w:fill="FFF6EF"/>
          </w:tcPr>
          <w:p>
            <w:pPr>
              <w:shd w:fill="C05621"/>
              <w:spacing w:line="240" w:lineRule="auto" w:after="0"/>
            </w:pPr>
            <w:r>
              <w:rPr>
                <w:b/>
                <w:color w:val="FFFFFF"/>
                <w:sz w:val="12"/>
              </w:rPr>
              <w:t>Decision Point 2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>MDLA roster adequacy review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 xml:space="preserve">TC: </w:t>
            </w:r>
            <w:r>
              <w:rPr>
                <w:color w:val="414042"/>
                <w:sz w:val="14"/>
              </w:rPr>
              <w:t>Metric Harmonization,</w:t>
            </w:r>
          </w:p>
        </w:tc>
        <w:tc>
          <w:tcPr>
            <w:tcW w:type="dxa" w:w="1800"/>
            <w:shd w:fill="FFF6EF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Confirm minimum viable data contributor roster</w:t>
            </w:r>
          </w:p>
        </w:tc>
        <w:tc>
          <w:tcPr>
            <w:tcW w:type="dxa" w:w="1800"/>
            <w:shd w:fill="FFF6EF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 xml:space="preserve">US: </w:t>
            </w:r>
            <w:r>
              <w:rPr>
                <w:color w:val="414042"/>
                <w:sz w:val="14"/>
              </w:rPr>
              <w:t>K-12 + Post-Secondary Consultation Report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Global: Macro/Fiscal Consultation Report</w:t>
            </w:r>
          </w:p>
        </w:tc>
        <w:tc>
          <w:tcPr>
            <w:tcW w:type="dxa" w:w="1800"/>
            <w:shd w:fill="FFF6EF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</w:p>
        </w:tc>
        <w:tc>
          <w:tcPr>
            <w:tcW w:type="dxa" w:w="1800"/>
            <w:shd w:fill="FFF6EF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Harmonization retreat prep; pre-read distributed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</w:p>
        </w:tc>
        <w:tc>
          <w:tcPr>
            <w:tcW w:type="dxa" w:w="1800"/>
            <w:shd w:fill="FFF6EF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US Stakeholder Engagement Synthesis Report (internal)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Global Stakeholder Engagement Synthesis Report (internal)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3EACAD"/>
                <w:sz w:val="14"/>
              </w:rPr>
              <w:t>Low-Resource Language Index Draft</w:t>
            </w:r>
          </w:p>
        </w:tc>
        <w:tc>
          <w:tcPr>
            <w:tcW w:type="dxa" w:w="1800"/>
            <w:shd w:fill="FFF6EF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Quarterly Progress Report Q3</w:t>
            </w:r>
          </w:p>
        </w:tc>
      </w:tr>
      <w:tr>
        <w:tc>
          <w:tcPr>
            <w:tcW w:type="dxa" w:w="14400"/>
            <w:gridSpan w:val="8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 3 — DesignOctober – December 2026</w:t>
            </w:r>
          </w:p>
        </w:tc>
      </w:tr>
      <w:tr>
        <w:tc>
          <w:tcPr>
            <w:tcW w:type="dxa" w:w="1800"/>
            <w:shd w:fill="EBF3FA"/>
          </w:tcPr>
          <w:p>
            <w:pPr>
              <w:spacing w:line="240" w:lineRule="auto" w:after="0"/>
            </w:pPr>
            <w:r>
              <w:rPr>
                <w:b/>
                <w:color w:val="001E60"/>
                <w:sz w:val="16"/>
              </w:rPr>
              <w:t>Oct2026</w:t>
            </w:r>
          </w:p>
        </w:tc>
        <w:tc>
          <w:tcPr>
            <w:tcW w:type="dxa" w:w="1800"/>
            <w:shd w:fill="EBF3FA"/>
          </w:tcPr>
          <w:p>
            <w:pPr>
              <w:shd w:fill="2C7A7B"/>
              <w:spacing w:line="240" w:lineRule="auto" w:after="0"/>
            </w:pPr>
            <w:r>
              <w:rPr>
                <w:b/>
                <w:color w:val="FFFFFF"/>
                <w:sz w:val="12"/>
              </w:rPr>
              <w:t>Roundtable + Gate 3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>Roundtable check-in (virtual)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>Commitment 5 proceed / modify / stop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>Commitment 8 scope review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Final MDLA escalation: any outstanding contributors</w:t>
            </w:r>
          </w:p>
        </w:tc>
        <w:tc>
          <w:tcPr>
            <w:tcW w:type="dxa" w:w="1800"/>
            <w:shd w:fill="EBF3FA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  <w:tc>
          <w:tcPr>
            <w:tcW w:type="dxa" w:w="1800"/>
            <w:shd w:fill="EBF3FA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Global Researcher Consultation (MS AIEI) &amp; Synthesis Report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>Metric Harmonization Retreat Stakeholder Sessions</w:t>
            </w:r>
          </w:p>
        </w:tc>
        <w:tc>
          <w:tcPr>
            <w:tcW w:type="dxa" w:w="1800"/>
            <w:shd w:fill="EBF3FA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  <w:tc>
          <w:tcPr>
            <w:tcW w:type="dxa" w:w="1800"/>
            <w:shd w:fill="EBF3FA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Sector-Specific Scope Proposals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>Metric Harmonization Retreat Technical Sessions</w:t>
            </w:r>
            <w:r>
              <w:rPr>
                <w:color w:val="414042"/>
                <w:sz w:val="14"/>
              </w:rPr>
              <w:t>(informed by agreed frameworks, completed research, stakeholder synthesis reports, sector-specific scope proposals, and MDB/UN scope discussions)</w:t>
            </w:r>
          </w:p>
        </w:tc>
        <w:tc>
          <w:tcPr>
            <w:tcW w:type="dxa" w:w="1800"/>
            <w:shd w:fill="EBF3FA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  <w:tc>
          <w:tcPr>
            <w:tcW w:type="dxa" w:w="1800"/>
            <w:shd w:fill="EBF3FA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001E60"/>
                <w:sz w:val="16"/>
              </w:rPr>
              <w:t>Nov2026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 xml:space="preserve">TC: </w:t>
            </w:r>
            <w:r>
              <w:rPr>
                <w:color w:val="414042"/>
                <w:sz w:val="14"/>
              </w:rPr>
              <w:t>Consumer Chat; Metric Harmonization Testing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Commence Global Firm Outreach (India, China, France, etc.)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MDLA Consumer Chat Schedules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>Consumer Chat Framework finalized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Secure data transfer and aggregation protocol design review - Consumer Chat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Harmonization Testing Coordination I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AR Monitoring Framework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Consumer Chat and API Normalization and Benchmark Datasets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001E60"/>
                <w:sz w:val="16"/>
              </w:rPr>
              <w:t>Dec2026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 xml:space="preserve">TC: </w:t>
            </w:r>
            <w:r>
              <w:rPr>
                <w:color w:val="414042"/>
                <w:sz w:val="14"/>
              </w:rPr>
              <w:t>Consumer Chat Synthetic Data Test; Consumer Chat Data Aggregation and Transfer Method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Synthetic Data Test of data transfer and aggregation protocol - Consumer Chat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Data Aggregation &amp; Transfer Method Documentation (draft)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Harmonization Testing Coordination II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ASR Monitoring Framework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Quarterly Progress Report Q4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1F3864"/>
          </w:tcPr>
          <w:p>
            <w:r>
              <w:rPr>
                <w:b/>
                <w:color w:val="001E60"/>
                <w:sz w:val="16"/>
              </w:rPr>
              <w:t>Month</w:t>
            </w:r>
          </w:p>
        </w:tc>
        <w:tc>
          <w:tcPr>
            <w:tcW w:type="dxa" w:w="1800"/>
            <w:shd w:fill="1F3864"/>
          </w:tcPr>
          <w:p>
            <w:r>
              <w:rPr>
                <w:b/>
                <w:color w:val="001E60"/>
                <w:sz w:val="16"/>
              </w:rPr>
              <w:t>Governance &amp; Roundtable</w:t>
            </w:r>
          </w:p>
        </w:tc>
        <w:tc>
          <w:tcPr>
            <w:tcW w:type="dxa" w:w="1800"/>
            <w:shd w:fill="1F3864"/>
          </w:tcPr>
          <w:p>
            <w:r>
              <w:rPr>
                <w:b/>
                <w:color w:val="310459"/>
                <w:sz w:val="16"/>
              </w:rPr>
              <w:t>Legal &amp; MDLA</w:t>
            </w:r>
          </w:p>
        </w:tc>
        <w:tc>
          <w:tcPr>
            <w:tcW w:type="dxa" w:w="1800"/>
            <w:shd w:fill="1F3864"/>
          </w:tcPr>
          <w:p>
            <w:r>
              <w:rPr>
                <w:b/>
                <w:color w:val="1C7A7B"/>
                <w:sz w:val="16"/>
              </w:rPr>
              <w:t>Stakeholder Engagement</w:t>
            </w:r>
          </w:p>
        </w:tc>
        <w:tc>
          <w:tcPr>
            <w:tcW w:type="dxa" w:w="1800"/>
            <w:shd w:fill="1F3864"/>
          </w:tcPr>
          <w:p>
            <w:r>
              <w:rPr>
                <w:b/>
                <w:color w:val="DF6B00"/>
                <w:sz w:val="16"/>
              </w:rPr>
              <w:t>Adoption Indicators(C2, C4, C6)</w:t>
            </w:r>
          </w:p>
        </w:tc>
        <w:tc>
          <w:tcPr>
            <w:tcW w:type="dxa" w:w="1800"/>
            <w:shd w:fill="1F3864"/>
          </w:tcPr>
          <w:p>
            <w:r>
              <w:rPr>
                <w:b/>
                <w:color w:val="1C7A7B"/>
                <w:sz w:val="16"/>
              </w:rPr>
              <w:t>Users and Use Harmonization(C3, C7)</w:t>
            </w:r>
          </w:p>
        </w:tc>
        <w:tc>
          <w:tcPr>
            <w:tcW w:type="dxa" w:w="1800"/>
            <w:shd w:fill="1F3864"/>
          </w:tcPr>
          <w:p>
            <w:r>
              <w:rPr>
                <w:b/>
                <w:color w:val="808080"/>
                <w:sz w:val="16"/>
              </w:rPr>
              <w:t>Research &amp; Supplemental(C5, C8)</w:t>
            </w:r>
          </w:p>
        </w:tc>
        <w:tc>
          <w:tcPr>
            <w:tcW w:type="dxa" w:w="1800"/>
            <w:shd w:fill="1F3864"/>
          </w:tcPr>
          <w:p>
            <w:r>
              <w:rPr>
                <w:b/>
                <w:color w:val="A04A00"/>
                <w:sz w:val="16"/>
              </w:rPr>
              <w:t>Publication &amp; Comms(C1)</w:t>
            </w:r>
          </w:p>
        </w:tc>
      </w:tr>
      <w:tr>
        <w:tc>
          <w:tcPr>
            <w:tcW w:type="dxa" w:w="14400"/>
            <w:gridSpan w:val="8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 4 — PrototypeJanuary – April 2027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001E60"/>
                <w:sz w:val="16"/>
              </w:rPr>
              <w:t>Jan2027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 xml:space="preserve">TC: </w:t>
            </w:r>
            <w:r>
              <w:rPr>
                <w:color w:val="414042"/>
                <w:sz w:val="14"/>
              </w:rPr>
              <w:t>Metric Harmonization, Open Source Trends, Index Construction Methodology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MDLA Conversation and API Metric Data Schedules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>Index Construction &amp; Methodology (C2, C6)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Dry-run: first synthetic end-to-end submission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Harmonization Testing Coordination III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>Metric Harmonization Framework finalized (C3, C7)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Open Source Trends Monitoring Framework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Publication Framework (draft)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001E60"/>
                <w:sz w:val="16"/>
              </w:rPr>
              <w:t>Feb2027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 xml:space="preserve">TC: </w:t>
            </w:r>
            <w:r>
              <w:rPr>
                <w:color w:val="414042"/>
                <w:sz w:val="14"/>
              </w:rPr>
              <w:t>US Adaptation, Technical Specs Documentation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MDLA Conversation and API Metric Data Schedules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Additional Global Firm MDLAs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US Stakeholder Consultation on Draft US Adaptation Assessment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>US Adaptation Assessment (C2, C4, C6)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>Technical Specs Documentation (C2, C4, C6)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>Data Aggregation and Transfer Method (C2, C4, C6)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>Data Sharing Protocols finalized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>US Adaptation Assessment (C3, C4, C7)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>Technical Specs Documentation (C3, C7)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>Data Aggregation and Transfer Method (C3, C7)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>Data Sharing Protocols finalized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3EACAD"/>
                <w:sz w:val="14"/>
              </w:rPr>
              <w:t>Stakeholder Synthesis Report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Launch comms strategy kick-off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Publication Framework (draft)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001E60"/>
                <w:sz w:val="16"/>
              </w:rPr>
              <w:t>Mar2027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 xml:space="preserve">TC: </w:t>
            </w:r>
            <w:r>
              <w:rPr>
                <w:color w:val="414042"/>
                <w:sz w:val="14"/>
              </w:rPr>
              <w:t>Prototype, Supplemental Indicators, Sector-Specific Indicator Derivations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Closed pilot with real data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>PROTOTYPE ready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Closed pilot with real data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>PROTOTYPE ready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3EACAD"/>
                <w:sz w:val="14"/>
              </w:rPr>
              <w:t>ASR Model Diffusion &amp; Intensity metrics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3EACAD"/>
                <w:sz w:val="14"/>
              </w:rPr>
              <w:t>Bot Economy API Measurement Research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Combined data and policy interactive dashboard prototype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>Publication Framework finalized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Partner co-promotion coordination begins</w:t>
            </w:r>
          </w:p>
        </w:tc>
      </w:tr>
      <w:tr>
        <w:tc>
          <w:tcPr>
            <w:tcW w:type="dxa" w:w="1800"/>
            <w:shd w:fill="EFF9F9"/>
          </w:tcPr>
          <w:p>
            <w:pPr>
              <w:spacing w:line="240" w:lineRule="auto" w:after="0"/>
            </w:pPr>
            <w:r>
              <w:rPr>
                <w:b/>
                <w:color w:val="001E60"/>
                <w:sz w:val="16"/>
              </w:rPr>
              <w:t>Apr2027</w:t>
            </w:r>
          </w:p>
        </w:tc>
        <w:tc>
          <w:tcPr>
            <w:tcW w:type="dxa" w:w="1800"/>
            <w:shd w:fill="EFF9F9"/>
          </w:tcPr>
          <w:p>
            <w:pPr>
              <w:shd w:fill="2C7A7B"/>
              <w:spacing w:line="240" w:lineRule="auto" w:after="0"/>
            </w:pPr>
            <w:r>
              <w:rPr>
                <w:b/>
                <w:color w:val="FFFFFF"/>
                <w:sz w:val="12"/>
              </w:rPr>
              <w:t>Roundtable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>Roundtable Prototype Review (Spring Meetings)</w:t>
            </w:r>
          </w:p>
        </w:tc>
        <w:tc>
          <w:tcPr>
            <w:tcW w:type="dxa" w:w="1800"/>
            <w:shd w:fill="EFF9F9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  <w:tc>
          <w:tcPr>
            <w:tcW w:type="dxa" w:w="1800"/>
            <w:shd w:fill="EFF9F9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  <w:tc>
          <w:tcPr>
            <w:tcW w:type="dxa" w:w="1800"/>
            <w:shd w:fill="EFF9F9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>FIRST ITERATION</w:t>
            </w:r>
          </w:p>
        </w:tc>
        <w:tc>
          <w:tcPr>
            <w:tcW w:type="dxa" w:w="1800"/>
            <w:shd w:fill="EFF9F9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>FIRST ITERATION</w:t>
            </w:r>
          </w:p>
        </w:tc>
        <w:tc>
          <w:tcPr>
            <w:tcW w:type="dxa" w:w="1800"/>
            <w:shd w:fill="EFF9F9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3EACAD"/>
                <w:sz w:val="14"/>
              </w:rPr>
              <w:t>AR Device Sales &amp; Penetration Metrics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3EACAD"/>
                <w:sz w:val="14"/>
              </w:rPr>
              <w:t>Global AI Skills Supply &amp; Demand Index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3EACAD"/>
                <w:sz w:val="14"/>
              </w:rPr>
              <w:t>Open Source Model Trends</w:t>
            </w:r>
          </w:p>
        </w:tc>
        <w:tc>
          <w:tcPr>
            <w:tcW w:type="dxa" w:w="1800"/>
            <w:shd w:fill="EFF9F9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Launch comms plan finalized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Media &amp; embargo strategy</w:t>
            </w:r>
          </w:p>
        </w:tc>
      </w:tr>
      <w:tr>
        <w:tc>
          <w:tcPr>
            <w:tcW w:type="dxa" w:w="14400"/>
            <w:gridSpan w:val="8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 5 — Iterate, Review, &amp; LaunchMay – July 2027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001E60"/>
                <w:sz w:val="16"/>
              </w:rPr>
              <w:t>May2027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 xml:space="preserve">TC: </w:t>
            </w:r>
            <w:r>
              <w:rPr>
                <w:color w:val="414042"/>
                <w:sz w:val="14"/>
              </w:rPr>
              <w:t>Review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>Formal company review &amp; approval window (all contributors, 4 wks)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Final stakeholder validation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MDB partner pre-publication data review (post-MDLA clearance, confidential)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AfDB, ADB, IDB, EBRD review regional outputs under Development Data Partnership data access rights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Findings inform final revisions prior to Decision Gate 4 sign-off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First Iteration — company redlines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First Iteration — company redlines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First Iteration — company redlines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Speaker prep, press kit, embargo mgmt.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Publication Framework finalized</w:t>
            </w:r>
          </w:p>
        </w:tc>
      </w:tr>
      <w:tr>
        <w:tc>
          <w:tcPr>
            <w:tcW w:type="dxa" w:w="1800"/>
            <w:shd w:fill="FFF6EF"/>
          </w:tcPr>
          <w:p>
            <w:pPr>
              <w:spacing w:line="240" w:lineRule="auto" w:after="0"/>
            </w:pPr>
            <w:r>
              <w:rPr>
                <w:b/>
                <w:color w:val="DF6B00"/>
                <w:sz w:val="16"/>
              </w:rPr>
              <w:t>Jun2027</w:t>
            </w:r>
          </w:p>
        </w:tc>
        <w:tc>
          <w:tcPr>
            <w:tcW w:type="dxa" w:w="1800"/>
            <w:shd w:fill="FFF6EF"/>
          </w:tcPr>
          <w:p>
            <w:pPr>
              <w:shd w:fill="C05621"/>
              <w:spacing w:line="240" w:lineRule="auto" w:after="0"/>
            </w:pPr>
            <w:r>
              <w:rPr>
                <w:b/>
                <w:color w:val="FFFFFF"/>
                <w:sz w:val="12"/>
              </w:rPr>
              <w:t>Decision Point 4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>Pre-publication final sign-off</w:t>
            </w:r>
          </w:p>
        </w:tc>
        <w:tc>
          <w:tcPr>
            <w:tcW w:type="dxa" w:w="1800"/>
            <w:shd w:fill="FFF6EF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Final legal clearance per MDLA review rights</w:t>
            </w:r>
          </w:p>
        </w:tc>
        <w:tc>
          <w:tcPr>
            <w:tcW w:type="dxa" w:w="1800"/>
            <w:shd w:fill="FFF6EF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Pre-Launch US-Stakeholder Convening &amp; Discussion of Post-Launch joint publications</w:t>
            </w:r>
          </w:p>
        </w:tc>
        <w:tc>
          <w:tcPr>
            <w:tcW w:type="dxa" w:w="1800"/>
            <w:shd w:fill="FFF6EF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Revision (buffer for slippage)</w:t>
            </w:r>
          </w:p>
        </w:tc>
        <w:tc>
          <w:tcPr>
            <w:tcW w:type="dxa" w:w="1800"/>
            <w:shd w:fill="FFF6EF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Revision (buffer for slippage)</w:t>
            </w:r>
          </w:p>
        </w:tc>
        <w:tc>
          <w:tcPr>
            <w:tcW w:type="dxa" w:w="1800"/>
            <w:shd w:fill="FFF6EF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  <w:tc>
          <w:tcPr>
            <w:tcW w:type="dxa" w:w="1800"/>
            <w:shd w:fill="FFF6EF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Final comms rehearsal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Summit logistics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001E60"/>
                <w:sz w:val="16"/>
              </w:rPr>
              <w:t>Jul2027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LAUNCH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LAUNCH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LAUNCH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LAUNCH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LAUNCH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LAUNCH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>LAUNCH at 2027 Global AI Summit (Switzerland)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Publication + media rollout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Interactive website and partner links</w:t>
            </w:r>
          </w:p>
        </w:tc>
      </w:tr>
      <w:tr>
        <w:tc>
          <w:tcPr>
            <w:tcW w:type="dxa" w:w="14400"/>
            <w:gridSpan w:val="8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 6 — Post-LaunchAugust – November 2027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001E60"/>
                <w:sz w:val="16"/>
              </w:rPr>
              <w:t>Aug2027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 xml:space="preserve">TC: </w:t>
            </w:r>
            <w:r>
              <w:rPr>
                <w:color w:val="414042"/>
                <w:sz w:val="14"/>
              </w:rPr>
              <w:t>Consumer Chat; Metric Harmonization Testing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Post-launch user feedback collection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Second-quarter data ingestion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Post-launch comms report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001E60"/>
                <w:sz w:val="16"/>
              </w:rPr>
              <w:t>Sep2027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 xml:space="preserve">TC: </w:t>
            </w:r>
            <w:r>
              <w:rPr>
                <w:color w:val="414042"/>
                <w:sz w:val="14"/>
              </w:rPr>
              <w:t>Output Internal Review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Q3 indicator release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3EACAD"/>
                <w:sz w:val="14"/>
              </w:rPr>
              <w:t>Joint Stakeholder short publications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3EACAD"/>
                <w:sz w:val="14"/>
              </w:rPr>
              <w:t>Commissioned data stories and visualizations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414042"/>
                <w:sz w:val="14"/>
              </w:rPr>
              <w:t>Quarterly Progress Report Q3</w:t>
            </w:r>
          </w:p>
        </w:tc>
      </w:tr>
      <w:tr>
        <w:tc>
          <w:tcPr>
            <w:tcW w:type="dxa" w:w="1800"/>
            <w:shd w:fill="EFF9F9"/>
          </w:tcPr>
          <w:p>
            <w:pPr>
              <w:spacing w:line="240" w:lineRule="auto" w:after="0"/>
            </w:pPr>
            <w:r>
              <w:rPr>
                <w:b/>
                <w:color w:val="001E60"/>
                <w:sz w:val="16"/>
              </w:rPr>
              <w:t>Oct2027</w:t>
            </w:r>
          </w:p>
        </w:tc>
        <w:tc>
          <w:tcPr>
            <w:tcW w:type="dxa" w:w="1800"/>
            <w:shd w:fill="EFF9F9"/>
          </w:tcPr>
          <w:p>
            <w:pPr>
              <w:shd w:fill="2C7A7B"/>
              <w:spacing w:line="240" w:lineRule="auto" w:after="0"/>
            </w:pPr>
            <w:r>
              <w:rPr>
                <w:b/>
                <w:color w:val="FFFFFF"/>
                <w:sz w:val="12"/>
              </w:rPr>
              <w:t>Roundtable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>Roundtable Annual Meetings check-in</w:t>
            </w:r>
          </w:p>
        </w:tc>
        <w:tc>
          <w:tcPr>
            <w:tcW w:type="dxa" w:w="1800"/>
            <w:shd w:fill="EFF9F9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  <w:tc>
          <w:tcPr>
            <w:tcW w:type="dxa" w:w="1800"/>
            <w:shd w:fill="EFF9F9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  <w:tc>
          <w:tcPr>
            <w:tcW w:type="dxa" w:w="1800"/>
            <w:shd w:fill="EFF9F9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  <w:tc>
          <w:tcPr>
            <w:tcW w:type="dxa" w:w="1800"/>
            <w:shd w:fill="EFF9F9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  <w:tc>
          <w:tcPr>
            <w:tcW w:type="dxa" w:w="1800"/>
            <w:shd w:fill="EFF9F9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3EACAD"/>
                <w:sz w:val="14"/>
              </w:rPr>
              <w:t>Joint Stakeholder short publications</w:t>
            </w:r>
          </w:p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color w:val="3EACAD"/>
                <w:sz w:val="14"/>
              </w:rPr>
              <w:t>Commissioned data stories and visualizations</w:t>
            </w:r>
          </w:p>
        </w:tc>
        <w:tc>
          <w:tcPr>
            <w:tcW w:type="dxa" w:w="1800"/>
            <w:shd w:fill="EFF9F9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</w:tr>
      <w:tr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001E60"/>
                <w:sz w:val="16"/>
              </w:rPr>
              <w:t>Nov2027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b/>
                <w:color w:val="3EACAD"/>
                <w:sz w:val="14"/>
              </w:rPr>
              <w:t xml:space="preserve">• </w:t>
            </w:r>
            <w:r>
              <w:rPr>
                <w:b/>
                <w:color w:val="001E60"/>
                <w:sz w:val="14"/>
              </w:rPr>
              <w:t>Grant Completion Report</w:t>
            </w:r>
          </w:p>
        </w:tc>
        <w:tc>
          <w:tcPr>
            <w:tcW w:type="dxa" w:w="1800"/>
          </w:tcPr>
          <w:p>
            <w:pPr>
              <w:spacing w:line="240" w:lineRule="auto" w:after="0"/>
            </w:pPr>
            <w:r>
              <w:rPr>
                <w:color w:val="414042"/>
                <w:sz w:val="14"/>
              </w:rPr>
              <w:t>—</w:t>
            </w:r>
          </w:p>
        </w:tc>
      </w:tr>
    </w:tbl>
    <w:p>
      <w:r>
        <w:br w:type="page"/>
      </w:r>
    </w:p>
    <w:p>
      <w:pPr>
        <w:spacing w:after="60"/>
      </w:pPr>
      <w:r>
        <w:rPr>
          <w:b/>
          <w:color w:val="2E75B6"/>
          <w:sz w:val="18"/>
        </w:rPr>
        <w:t>SECTION 3</w:t>
      </w:r>
    </w:p>
    <w:p>
      <w:pPr>
        <w:pStyle w:val="Heading1"/>
      </w:pPr>
      <w:r>
        <w:t>Decision Points</w:t>
      </w:r>
    </w:p>
    <w:p>
      <w:pPr>
        <w:spacing w:after="120"/>
      </w:pPr>
      <w:r>
        <w:t>Four decision points are scheduled before launch. Each point requires the specified inputs and delivers a program-modification decision, as is needed.</w:t>
      </w:r>
    </w:p>
    <w:p>
      <w:pPr>
        <w:spacing w:after="120"/>
      </w:pPr>
      <w:r>
        <w:t>If consensus fails at a TC-owned decision, the Terms of Reference require escalation to the Roundtable.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r>
              <w:rPr>
                <w:b/>
                <w:color w:val="FFFFFF"/>
                <w:sz w:val="20"/>
              </w:rPr>
              <w:t>Point</w:t>
            </w:r>
          </w:p>
        </w:tc>
        <w:tc>
          <w:tcPr>
            <w:tcW w:type="dxa" w:w="2880"/>
            <w:shd w:fill="1F3864"/>
          </w:tcPr>
          <w:p>
            <w:r>
              <w:rPr>
                <w:b/>
                <w:color w:val="FFFFFF"/>
                <w:sz w:val="20"/>
              </w:rPr>
              <w:t>Timing</w:t>
            </w:r>
          </w:p>
        </w:tc>
        <w:tc>
          <w:tcPr>
            <w:tcW w:type="dxa" w:w="2880"/>
            <w:shd w:fill="1F3864"/>
          </w:tcPr>
          <w:p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2880"/>
            <w:shd w:fill="1F3864"/>
          </w:tcPr>
          <w:p>
            <w:r>
              <w:rPr>
                <w:b/>
                <w:color w:val="FFFFFF"/>
                <w:sz w:val="20"/>
              </w:rPr>
              <w:t>Inputs Required</w:t>
            </w:r>
          </w:p>
        </w:tc>
        <w:tc>
          <w:tcPr>
            <w:tcW w:type="dxa" w:w="2880"/>
            <w:shd w:fill="1F3864"/>
          </w:tcPr>
          <w:p>
            <w:r>
              <w:rPr>
                <w:b/>
                <w:color w:val="FFFFFF"/>
                <w:sz w:val="20"/>
              </w:rPr>
              <w:t>Owner / Venue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June 3, 2026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Commitment signings by participating organizations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Finalized commitment text; leadership approvals from each participating org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DDP Annual Meetings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September 2026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MDLA roster adequacy — proceed with Tech Specs on current contributor set, or delay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MDLA status for all participating companies; synthetic data test results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Technical Committee (escalate to Roundtable if no consensus)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October 2026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Commitment 5 (Sector-Specific Policy Indicators) — proceed / modify / stop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TC-prepared final scope &amp; terms; consolidated stakeholder consultation findings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Roundtable (per Commitment 5 text)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June 2027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Pre-publication final sign-off on First Iteration outputs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company reviews complete; legal clearance per MDLA; IGO co-publication approvals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Roundtable (virtual if needed)</w:t>
            </w:r>
          </w:p>
        </w:tc>
      </w:tr>
    </w:tbl>
    <w:p>
      <w:r>
        <w:br w:type="page"/>
      </w:r>
    </w:p>
    <w:p>
      <w:pPr>
        <w:spacing w:after="60"/>
      </w:pPr>
      <w:r>
        <w:rPr>
          <w:b/>
          <w:color w:val="2E75B6"/>
          <w:sz w:val="18"/>
        </w:rPr>
        <w:t>SECTION 4</w:t>
      </w:r>
    </w:p>
    <w:p>
      <w:pPr>
        <w:pStyle w:val="Heading1"/>
      </w:pPr>
      <w:r>
        <w:t>AI Roundtable Touchpoints</w:t>
      </w:r>
    </w:p>
    <w:p>
      <w:pPr>
        <w:spacing w:after="120"/>
      </w:pPr>
      <w:r>
        <w:t>Roundtable oversight is distributed across the project rather than concentrated at start and end. Natural IMF/WBG venues are leveraged where possible to minimize scheduling burden.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fill="1F3864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4800"/>
            <w:shd w:fill="1F3864"/>
          </w:tcPr>
          <w:p>
            <w:r>
              <w:rPr>
                <w:b/>
                <w:color w:val="FFFFFF"/>
                <w:sz w:val="20"/>
              </w:rPr>
              <w:t>Venue</w:t>
            </w:r>
          </w:p>
        </w:tc>
        <w:tc>
          <w:tcPr>
            <w:tcW w:type="dxa" w:w="4800"/>
            <w:shd w:fill="1F3864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800"/>
          </w:tcPr>
          <w:p>
            <w:r>
              <w:rPr>
                <w:sz w:val="20"/>
              </w:rPr>
              <w:t>April 16, 2026</w:t>
            </w:r>
          </w:p>
        </w:tc>
        <w:tc>
          <w:tcPr>
            <w:tcW w:type="dxa" w:w="4800"/>
          </w:tcPr>
          <w:p>
            <w:r>
              <w:rPr>
                <w:sz w:val="20"/>
              </w:rPr>
              <w:t>In-person, IMF / World Bank Group Spring Meetings</w:t>
            </w:r>
          </w:p>
        </w:tc>
        <w:tc>
          <w:tcPr>
            <w:tcW w:type="dxa" w:w="4800"/>
          </w:tcPr>
          <w:p>
            <w:r>
              <w:rPr>
                <w:sz w:val="20"/>
              </w:rPr>
              <w:t>Inaugural Roundtable: review commitments, Technical Committee updates, Anthropic MDLA signing</w:t>
            </w:r>
          </w:p>
        </w:tc>
      </w:tr>
      <w:tr>
        <w:tc>
          <w:tcPr>
            <w:tcW w:type="dxa" w:w="4800"/>
          </w:tcPr>
          <w:p>
            <w:r>
              <w:rPr>
                <w:sz w:val="20"/>
              </w:rPr>
              <w:t>October 2026</w:t>
            </w:r>
          </w:p>
        </w:tc>
        <w:tc>
          <w:tcPr>
            <w:tcW w:type="dxa" w:w="4800"/>
          </w:tcPr>
          <w:p>
            <w:r>
              <w:rPr>
                <w:sz w:val="20"/>
              </w:rPr>
              <w:t>Virtual</w:t>
            </w:r>
          </w:p>
        </w:tc>
        <w:tc>
          <w:tcPr>
            <w:tcW w:type="dxa" w:w="4800"/>
          </w:tcPr>
          <w:p>
            <w:r>
              <w:rPr>
                <w:sz w:val="20"/>
              </w:rPr>
              <w:t>Decision Gate 3: Commitment 5 (Sector-Specific Policy Indicators) proceed / modify / stop. Check-in on MDLA roster, harmonization framework preview; review/approve TC's Commitment 8 (research) scope</w:t>
            </w:r>
          </w:p>
        </w:tc>
      </w:tr>
      <w:tr>
        <w:tc>
          <w:tcPr>
            <w:tcW w:type="dxa" w:w="4800"/>
          </w:tcPr>
          <w:p>
            <w:r>
              <w:rPr>
                <w:sz w:val="20"/>
              </w:rPr>
              <w:t>April 2027</w:t>
            </w:r>
          </w:p>
        </w:tc>
        <w:tc>
          <w:tcPr>
            <w:tcW w:type="dxa" w:w="4800"/>
          </w:tcPr>
          <w:p>
            <w:r>
              <w:rPr>
                <w:sz w:val="20"/>
              </w:rPr>
              <w:t>In-person, IMF / World Bank Group Spring Meetings</w:t>
            </w:r>
          </w:p>
        </w:tc>
        <w:tc>
          <w:tcPr>
            <w:tcW w:type="dxa" w:w="4800"/>
          </w:tcPr>
          <w:p>
            <w:r>
              <w:rPr>
                <w:sz w:val="20"/>
              </w:rPr>
              <w:t>Prototype review; approve First Iteration direction</w:t>
            </w:r>
          </w:p>
        </w:tc>
      </w:tr>
      <w:tr>
        <w:tc>
          <w:tcPr>
            <w:tcW w:type="dxa" w:w="4800"/>
          </w:tcPr>
          <w:p>
            <w:r>
              <w:rPr>
                <w:sz w:val="20"/>
              </w:rPr>
              <w:t>June 2027</w:t>
            </w:r>
          </w:p>
        </w:tc>
        <w:tc>
          <w:tcPr>
            <w:tcW w:type="dxa" w:w="4800"/>
          </w:tcPr>
          <w:p>
            <w:r>
              <w:rPr>
                <w:sz w:val="20"/>
              </w:rPr>
              <w:t>Virtual (as needed)</w:t>
            </w:r>
          </w:p>
        </w:tc>
        <w:tc>
          <w:tcPr>
            <w:tcW w:type="dxa" w:w="4800"/>
          </w:tcPr>
          <w:p>
            <w:r>
              <w:rPr>
                <w:sz w:val="20"/>
              </w:rPr>
              <w:t>Decision Gate 4: Pre-publication final sign-off</w:t>
            </w:r>
          </w:p>
        </w:tc>
      </w:tr>
      <w:tr>
        <w:tc>
          <w:tcPr>
            <w:tcW w:type="dxa" w:w="4800"/>
          </w:tcPr>
          <w:p>
            <w:r>
              <w:rPr>
                <w:sz w:val="20"/>
              </w:rPr>
              <w:t>July 2027</w:t>
            </w:r>
          </w:p>
        </w:tc>
        <w:tc>
          <w:tcPr>
            <w:tcW w:type="dxa" w:w="4800"/>
          </w:tcPr>
          <w:p>
            <w:r>
              <w:rPr>
                <w:sz w:val="20"/>
              </w:rPr>
              <w:t>Global AI Summit, Switzerland</w:t>
            </w:r>
          </w:p>
        </w:tc>
        <w:tc>
          <w:tcPr>
            <w:tcW w:type="dxa" w:w="4800"/>
          </w:tcPr>
          <w:p>
            <w:r>
              <w:rPr>
                <w:sz w:val="20"/>
              </w:rPr>
              <w:t>Joint publication launch</w:t>
            </w:r>
          </w:p>
        </w:tc>
      </w:tr>
      <w:tr>
        <w:tc>
          <w:tcPr>
            <w:tcW w:type="dxa" w:w="4800"/>
          </w:tcPr>
          <w:p>
            <w:r>
              <w:rPr>
                <w:sz w:val="20"/>
              </w:rPr>
              <w:t>October 2027</w:t>
            </w:r>
          </w:p>
        </w:tc>
        <w:tc>
          <w:tcPr>
            <w:tcW w:type="dxa" w:w="4800"/>
          </w:tcPr>
          <w:p>
            <w:r>
              <w:rPr>
                <w:sz w:val="20"/>
              </w:rPr>
              <w:t>IMF / WBG Annual Meetings</w:t>
            </w:r>
          </w:p>
        </w:tc>
        <w:tc>
          <w:tcPr>
            <w:tcW w:type="dxa" w:w="4800"/>
          </w:tcPr>
          <w:p>
            <w:r>
              <w:rPr>
                <w:sz w:val="20"/>
              </w:rPr>
              <w:t>Post-launch review, future roadmap</w:t>
            </w:r>
          </w:p>
        </w:tc>
      </w:tr>
    </w:tbl>
    <w:p>
      <w:r>
        <w:br w:type="page"/>
      </w:r>
    </w:p>
    <w:p>
      <w:pPr>
        <w:spacing w:after="60"/>
      </w:pPr>
      <w:r>
        <w:rPr>
          <w:b/>
          <w:color w:val="2E75B6"/>
          <w:sz w:val="18"/>
        </w:rPr>
        <w:t>SECTION 5</w:t>
      </w:r>
    </w:p>
    <w:p>
      <w:pPr>
        <w:pStyle w:val="Heading1"/>
      </w:pPr>
      <w:r>
        <w:t>Company Review &amp; Approval Windows</w:t>
      </w:r>
    </w:p>
    <w:p>
      <w:pPr>
        <w:spacing w:after="120"/>
      </w:pPr>
      <w:r>
        <w:t>The Participant Principles require each participating company to review and approve any output derived from its data before publication.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shd w:fill="1F3864"/>
          </w:tcPr>
          <w:p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3600"/>
            <w:shd w:fill="1F3864"/>
          </w:tcPr>
          <w:p>
            <w:r>
              <w:rPr>
                <w:b/>
                <w:color w:val="FFFFFF"/>
                <w:sz w:val="20"/>
              </w:rPr>
              <w:t>Review Window</w:t>
            </w:r>
          </w:p>
        </w:tc>
        <w:tc>
          <w:tcPr>
            <w:tcW w:type="dxa" w:w="3600"/>
            <w:shd w:fill="1F3864"/>
          </w:tcPr>
          <w:p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3600"/>
            <w:shd w:fill="1F3864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First Iteration (publication candidate)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May 2027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4 weeks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All participating companies review in parallel; redlines consolidated by DDP Secretariat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Final publication (post-revision)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Jun 2027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2 weeks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Confirmation that redlines are incorporated; Decision Gate 4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