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57D56B" w14:textId="77777777" w:rsidR="0000518F" w:rsidRPr="007B3A56" w:rsidRDefault="00000000">
      <w:pPr>
        <w:spacing w:after="80"/>
        <w:rPr>
          <w:rFonts w:ascii="Aptos" w:hAnsi="Aptos"/>
        </w:rPr>
      </w:pPr>
      <w:r w:rsidRPr="007B3A56">
        <w:rPr>
          <w:rFonts w:ascii="Aptos" w:hAnsi="Aptos"/>
          <w:color w:val="808080"/>
          <w:sz w:val="20"/>
        </w:rPr>
        <w:t>April 2026 — November 2027</w:t>
      </w:r>
    </w:p>
    <w:p w14:paraId="4CA32570" w14:textId="77777777" w:rsidR="0000518F" w:rsidRPr="007B3A56" w:rsidRDefault="00000000">
      <w:pPr>
        <w:spacing w:after="60"/>
        <w:rPr>
          <w:rFonts w:ascii="Aptos" w:hAnsi="Aptos"/>
        </w:rPr>
      </w:pPr>
      <w:r w:rsidRPr="007B3A56">
        <w:rPr>
          <w:rFonts w:ascii="Aptos" w:hAnsi="Aptos"/>
          <w:b/>
          <w:color w:val="1F3864"/>
          <w:sz w:val="56"/>
        </w:rPr>
        <w:t>Global AI Index</w:t>
      </w:r>
    </w:p>
    <w:p w14:paraId="29E0230A" w14:textId="77777777" w:rsidR="0000518F" w:rsidRPr="007B3A56" w:rsidRDefault="00000000">
      <w:pPr>
        <w:spacing w:after="240"/>
        <w:rPr>
          <w:rFonts w:ascii="Aptos" w:hAnsi="Aptos"/>
        </w:rPr>
      </w:pPr>
      <w:r w:rsidRPr="007B3A56">
        <w:rPr>
          <w:rFonts w:ascii="Aptos" w:hAnsi="Aptos"/>
          <w:b/>
          <w:color w:val="2E75B6"/>
          <w:sz w:val="40"/>
        </w:rPr>
        <w:t>Work Plan</w:t>
      </w:r>
    </w:p>
    <w:p w14:paraId="16ACF8F2" w14:textId="77777777" w:rsidR="0000518F" w:rsidRPr="007B3A56" w:rsidRDefault="00000000">
      <w:pPr>
        <w:spacing w:after="120"/>
        <w:rPr>
          <w:rFonts w:ascii="Aptos" w:hAnsi="Aptos"/>
        </w:rPr>
      </w:pPr>
      <w:r w:rsidRPr="007B3A56">
        <w:rPr>
          <w:rFonts w:ascii="Aptos" w:hAnsi="Aptos"/>
          <w:sz w:val="24"/>
        </w:rPr>
        <w:t>Measuring global generative AI adoption across six phases, from foundation through launch and post-publication.</w:t>
      </w:r>
    </w:p>
    <w:p w14:paraId="04D72C3E" w14:textId="77777777" w:rsidR="0000518F" w:rsidRPr="007B3A56" w:rsidRDefault="00000000">
      <w:pPr>
        <w:spacing w:after="480"/>
        <w:rPr>
          <w:rFonts w:ascii="Aptos" w:hAnsi="Aptos"/>
        </w:rPr>
      </w:pPr>
      <w:r w:rsidRPr="007B3A56">
        <w:rPr>
          <w:rFonts w:ascii="Aptos" w:hAnsi="Aptos"/>
          <w:color w:val="808080"/>
          <w:sz w:val="20"/>
        </w:rPr>
        <w:t>Prepared for Technical Committee Review · April 2026</w:t>
      </w:r>
    </w:p>
    <w:p w14:paraId="4DC8EF36" w14:textId="77777777" w:rsidR="0000518F" w:rsidRPr="007B3A56" w:rsidRDefault="0000518F">
      <w:pPr>
        <w:rPr>
          <w:rFonts w:ascii="Aptos" w:hAnsi="Aptos"/>
        </w:rPr>
      </w:pPr>
    </w:p>
    <w:p w14:paraId="308DB64C" w14:textId="77777777" w:rsidR="0000518F" w:rsidRPr="007B3A56" w:rsidRDefault="00000000">
      <w:pPr>
        <w:rPr>
          <w:rFonts w:ascii="Aptos" w:hAnsi="Aptos"/>
        </w:rPr>
      </w:pPr>
      <w:r w:rsidRPr="007B3A56">
        <w:rPr>
          <w:rFonts w:ascii="Aptos" w:hAnsi="Aptos"/>
        </w:rPr>
        <w:br w:type="page"/>
      </w:r>
    </w:p>
    <w:p w14:paraId="4797469E" w14:textId="77777777" w:rsidR="0000518F" w:rsidRPr="007B3A56" w:rsidRDefault="00000000">
      <w:pPr>
        <w:rPr>
          <w:rFonts w:ascii="Aptos" w:hAnsi="Aptos"/>
        </w:rPr>
      </w:pPr>
      <w:r w:rsidRPr="007B3A56">
        <w:rPr>
          <w:rFonts w:ascii="Aptos" w:hAnsi="Aptos"/>
        </w:rPr>
        <w:lastRenderedPageBreak/>
        <w:br w:type="page"/>
      </w:r>
    </w:p>
    <w:p w14:paraId="117D0068" w14:textId="77777777" w:rsidR="0000518F" w:rsidRPr="007B3A56" w:rsidRDefault="00000000">
      <w:pPr>
        <w:spacing w:after="60"/>
        <w:rPr>
          <w:rFonts w:ascii="Aptos" w:hAnsi="Aptos"/>
        </w:rPr>
      </w:pPr>
      <w:r w:rsidRPr="007B3A56">
        <w:rPr>
          <w:rFonts w:ascii="Aptos" w:hAnsi="Aptos"/>
          <w:b/>
          <w:color w:val="2E75B6"/>
          <w:sz w:val="18"/>
        </w:rPr>
        <w:lastRenderedPageBreak/>
        <w:t>OVERVIEW</w:t>
      </w:r>
    </w:p>
    <w:p w14:paraId="03854391" w14:textId="77777777" w:rsidR="0000518F" w:rsidRPr="007B3A56" w:rsidRDefault="00000000">
      <w:pPr>
        <w:pStyle w:val="Heading1"/>
        <w:rPr>
          <w:rFonts w:ascii="Aptos" w:hAnsi="Aptos"/>
        </w:rPr>
      </w:pPr>
      <w:r w:rsidRPr="007B3A56">
        <w:rPr>
          <w:rFonts w:ascii="Aptos" w:hAnsi="Aptos"/>
        </w:rPr>
        <w:t>Measuring Global Generative AI Adoption</w:t>
      </w:r>
    </w:p>
    <w:p w14:paraId="2A7DC47B" w14:textId="77777777" w:rsidR="0000518F" w:rsidRPr="007B3A56" w:rsidRDefault="00000000">
      <w:pPr>
        <w:spacing w:after="120"/>
        <w:rPr>
          <w:rFonts w:ascii="Aptos" w:hAnsi="Aptos"/>
        </w:rPr>
      </w:pPr>
      <w:r w:rsidRPr="007B3A56">
        <w:rPr>
          <w:rFonts w:ascii="Aptos" w:hAnsi="Aptos"/>
        </w:rPr>
        <w:t>This draft work plan covers the full project lifecycle for the Global AI Index — from governance formation through publication and post-launch monitoring. It is organized across six phases spanning April 2026 to November 2027. It is subject to change as the project progresses.</w:t>
      </w:r>
    </w:p>
    <w:p w14:paraId="35E75C01" w14:textId="77777777" w:rsidR="0000518F" w:rsidRPr="007B3A56" w:rsidRDefault="00000000">
      <w:pPr>
        <w:spacing w:after="120"/>
        <w:rPr>
          <w:rFonts w:ascii="Aptos" w:hAnsi="Aptos"/>
        </w:rPr>
      </w:pPr>
      <w:r w:rsidRPr="007B3A56">
        <w:rPr>
          <w:rFonts w:ascii="Aptos" w:hAnsi="Aptos"/>
        </w:rPr>
        <w:t>Decision points, Roundtable meetings, and launches are called out throughout. Each decision gate requires specified inputs and delivers a go/no-go decision by the designated owner. If consensus fails at a TC-owned decision, the Terms of Reference require escalation to the Roundtable.</w:t>
      </w:r>
    </w:p>
    <w:p w14:paraId="07C16A7C" w14:textId="77777777" w:rsidR="0000518F" w:rsidRPr="007B3A56" w:rsidRDefault="00000000">
      <w:pPr>
        <w:pStyle w:val="Heading1"/>
        <w:rPr>
          <w:rFonts w:ascii="Aptos" w:hAnsi="Aptos"/>
        </w:rPr>
      </w:pPr>
      <w:r w:rsidRPr="007B3A56">
        <w:rPr>
          <w:rFonts w:ascii="Aptos" w:hAnsi="Aptos"/>
        </w:rPr>
        <w:t>Project Phases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0518F" w:rsidRPr="007B3A56" w14:paraId="550B4E4C" w14:textId="77777777">
        <w:tc>
          <w:tcPr>
            <w:tcW w:w="2340" w:type="dxa"/>
            <w:shd w:val="clear" w:color="auto" w:fill="1F3864"/>
          </w:tcPr>
          <w:p w14:paraId="221EBB8A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Phase</w:t>
            </w:r>
          </w:p>
        </w:tc>
        <w:tc>
          <w:tcPr>
            <w:tcW w:w="2340" w:type="dxa"/>
            <w:shd w:val="clear" w:color="auto" w:fill="1F3864"/>
          </w:tcPr>
          <w:p w14:paraId="100D6238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Title</w:t>
            </w:r>
          </w:p>
        </w:tc>
        <w:tc>
          <w:tcPr>
            <w:tcW w:w="2340" w:type="dxa"/>
            <w:shd w:val="clear" w:color="auto" w:fill="1F3864"/>
          </w:tcPr>
          <w:p w14:paraId="6C7DC3F3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Dates</w:t>
            </w:r>
          </w:p>
        </w:tc>
        <w:tc>
          <w:tcPr>
            <w:tcW w:w="2340" w:type="dxa"/>
            <w:shd w:val="clear" w:color="auto" w:fill="1F3864"/>
          </w:tcPr>
          <w:p w14:paraId="2FD337AA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Description</w:t>
            </w:r>
          </w:p>
        </w:tc>
      </w:tr>
      <w:tr w:rsidR="0000518F" w:rsidRPr="007B3A56" w14:paraId="09F10907" w14:textId="77777777">
        <w:tc>
          <w:tcPr>
            <w:tcW w:w="2340" w:type="dxa"/>
          </w:tcPr>
          <w:p w14:paraId="2DC795C6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Phase 1</w:t>
            </w:r>
          </w:p>
        </w:tc>
        <w:tc>
          <w:tcPr>
            <w:tcW w:w="2340" w:type="dxa"/>
          </w:tcPr>
          <w:p w14:paraId="5CC99070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Foundation April – June 2026 G</w:t>
            </w:r>
          </w:p>
        </w:tc>
        <w:tc>
          <w:tcPr>
            <w:tcW w:w="2340" w:type="dxa"/>
          </w:tcPr>
          <w:p w14:paraId="3BB70BC7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overnance setup, TC meeting sc</w:t>
            </w:r>
          </w:p>
        </w:tc>
        <w:tc>
          <w:tcPr>
            <w:tcW w:w="2340" w:type="dxa"/>
          </w:tcPr>
          <w:p w14:paraId="784BAB21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hedule set up, MDLA signings, API Data Framework drafting, Commitment signings by 6/3.</w:t>
            </w:r>
          </w:p>
        </w:tc>
      </w:tr>
      <w:tr w:rsidR="0000518F" w:rsidRPr="007B3A56" w14:paraId="50BDC0F5" w14:textId="77777777">
        <w:tc>
          <w:tcPr>
            <w:tcW w:w="2340" w:type="dxa"/>
          </w:tcPr>
          <w:p w14:paraId="7EF404B7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Phase 2</w:t>
            </w:r>
          </w:p>
        </w:tc>
        <w:tc>
          <w:tcPr>
            <w:tcW w:w="2340" w:type="dxa"/>
          </w:tcPr>
          <w:p w14:paraId="7265E301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Stakeholder Design Inputs July</w:t>
            </w:r>
          </w:p>
        </w:tc>
        <w:tc>
          <w:tcPr>
            <w:tcW w:w="2340" w:type="dxa"/>
          </w:tcPr>
          <w:p w14:paraId="49C28763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 xml:space="preserve"> – September 2026 MDLA roster </w:t>
            </w:r>
          </w:p>
        </w:tc>
        <w:tc>
          <w:tcPr>
            <w:tcW w:w="2340" w:type="dxa"/>
          </w:tcPr>
          <w:p w14:paraId="46D0BBB4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expansion, starter stakeholder consultations for design inputs, API synthetic data encryption test, Metric Harmonization Framework drafting.</w:t>
            </w:r>
          </w:p>
        </w:tc>
      </w:tr>
      <w:tr w:rsidR="0000518F" w:rsidRPr="007B3A56" w14:paraId="27FBA838" w14:textId="77777777">
        <w:tc>
          <w:tcPr>
            <w:tcW w:w="2340" w:type="dxa"/>
          </w:tcPr>
          <w:p w14:paraId="1AA0454E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Phase 3</w:t>
            </w:r>
          </w:p>
        </w:tc>
        <w:tc>
          <w:tcPr>
            <w:tcW w:w="2340" w:type="dxa"/>
          </w:tcPr>
          <w:p w14:paraId="118F940F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Design October – December 2026</w:t>
            </w:r>
          </w:p>
        </w:tc>
        <w:tc>
          <w:tcPr>
            <w:tcW w:w="2340" w:type="dxa"/>
          </w:tcPr>
          <w:p w14:paraId="4C2FCB4E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 xml:space="preserve"> Consumer Chat Framework, glob</w:t>
            </w:r>
          </w:p>
        </w:tc>
        <w:tc>
          <w:tcPr>
            <w:tcW w:w="2340" w:type="dxa"/>
          </w:tcPr>
          <w:p w14:paraId="60975097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al researcher consultation, Metric Harmonization Retreat</w:t>
            </w:r>
          </w:p>
        </w:tc>
      </w:tr>
      <w:tr w:rsidR="0000518F" w:rsidRPr="007B3A56" w14:paraId="6DBB76D2" w14:textId="77777777">
        <w:tc>
          <w:tcPr>
            <w:tcW w:w="2340" w:type="dxa"/>
          </w:tcPr>
          <w:p w14:paraId="7C712D61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Phase 4</w:t>
            </w:r>
          </w:p>
        </w:tc>
        <w:tc>
          <w:tcPr>
            <w:tcW w:w="2340" w:type="dxa"/>
          </w:tcPr>
          <w:p w14:paraId="1CE6D58E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Prototype January – April 2027</w:t>
            </w:r>
          </w:p>
        </w:tc>
        <w:tc>
          <w:tcPr>
            <w:tcW w:w="2340" w:type="dxa"/>
          </w:tcPr>
          <w:p w14:paraId="5E9B710A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 xml:space="preserve"> Metric Harmonization Framewor</w:t>
            </w:r>
          </w:p>
        </w:tc>
        <w:tc>
          <w:tcPr>
            <w:tcW w:w="2340" w:type="dxa"/>
          </w:tcPr>
          <w:p w14:paraId="0C4C7F47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k, US Adaptation Evaluation, Technical Specs, Data Sharing Protocols, Data Encryption and Transfer documentation, closed pilot with real data, Roundtable review at Spring Meetings, first Iteration produced.</w:t>
            </w:r>
          </w:p>
        </w:tc>
      </w:tr>
      <w:tr w:rsidR="0000518F" w:rsidRPr="007B3A56" w14:paraId="3F3CCD30" w14:textId="77777777">
        <w:tc>
          <w:tcPr>
            <w:tcW w:w="2340" w:type="dxa"/>
          </w:tcPr>
          <w:p w14:paraId="4BCA40B0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Phase 5</w:t>
            </w:r>
          </w:p>
        </w:tc>
        <w:tc>
          <w:tcPr>
            <w:tcW w:w="2340" w:type="dxa"/>
          </w:tcPr>
          <w:p w14:paraId="29207715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 xml:space="preserve">Iterate, Review, &amp; </w:t>
            </w:r>
            <w:r w:rsidRPr="007B3A56">
              <w:rPr>
                <w:rFonts w:ascii="Aptos" w:hAnsi="Aptos"/>
                <w:sz w:val="20"/>
              </w:rPr>
              <w:lastRenderedPageBreak/>
              <w:t xml:space="preserve">Launch May </w:t>
            </w:r>
          </w:p>
        </w:tc>
        <w:tc>
          <w:tcPr>
            <w:tcW w:w="2340" w:type="dxa"/>
          </w:tcPr>
          <w:p w14:paraId="5D851D9E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lastRenderedPageBreak/>
              <w:t xml:space="preserve">– July 2027 Formal </w:t>
            </w:r>
            <w:r w:rsidRPr="007B3A56">
              <w:rPr>
                <w:rFonts w:ascii="Aptos" w:hAnsi="Aptos"/>
                <w:sz w:val="20"/>
              </w:rPr>
              <w:lastRenderedPageBreak/>
              <w:t>company rev</w:t>
            </w:r>
          </w:p>
        </w:tc>
        <w:tc>
          <w:tcPr>
            <w:tcW w:w="2340" w:type="dxa"/>
          </w:tcPr>
          <w:p w14:paraId="56CE310E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lastRenderedPageBreak/>
              <w:t>iew window, final legal clearance, pre-</w:t>
            </w:r>
            <w:r w:rsidRPr="007B3A56">
              <w:rPr>
                <w:rFonts w:ascii="Aptos" w:hAnsi="Aptos"/>
                <w:sz w:val="20"/>
              </w:rPr>
              <w:lastRenderedPageBreak/>
              <w:t>publication sign-off, stakeholder consultations, joint launch at 2027 Global AI Summit.</w:t>
            </w:r>
          </w:p>
        </w:tc>
      </w:tr>
      <w:tr w:rsidR="0000518F" w:rsidRPr="007B3A56" w14:paraId="3455F1DB" w14:textId="77777777">
        <w:tc>
          <w:tcPr>
            <w:tcW w:w="2340" w:type="dxa"/>
          </w:tcPr>
          <w:p w14:paraId="1A9881E2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lastRenderedPageBreak/>
              <w:t>Phase 6</w:t>
            </w:r>
          </w:p>
        </w:tc>
        <w:tc>
          <w:tcPr>
            <w:tcW w:w="2340" w:type="dxa"/>
          </w:tcPr>
          <w:p w14:paraId="67BB6D9A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 xml:space="preserve">Post-Launch August – November </w:t>
            </w:r>
          </w:p>
        </w:tc>
        <w:tc>
          <w:tcPr>
            <w:tcW w:w="2340" w:type="dxa"/>
          </w:tcPr>
          <w:p w14:paraId="1C68971F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2027 Stakeholder feedback, sec</w:t>
            </w:r>
          </w:p>
        </w:tc>
        <w:tc>
          <w:tcPr>
            <w:tcW w:w="2340" w:type="dxa"/>
          </w:tcPr>
          <w:p w14:paraId="737A427F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ond-quarter data ingestion, Q3 indicator release, joint think pieces and data stories, Grant Completion Report.</w:t>
            </w:r>
          </w:p>
        </w:tc>
      </w:tr>
    </w:tbl>
    <w:p w14:paraId="602C31CD" w14:textId="77777777" w:rsidR="0000518F" w:rsidRPr="007B3A56" w:rsidRDefault="00000000">
      <w:pPr>
        <w:spacing w:after="120"/>
        <w:rPr>
          <w:rFonts w:ascii="Aptos" w:hAnsi="Aptos"/>
        </w:rPr>
      </w:pPr>
      <w:r w:rsidRPr="007B3A56">
        <w:rPr>
          <w:rFonts w:ascii="Aptos" w:hAnsi="Aptos"/>
        </w:rPr>
        <w:t>Legend Decision Gate Roundtable Meeting Major Launch /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0518F" w:rsidRPr="007B3A56" w14:paraId="64F073BF" w14:textId="77777777">
        <w:tc>
          <w:tcPr>
            <w:tcW w:w="4680" w:type="dxa"/>
            <w:shd w:val="clear" w:color="auto" w:fill="1F3864"/>
          </w:tcPr>
          <w:p w14:paraId="1A7F7E1C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Code</w:t>
            </w:r>
          </w:p>
        </w:tc>
        <w:tc>
          <w:tcPr>
            <w:tcW w:w="4680" w:type="dxa"/>
            <w:shd w:val="clear" w:color="auto" w:fill="1F3864"/>
          </w:tcPr>
          <w:p w14:paraId="2815BC95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Description</w:t>
            </w:r>
          </w:p>
        </w:tc>
      </w:tr>
      <w:tr w:rsidR="0000518F" w:rsidRPr="007B3A56" w14:paraId="43D35CC4" w14:textId="77777777">
        <w:tc>
          <w:tcPr>
            <w:tcW w:w="4680" w:type="dxa"/>
          </w:tcPr>
          <w:p w14:paraId="77955B7F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C1</w:t>
            </w:r>
          </w:p>
        </w:tc>
        <w:tc>
          <w:tcPr>
            <w:tcW w:w="4680" w:type="dxa"/>
          </w:tcPr>
          <w:p w14:paraId="37E413AB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Publication &amp; Comms</w:t>
            </w:r>
          </w:p>
        </w:tc>
      </w:tr>
      <w:tr w:rsidR="0000518F" w:rsidRPr="007B3A56" w14:paraId="071EC50E" w14:textId="77777777">
        <w:tc>
          <w:tcPr>
            <w:tcW w:w="4680" w:type="dxa"/>
          </w:tcPr>
          <w:p w14:paraId="1E9A9649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C2</w:t>
            </w:r>
          </w:p>
        </w:tc>
        <w:tc>
          <w:tcPr>
            <w:tcW w:w="4680" w:type="dxa"/>
          </w:tcPr>
          <w:p w14:paraId="2B842226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Consumer Chat Global Indicators</w:t>
            </w:r>
          </w:p>
        </w:tc>
      </w:tr>
      <w:tr w:rsidR="0000518F" w:rsidRPr="007B3A56" w14:paraId="058357A0" w14:textId="77777777">
        <w:tc>
          <w:tcPr>
            <w:tcW w:w="4680" w:type="dxa"/>
          </w:tcPr>
          <w:p w14:paraId="427A54DF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C3</w:t>
            </w:r>
          </w:p>
        </w:tc>
        <w:tc>
          <w:tcPr>
            <w:tcW w:w="4680" w:type="dxa"/>
          </w:tcPr>
          <w:p w14:paraId="6A16BDFC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Consumer Chat Users and Use Metric Harmonization</w:t>
            </w:r>
          </w:p>
        </w:tc>
      </w:tr>
      <w:tr w:rsidR="0000518F" w:rsidRPr="007B3A56" w14:paraId="1EE4022C" w14:textId="77777777">
        <w:tc>
          <w:tcPr>
            <w:tcW w:w="4680" w:type="dxa"/>
          </w:tcPr>
          <w:p w14:paraId="1AC537E5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C4</w:t>
            </w:r>
          </w:p>
        </w:tc>
        <w:tc>
          <w:tcPr>
            <w:tcW w:w="4680" w:type="dxa"/>
          </w:tcPr>
          <w:p w14:paraId="1AFE0A76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US Adaptation</w:t>
            </w:r>
          </w:p>
        </w:tc>
      </w:tr>
      <w:tr w:rsidR="0000518F" w:rsidRPr="007B3A56" w14:paraId="68E8FB70" w14:textId="77777777">
        <w:tc>
          <w:tcPr>
            <w:tcW w:w="4680" w:type="dxa"/>
          </w:tcPr>
          <w:p w14:paraId="2C341964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C5</w:t>
            </w:r>
          </w:p>
        </w:tc>
        <w:tc>
          <w:tcPr>
            <w:tcW w:w="4680" w:type="dxa"/>
          </w:tcPr>
          <w:p w14:paraId="65BEEF23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Sector-Specific Indicators</w:t>
            </w:r>
          </w:p>
        </w:tc>
      </w:tr>
      <w:tr w:rsidR="0000518F" w:rsidRPr="007B3A56" w14:paraId="63FD305C" w14:textId="77777777">
        <w:tc>
          <w:tcPr>
            <w:tcW w:w="4680" w:type="dxa"/>
          </w:tcPr>
          <w:p w14:paraId="4D02DCD7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C6</w:t>
            </w:r>
          </w:p>
        </w:tc>
        <w:tc>
          <w:tcPr>
            <w:tcW w:w="4680" w:type="dxa"/>
          </w:tcPr>
          <w:p w14:paraId="01DF0631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API Global Indicators</w:t>
            </w:r>
          </w:p>
        </w:tc>
      </w:tr>
      <w:tr w:rsidR="0000518F" w:rsidRPr="007B3A56" w14:paraId="235D0229" w14:textId="77777777">
        <w:tc>
          <w:tcPr>
            <w:tcW w:w="4680" w:type="dxa"/>
          </w:tcPr>
          <w:p w14:paraId="033519DC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C7</w:t>
            </w:r>
          </w:p>
        </w:tc>
        <w:tc>
          <w:tcPr>
            <w:tcW w:w="4680" w:type="dxa"/>
          </w:tcPr>
          <w:p w14:paraId="272DCEA3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API Users and Use Metric Harmonization</w:t>
            </w:r>
          </w:p>
        </w:tc>
      </w:tr>
      <w:tr w:rsidR="0000518F" w:rsidRPr="007B3A56" w14:paraId="7EA84083" w14:textId="77777777">
        <w:tc>
          <w:tcPr>
            <w:tcW w:w="4680" w:type="dxa"/>
          </w:tcPr>
          <w:p w14:paraId="42289930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C8</w:t>
            </w:r>
          </w:p>
        </w:tc>
        <w:tc>
          <w:tcPr>
            <w:tcW w:w="4680" w:type="dxa"/>
          </w:tcPr>
          <w:p w14:paraId="2A89AC6B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Research</w:t>
            </w:r>
          </w:p>
        </w:tc>
      </w:tr>
    </w:tbl>
    <w:p w14:paraId="17BFD1E9" w14:textId="77777777" w:rsidR="0000518F" w:rsidRPr="007B3A56" w:rsidRDefault="00000000">
      <w:pPr>
        <w:rPr>
          <w:rFonts w:ascii="Aptos" w:hAnsi="Aptos"/>
        </w:rPr>
      </w:pPr>
      <w:r w:rsidRPr="007B3A56">
        <w:rPr>
          <w:rFonts w:ascii="Aptos" w:hAnsi="Aptos"/>
        </w:rPr>
        <w:br w:type="page"/>
      </w:r>
    </w:p>
    <w:p w14:paraId="34E495E9" w14:textId="77777777" w:rsidR="0000518F" w:rsidRPr="007B3A56" w:rsidRDefault="0000518F">
      <w:pPr>
        <w:rPr>
          <w:rFonts w:ascii="Aptos" w:hAnsi="Aptos"/>
        </w:rPr>
        <w:sectPr w:rsidR="0000518F" w:rsidRPr="007B3A5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 w:rsidR="0000518F" w:rsidRPr="007B3A56" w14:paraId="1888AF59" w14:textId="77777777">
        <w:tc>
          <w:tcPr>
            <w:tcW w:w="1800" w:type="dxa"/>
            <w:shd w:val="clear" w:color="auto" w:fill="1F3864"/>
          </w:tcPr>
          <w:p w14:paraId="4057E350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lastRenderedPageBreak/>
              <w:t>Month</w:t>
            </w:r>
          </w:p>
        </w:tc>
        <w:tc>
          <w:tcPr>
            <w:tcW w:w="1800" w:type="dxa"/>
            <w:shd w:val="clear" w:color="auto" w:fill="1F3864"/>
          </w:tcPr>
          <w:p w14:paraId="06B83B79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Governance &amp; Roundtable</w:t>
            </w:r>
          </w:p>
        </w:tc>
        <w:tc>
          <w:tcPr>
            <w:tcW w:w="1800" w:type="dxa"/>
            <w:shd w:val="clear" w:color="auto" w:fill="1F3864"/>
          </w:tcPr>
          <w:p w14:paraId="64CE4867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10459"/>
                <w:sz w:val="16"/>
              </w:rPr>
              <w:t>Legal &amp; MDLA</w:t>
            </w:r>
          </w:p>
        </w:tc>
        <w:tc>
          <w:tcPr>
            <w:tcW w:w="1800" w:type="dxa"/>
            <w:shd w:val="clear" w:color="auto" w:fill="1F3864"/>
          </w:tcPr>
          <w:p w14:paraId="58BC8124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1C7A7B"/>
                <w:sz w:val="16"/>
              </w:rPr>
              <w:t>Stakeholder Engagement</w:t>
            </w:r>
          </w:p>
        </w:tc>
        <w:tc>
          <w:tcPr>
            <w:tcW w:w="1800" w:type="dxa"/>
            <w:shd w:val="clear" w:color="auto" w:fill="1F3864"/>
          </w:tcPr>
          <w:p w14:paraId="52B3273B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DF6B00"/>
                <w:sz w:val="16"/>
              </w:rPr>
              <w:t>Adoption Indicators(C2, C4, C6)</w:t>
            </w:r>
          </w:p>
        </w:tc>
        <w:tc>
          <w:tcPr>
            <w:tcW w:w="1800" w:type="dxa"/>
            <w:shd w:val="clear" w:color="auto" w:fill="1F3864"/>
          </w:tcPr>
          <w:p w14:paraId="3DF4E484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1C7A7B"/>
                <w:sz w:val="16"/>
              </w:rPr>
              <w:t>Users and Use Harmonization(C3, C7)</w:t>
            </w:r>
          </w:p>
        </w:tc>
        <w:tc>
          <w:tcPr>
            <w:tcW w:w="1800" w:type="dxa"/>
            <w:shd w:val="clear" w:color="auto" w:fill="1F3864"/>
          </w:tcPr>
          <w:p w14:paraId="76EF6CDF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808080"/>
                <w:sz w:val="16"/>
              </w:rPr>
              <w:t>Research &amp; Supplemental(C5, C8)</w:t>
            </w:r>
          </w:p>
        </w:tc>
        <w:tc>
          <w:tcPr>
            <w:tcW w:w="1800" w:type="dxa"/>
            <w:shd w:val="clear" w:color="auto" w:fill="1F3864"/>
          </w:tcPr>
          <w:p w14:paraId="5A30ADCE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A04A00"/>
                <w:sz w:val="16"/>
              </w:rPr>
              <w:t>Publication &amp; Comms(C1)</w:t>
            </w:r>
          </w:p>
        </w:tc>
      </w:tr>
      <w:tr w:rsidR="0000518F" w:rsidRPr="007B3A56" w14:paraId="129A7369" w14:textId="77777777">
        <w:tc>
          <w:tcPr>
            <w:tcW w:w="14400" w:type="dxa"/>
            <w:gridSpan w:val="8"/>
            <w:shd w:val="clear" w:color="auto" w:fill="1F3864"/>
          </w:tcPr>
          <w:p w14:paraId="4EBBB84E" w14:textId="77777777" w:rsidR="0000518F" w:rsidRPr="007B3A56" w:rsidRDefault="00000000">
            <w:pPr>
              <w:jc w:val="center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18"/>
              </w:rPr>
              <w:t>Phase 1 — FoundationApril – June 2026</w:t>
            </w:r>
          </w:p>
        </w:tc>
      </w:tr>
      <w:tr w:rsidR="0000518F" w:rsidRPr="007B3A56" w14:paraId="7F5F8902" w14:textId="77777777">
        <w:tc>
          <w:tcPr>
            <w:tcW w:w="1800" w:type="dxa"/>
            <w:shd w:val="clear" w:color="auto" w:fill="EFF9F9"/>
          </w:tcPr>
          <w:p w14:paraId="4A4A4C4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Apr2026</w:t>
            </w:r>
          </w:p>
        </w:tc>
        <w:tc>
          <w:tcPr>
            <w:tcW w:w="1800" w:type="dxa"/>
            <w:shd w:val="clear" w:color="auto" w:fill="EFF9F9"/>
          </w:tcPr>
          <w:p w14:paraId="1F5CFE10" w14:textId="77777777" w:rsidR="0000518F" w:rsidRPr="007B3A56" w:rsidRDefault="00000000">
            <w:pPr>
              <w:shd w:val="clear" w:color="auto" w:fill="2C7A7B"/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12"/>
              </w:rPr>
              <w:t>Roundtable</w:t>
            </w:r>
          </w:p>
          <w:p w14:paraId="4D8B5D1D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AI Roundtable (4/16)</w:t>
            </w:r>
          </w:p>
          <w:p w14:paraId="76800F4D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Updated Milestone Mapping</w:t>
            </w:r>
          </w:p>
          <w:p w14:paraId="29D8012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TC: </w:t>
            </w:r>
            <w:r w:rsidRPr="007B3A56">
              <w:rPr>
                <w:rFonts w:ascii="Aptos" w:hAnsi="Aptos"/>
                <w:color w:val="414042"/>
                <w:sz w:val="14"/>
              </w:rPr>
              <w:t>Commitments, Work Planning</w:t>
            </w:r>
          </w:p>
          <w:p w14:paraId="5EB0D22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Commitment commenting period opens (4/27)</w:t>
            </w:r>
          </w:p>
        </w:tc>
        <w:tc>
          <w:tcPr>
            <w:tcW w:w="1800" w:type="dxa"/>
            <w:shd w:val="clear" w:color="auto" w:fill="EFF9F9"/>
          </w:tcPr>
          <w:p w14:paraId="407B7A69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MDLA signed (4/16)</w:t>
            </w:r>
          </w:p>
        </w:tc>
        <w:tc>
          <w:tcPr>
            <w:tcW w:w="1800" w:type="dxa"/>
            <w:shd w:val="clear" w:color="auto" w:fill="EFF9F9"/>
          </w:tcPr>
          <w:p w14:paraId="5C13F039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EFF9F9"/>
          </w:tcPr>
          <w:p w14:paraId="03F3B1F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EFF9F9"/>
          </w:tcPr>
          <w:p w14:paraId="37003DB5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EFF9F9"/>
          </w:tcPr>
          <w:p w14:paraId="1F4C19D4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EFF9F9"/>
          </w:tcPr>
          <w:p w14:paraId="4587A20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</w:tr>
      <w:tr w:rsidR="0000518F" w:rsidRPr="007B3A56" w14:paraId="35D92F4B" w14:textId="77777777">
        <w:tc>
          <w:tcPr>
            <w:tcW w:w="1800" w:type="dxa"/>
          </w:tcPr>
          <w:p w14:paraId="0F1800D9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May2026</w:t>
            </w:r>
          </w:p>
        </w:tc>
        <w:tc>
          <w:tcPr>
            <w:tcW w:w="1800" w:type="dxa"/>
          </w:tcPr>
          <w:p w14:paraId="26E546B2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TC: </w:t>
            </w:r>
            <w:r w:rsidRPr="007B3A56">
              <w:rPr>
                <w:rFonts w:ascii="Aptos" w:hAnsi="Aptos"/>
                <w:color w:val="414042"/>
                <w:sz w:val="14"/>
              </w:rPr>
              <w:t>API Data Framework</w:t>
            </w:r>
          </w:p>
        </w:tc>
        <w:tc>
          <w:tcPr>
            <w:tcW w:w="1800" w:type="dxa"/>
          </w:tcPr>
          <w:p w14:paraId="44D5E78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MDLA negotiations</w:t>
            </w:r>
          </w:p>
          <w:p w14:paraId="5D2080E8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Consultant and Researcher Contracting</w:t>
            </w:r>
          </w:p>
        </w:tc>
        <w:tc>
          <w:tcPr>
            <w:tcW w:w="1800" w:type="dxa"/>
          </w:tcPr>
          <w:p w14:paraId="42FE3413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Stakeholder consultation protocol finalized</w:t>
            </w:r>
          </w:p>
        </w:tc>
        <w:tc>
          <w:tcPr>
            <w:tcW w:w="1800" w:type="dxa"/>
          </w:tcPr>
          <w:p w14:paraId="2D20970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API Data Framework (TC drafting)</w:t>
            </w:r>
          </w:p>
        </w:tc>
        <w:tc>
          <w:tcPr>
            <w:tcW w:w="1800" w:type="dxa"/>
          </w:tcPr>
          <w:p w14:paraId="564F482D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API Data Framework (TC drafting)</w:t>
            </w:r>
          </w:p>
        </w:tc>
        <w:tc>
          <w:tcPr>
            <w:tcW w:w="1800" w:type="dxa"/>
          </w:tcPr>
          <w:p w14:paraId="3A90D59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Research partner scoping: Stanford HAI, MS AIEI, MIT FutureTech</w:t>
            </w:r>
          </w:p>
        </w:tc>
        <w:tc>
          <w:tcPr>
            <w:tcW w:w="1800" w:type="dxa"/>
          </w:tcPr>
          <w:p w14:paraId="615FDE1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</w:tr>
      <w:tr w:rsidR="0000518F" w:rsidRPr="007B3A56" w14:paraId="74CFB50E" w14:textId="77777777">
        <w:tc>
          <w:tcPr>
            <w:tcW w:w="1800" w:type="dxa"/>
            <w:shd w:val="clear" w:color="auto" w:fill="FFF6EF"/>
          </w:tcPr>
          <w:p w14:paraId="67F81687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DF6B00"/>
                <w:sz w:val="16"/>
              </w:rPr>
              <w:t>Jun2026</w:t>
            </w:r>
          </w:p>
        </w:tc>
        <w:tc>
          <w:tcPr>
            <w:tcW w:w="1800" w:type="dxa"/>
            <w:shd w:val="clear" w:color="auto" w:fill="FFF6EF"/>
          </w:tcPr>
          <w:p w14:paraId="3385216B" w14:textId="77777777" w:rsidR="0000518F" w:rsidRPr="007B3A56" w:rsidRDefault="00000000">
            <w:pPr>
              <w:shd w:val="clear" w:color="auto" w:fill="C05621"/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12"/>
              </w:rPr>
              <w:t>Decision Point 1</w:t>
            </w:r>
          </w:p>
          <w:p w14:paraId="155FE0B0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Commitment signings (6/3 DDP Annual Meetings)</w:t>
            </w:r>
          </w:p>
          <w:p w14:paraId="1A3B791C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TC: </w:t>
            </w:r>
            <w:r w:rsidRPr="007B3A56">
              <w:rPr>
                <w:rFonts w:ascii="Aptos" w:hAnsi="Aptos"/>
                <w:color w:val="414042"/>
                <w:sz w:val="14"/>
              </w:rPr>
              <w:t>API Data Framework</w:t>
            </w:r>
          </w:p>
        </w:tc>
        <w:tc>
          <w:tcPr>
            <w:tcW w:w="1800" w:type="dxa"/>
            <w:shd w:val="clear" w:color="auto" w:fill="FFF6EF"/>
          </w:tcPr>
          <w:p w14:paraId="76A1F159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Commitment signings (6/3)</w:t>
            </w:r>
          </w:p>
          <w:p w14:paraId="3DB4DCC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MDLA signings</w:t>
            </w:r>
          </w:p>
          <w:p w14:paraId="5E871C27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MDLA Schedules: API</w:t>
            </w:r>
          </w:p>
        </w:tc>
        <w:tc>
          <w:tcPr>
            <w:tcW w:w="1800" w:type="dxa"/>
            <w:shd w:val="clear" w:color="auto" w:fill="FFF6EF"/>
          </w:tcPr>
          <w:p w14:paraId="004FFE28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US: </w:t>
            </w:r>
            <w:r w:rsidRPr="007B3A56">
              <w:rPr>
                <w:rFonts w:ascii="Aptos" w:hAnsi="Aptos"/>
                <w:color w:val="414042"/>
                <w:sz w:val="14"/>
              </w:rPr>
              <w:t>Human Services &amp; Safety Net Consultation Report</w:t>
            </w:r>
          </w:p>
        </w:tc>
        <w:tc>
          <w:tcPr>
            <w:tcW w:w="1800" w:type="dxa"/>
            <w:shd w:val="clear" w:color="auto" w:fill="FFF6EF"/>
          </w:tcPr>
          <w:p w14:paraId="17D5ECEC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API Data Framework finalized</w:t>
            </w:r>
          </w:p>
          <w:p w14:paraId="04EEC98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Secure data transfer and aggregation protocol design review - API tokens</w:t>
            </w:r>
          </w:p>
        </w:tc>
        <w:tc>
          <w:tcPr>
            <w:tcW w:w="1800" w:type="dxa"/>
            <w:shd w:val="clear" w:color="auto" w:fill="FFF6EF"/>
          </w:tcPr>
          <w:p w14:paraId="57B696F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API Data Framework finalized</w:t>
            </w:r>
          </w:p>
          <w:p w14:paraId="12CB74D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Secure data transfer and aggregation protocol design review - API metrics - industry, time of day, agentic, etc.</w:t>
            </w:r>
          </w:p>
        </w:tc>
        <w:tc>
          <w:tcPr>
            <w:tcW w:w="1800" w:type="dxa"/>
            <w:shd w:val="clear" w:color="auto" w:fill="FFF6EF"/>
          </w:tcPr>
          <w:p w14:paraId="224DE44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FFF6EF"/>
          </w:tcPr>
          <w:p w14:paraId="213B238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Quarterly Progress Report Q2</w:t>
            </w:r>
          </w:p>
        </w:tc>
      </w:tr>
      <w:tr w:rsidR="0000518F" w:rsidRPr="007B3A56" w14:paraId="484DB736" w14:textId="77777777">
        <w:tc>
          <w:tcPr>
            <w:tcW w:w="14400" w:type="dxa"/>
            <w:gridSpan w:val="8"/>
            <w:shd w:val="clear" w:color="auto" w:fill="1F3864"/>
          </w:tcPr>
          <w:p w14:paraId="5F61DC4F" w14:textId="77777777" w:rsidR="0000518F" w:rsidRPr="007B3A56" w:rsidRDefault="00000000">
            <w:pPr>
              <w:jc w:val="center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18"/>
              </w:rPr>
              <w:t>Phase 2 — Stakeholder Design InputsJuly – September 2026</w:t>
            </w:r>
          </w:p>
        </w:tc>
      </w:tr>
      <w:tr w:rsidR="0000518F" w:rsidRPr="007B3A56" w14:paraId="13CD8689" w14:textId="77777777">
        <w:tc>
          <w:tcPr>
            <w:tcW w:w="1800" w:type="dxa"/>
          </w:tcPr>
          <w:p w14:paraId="687A7DC3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Jul2026</w:t>
            </w:r>
          </w:p>
        </w:tc>
        <w:tc>
          <w:tcPr>
            <w:tcW w:w="1800" w:type="dxa"/>
          </w:tcPr>
          <w:p w14:paraId="3E37984D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TC: </w:t>
            </w:r>
            <w:r w:rsidRPr="007B3A56">
              <w:rPr>
                <w:rFonts w:ascii="Aptos" w:hAnsi="Aptos"/>
                <w:color w:val="414042"/>
                <w:sz w:val="14"/>
              </w:rPr>
              <w:t>API Synthetic Data Test</w:t>
            </w:r>
          </w:p>
        </w:tc>
        <w:tc>
          <w:tcPr>
            <w:tcW w:w="1800" w:type="dxa"/>
          </w:tcPr>
          <w:p w14:paraId="75DAA27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Outstanding MDLA escalation</w:t>
            </w:r>
          </w:p>
        </w:tc>
        <w:tc>
          <w:tcPr>
            <w:tcW w:w="1800" w:type="dxa"/>
          </w:tcPr>
          <w:p w14:paraId="5F9820B9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US: </w:t>
            </w:r>
            <w:r w:rsidRPr="007B3A56">
              <w:rPr>
                <w:rFonts w:ascii="Aptos" w:hAnsi="Aptos"/>
                <w:color w:val="414042"/>
                <w:sz w:val="14"/>
              </w:rPr>
              <w:t>Workforce Training Consultation Report</w:t>
            </w:r>
          </w:p>
          <w:p w14:paraId="6A2C4387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Global: Agriculture Consultation @ ICAS Report</w:t>
            </w:r>
          </w:p>
        </w:tc>
        <w:tc>
          <w:tcPr>
            <w:tcW w:w="1800" w:type="dxa"/>
          </w:tcPr>
          <w:p w14:paraId="3F278894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Synthetic Data Test of data transfer and aggregation protocol - API metrics</w:t>
            </w:r>
          </w:p>
        </w:tc>
        <w:tc>
          <w:tcPr>
            <w:tcW w:w="1800" w:type="dxa"/>
          </w:tcPr>
          <w:p w14:paraId="6AAF7D3D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Synthetic Data Test of data transfer and aggregation protocol - API metrics</w:t>
            </w:r>
          </w:p>
        </w:tc>
        <w:tc>
          <w:tcPr>
            <w:tcW w:w="1800" w:type="dxa"/>
          </w:tcPr>
          <w:p w14:paraId="69648771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Framework for Labor Exposure Index by Country Income — Needed Inputs for Monitoring</w:t>
            </w:r>
          </w:p>
        </w:tc>
        <w:tc>
          <w:tcPr>
            <w:tcW w:w="1800" w:type="dxa"/>
          </w:tcPr>
          <w:p w14:paraId="50ACE4AC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</w:tr>
      <w:tr w:rsidR="0000518F" w:rsidRPr="007B3A56" w14:paraId="61DCDCA5" w14:textId="77777777">
        <w:tc>
          <w:tcPr>
            <w:tcW w:w="1800" w:type="dxa"/>
          </w:tcPr>
          <w:p w14:paraId="4EAEE66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Aug2026</w:t>
            </w:r>
          </w:p>
        </w:tc>
        <w:tc>
          <w:tcPr>
            <w:tcW w:w="1800" w:type="dxa"/>
          </w:tcPr>
          <w:p w14:paraId="26C9AC7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TC: </w:t>
            </w:r>
            <w:r w:rsidRPr="007B3A56">
              <w:rPr>
                <w:rFonts w:ascii="Aptos" w:hAnsi="Aptos"/>
                <w:color w:val="414042"/>
                <w:sz w:val="14"/>
              </w:rPr>
              <w:t>Metric Harmonization Framework</w:t>
            </w:r>
          </w:p>
        </w:tc>
        <w:tc>
          <w:tcPr>
            <w:tcW w:w="1800" w:type="dxa"/>
          </w:tcPr>
          <w:p w14:paraId="21EA7A7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MDLA status review</w:t>
            </w:r>
          </w:p>
        </w:tc>
        <w:tc>
          <w:tcPr>
            <w:tcW w:w="1800" w:type="dxa"/>
          </w:tcPr>
          <w:p w14:paraId="3B6A1A20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Global: Digital Health &amp; EdTech Consultation Report</w:t>
            </w:r>
          </w:p>
          <w:p w14:paraId="70791C1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US: </w:t>
            </w:r>
            <w:r w:rsidRPr="007B3A56">
              <w:rPr>
                <w:rFonts w:ascii="Aptos" w:hAnsi="Aptos"/>
                <w:color w:val="414042"/>
                <w:sz w:val="14"/>
              </w:rPr>
              <w:t>Labor Organization Consultation Report</w:t>
            </w:r>
          </w:p>
        </w:tc>
        <w:tc>
          <w:tcPr>
            <w:tcW w:w="1800" w:type="dxa"/>
          </w:tcPr>
          <w:p w14:paraId="713839E2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15117988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Users and Use Metric Harmonization Framework (drafting)</w:t>
            </w:r>
          </w:p>
          <w:p w14:paraId="5A701592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Topic taxonomies, sampling, labor/industry classifications</w:t>
            </w:r>
          </w:p>
        </w:tc>
        <w:tc>
          <w:tcPr>
            <w:tcW w:w="1800" w:type="dxa"/>
          </w:tcPr>
          <w:p w14:paraId="18F8609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0B9EB044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</w:tr>
      <w:tr w:rsidR="0000518F" w:rsidRPr="007B3A56" w14:paraId="6291AFBC" w14:textId="77777777">
        <w:tc>
          <w:tcPr>
            <w:tcW w:w="1800" w:type="dxa"/>
            <w:shd w:val="clear" w:color="auto" w:fill="FFF6EF"/>
          </w:tcPr>
          <w:p w14:paraId="71098BC4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DF6B00"/>
                <w:sz w:val="16"/>
              </w:rPr>
              <w:t>Sep2026</w:t>
            </w:r>
          </w:p>
        </w:tc>
        <w:tc>
          <w:tcPr>
            <w:tcW w:w="1800" w:type="dxa"/>
            <w:shd w:val="clear" w:color="auto" w:fill="FFF6EF"/>
          </w:tcPr>
          <w:p w14:paraId="1643D8A4" w14:textId="77777777" w:rsidR="0000518F" w:rsidRPr="007B3A56" w:rsidRDefault="00000000">
            <w:pPr>
              <w:shd w:val="clear" w:color="auto" w:fill="C05621"/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12"/>
              </w:rPr>
              <w:t>Decision Point 2</w:t>
            </w:r>
          </w:p>
          <w:p w14:paraId="43DAB790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MDLA roster adequacy review</w:t>
            </w:r>
          </w:p>
          <w:p w14:paraId="38C0DAB1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TC: </w:t>
            </w:r>
            <w:r w:rsidRPr="007B3A56">
              <w:rPr>
                <w:rFonts w:ascii="Aptos" w:hAnsi="Aptos"/>
                <w:color w:val="414042"/>
                <w:sz w:val="14"/>
              </w:rPr>
              <w:t>Metric Harmonization,</w:t>
            </w:r>
          </w:p>
        </w:tc>
        <w:tc>
          <w:tcPr>
            <w:tcW w:w="1800" w:type="dxa"/>
            <w:shd w:val="clear" w:color="auto" w:fill="FFF6EF"/>
          </w:tcPr>
          <w:p w14:paraId="599287CC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Confirm minimum viable data contributor roster</w:t>
            </w:r>
          </w:p>
        </w:tc>
        <w:tc>
          <w:tcPr>
            <w:tcW w:w="1800" w:type="dxa"/>
            <w:shd w:val="clear" w:color="auto" w:fill="FFF6EF"/>
          </w:tcPr>
          <w:p w14:paraId="65709298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US: </w:t>
            </w:r>
            <w:r w:rsidRPr="007B3A56">
              <w:rPr>
                <w:rFonts w:ascii="Aptos" w:hAnsi="Aptos"/>
                <w:color w:val="414042"/>
                <w:sz w:val="14"/>
              </w:rPr>
              <w:t>K-12 + Post-Secondary Consultation Report</w:t>
            </w:r>
          </w:p>
          <w:p w14:paraId="2AB4CA3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Global: Macro/Fiscal Consultation Report</w:t>
            </w:r>
          </w:p>
        </w:tc>
        <w:tc>
          <w:tcPr>
            <w:tcW w:w="1800" w:type="dxa"/>
            <w:shd w:val="clear" w:color="auto" w:fill="FFF6EF"/>
          </w:tcPr>
          <w:p w14:paraId="74BEFA52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</w:p>
        </w:tc>
        <w:tc>
          <w:tcPr>
            <w:tcW w:w="1800" w:type="dxa"/>
            <w:shd w:val="clear" w:color="auto" w:fill="FFF6EF"/>
          </w:tcPr>
          <w:p w14:paraId="5D96012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Harmonization retreat prep; pre-read distributed</w:t>
            </w:r>
          </w:p>
          <w:p w14:paraId="5EB79F51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</w:p>
        </w:tc>
        <w:tc>
          <w:tcPr>
            <w:tcW w:w="1800" w:type="dxa"/>
            <w:shd w:val="clear" w:color="auto" w:fill="FFF6EF"/>
          </w:tcPr>
          <w:p w14:paraId="4567D851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US Stakeholder Engagement Synthesis Report (internal)</w:t>
            </w:r>
          </w:p>
          <w:p w14:paraId="3BE278DD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Global Stakeholder Engagement Synthesis Report (internal)</w:t>
            </w:r>
          </w:p>
          <w:p w14:paraId="7A437D2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3EACAD"/>
                <w:sz w:val="14"/>
              </w:rPr>
              <w:t>Low-Resource Language Index Draft</w:t>
            </w:r>
          </w:p>
        </w:tc>
        <w:tc>
          <w:tcPr>
            <w:tcW w:w="1800" w:type="dxa"/>
            <w:shd w:val="clear" w:color="auto" w:fill="FFF6EF"/>
          </w:tcPr>
          <w:p w14:paraId="0A25AE05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Quarterly Progress Report Q3</w:t>
            </w:r>
          </w:p>
        </w:tc>
      </w:tr>
      <w:tr w:rsidR="0000518F" w:rsidRPr="007B3A56" w14:paraId="15CB6A5C" w14:textId="77777777">
        <w:tc>
          <w:tcPr>
            <w:tcW w:w="14400" w:type="dxa"/>
            <w:gridSpan w:val="8"/>
            <w:shd w:val="clear" w:color="auto" w:fill="1F3864"/>
          </w:tcPr>
          <w:p w14:paraId="0A0FA8CD" w14:textId="77777777" w:rsidR="0000518F" w:rsidRPr="007B3A56" w:rsidRDefault="00000000">
            <w:pPr>
              <w:jc w:val="center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18"/>
              </w:rPr>
              <w:t>Phase 3 — DesignOctober – December 2026</w:t>
            </w:r>
          </w:p>
        </w:tc>
      </w:tr>
      <w:tr w:rsidR="0000518F" w:rsidRPr="007B3A56" w14:paraId="23CE77C1" w14:textId="77777777">
        <w:tc>
          <w:tcPr>
            <w:tcW w:w="1800" w:type="dxa"/>
            <w:shd w:val="clear" w:color="auto" w:fill="EBF3FA"/>
          </w:tcPr>
          <w:p w14:paraId="37BC1381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Oct2026</w:t>
            </w:r>
          </w:p>
        </w:tc>
        <w:tc>
          <w:tcPr>
            <w:tcW w:w="1800" w:type="dxa"/>
            <w:shd w:val="clear" w:color="auto" w:fill="EBF3FA"/>
          </w:tcPr>
          <w:p w14:paraId="45450BA9" w14:textId="77777777" w:rsidR="0000518F" w:rsidRPr="007B3A56" w:rsidRDefault="00000000">
            <w:pPr>
              <w:shd w:val="clear" w:color="auto" w:fill="2C7A7B"/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12"/>
              </w:rPr>
              <w:t>Roundtable + Gate 3</w:t>
            </w:r>
          </w:p>
          <w:p w14:paraId="04DD3D65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Roundtable check-in (virtual)</w:t>
            </w:r>
          </w:p>
          <w:p w14:paraId="36890DD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Commitment 5 proceed / modify / stop</w:t>
            </w:r>
          </w:p>
          <w:p w14:paraId="42E54CF2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Commitment 8 scope review</w:t>
            </w:r>
          </w:p>
          <w:p w14:paraId="71C5B734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Final MDLA escalation: any outstanding contributors</w:t>
            </w:r>
          </w:p>
        </w:tc>
        <w:tc>
          <w:tcPr>
            <w:tcW w:w="1800" w:type="dxa"/>
            <w:shd w:val="clear" w:color="auto" w:fill="EBF3FA"/>
          </w:tcPr>
          <w:p w14:paraId="4912372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EBF3FA"/>
          </w:tcPr>
          <w:p w14:paraId="5ADBD220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Global Researcher Consultation (MS AIEI) &amp; Synthesis Report</w:t>
            </w:r>
          </w:p>
          <w:p w14:paraId="3E18FD7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Metric Harmonization Retreat Stakeholder Sessions</w:t>
            </w:r>
          </w:p>
        </w:tc>
        <w:tc>
          <w:tcPr>
            <w:tcW w:w="1800" w:type="dxa"/>
            <w:shd w:val="clear" w:color="auto" w:fill="EBF3FA"/>
          </w:tcPr>
          <w:p w14:paraId="5FC101B7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EBF3FA"/>
          </w:tcPr>
          <w:p w14:paraId="0A6BC5DD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Sector-Specific Scope Proposals</w:t>
            </w:r>
          </w:p>
          <w:p w14:paraId="639276D7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Metric Harmonization Retreat Technical Sessions</w:t>
            </w:r>
            <w:r w:rsidRPr="007B3A56">
              <w:rPr>
                <w:rFonts w:ascii="Aptos" w:hAnsi="Aptos"/>
                <w:color w:val="414042"/>
                <w:sz w:val="14"/>
              </w:rPr>
              <w:t>(informed by agreed frameworks, completed research, stakeholder synthesis reports, sector-specific scope proposals, and MDB/UN scope discussions)</w:t>
            </w:r>
          </w:p>
        </w:tc>
        <w:tc>
          <w:tcPr>
            <w:tcW w:w="1800" w:type="dxa"/>
            <w:shd w:val="clear" w:color="auto" w:fill="EBF3FA"/>
          </w:tcPr>
          <w:p w14:paraId="04E601D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EBF3FA"/>
          </w:tcPr>
          <w:p w14:paraId="06E1E9A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</w:tr>
      <w:tr w:rsidR="0000518F" w:rsidRPr="007B3A56" w14:paraId="4143D9CA" w14:textId="77777777">
        <w:tc>
          <w:tcPr>
            <w:tcW w:w="1800" w:type="dxa"/>
          </w:tcPr>
          <w:p w14:paraId="42D4DBC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lastRenderedPageBreak/>
              <w:t>Nov2026</w:t>
            </w:r>
          </w:p>
        </w:tc>
        <w:tc>
          <w:tcPr>
            <w:tcW w:w="1800" w:type="dxa"/>
          </w:tcPr>
          <w:p w14:paraId="7B00A274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TC: </w:t>
            </w:r>
            <w:r w:rsidRPr="007B3A56">
              <w:rPr>
                <w:rFonts w:ascii="Aptos" w:hAnsi="Aptos"/>
                <w:color w:val="414042"/>
                <w:sz w:val="14"/>
              </w:rPr>
              <w:t>Consumer Chat; Metric Harmonization Testing</w:t>
            </w:r>
          </w:p>
          <w:p w14:paraId="626546A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Commence Global Firm Outreach (India, China, France, etc.)</w:t>
            </w:r>
          </w:p>
        </w:tc>
        <w:tc>
          <w:tcPr>
            <w:tcW w:w="1800" w:type="dxa"/>
          </w:tcPr>
          <w:p w14:paraId="62557BD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MDLA Consumer Chat Schedules</w:t>
            </w:r>
          </w:p>
        </w:tc>
        <w:tc>
          <w:tcPr>
            <w:tcW w:w="1800" w:type="dxa"/>
          </w:tcPr>
          <w:p w14:paraId="047DDAC1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6B3DCF30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Consumer Chat Framework finalized</w:t>
            </w:r>
          </w:p>
          <w:p w14:paraId="3D4263A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Secure data transfer and aggregation protocol design review - Consumer Chat</w:t>
            </w:r>
          </w:p>
        </w:tc>
        <w:tc>
          <w:tcPr>
            <w:tcW w:w="1800" w:type="dxa"/>
          </w:tcPr>
          <w:p w14:paraId="36F65B15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Harmonization Testing Coordination I</w:t>
            </w:r>
          </w:p>
        </w:tc>
        <w:tc>
          <w:tcPr>
            <w:tcW w:w="1800" w:type="dxa"/>
          </w:tcPr>
          <w:p w14:paraId="241104C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AR Monitoring Framework</w:t>
            </w:r>
          </w:p>
          <w:p w14:paraId="3BF213F3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Consumer Chat and API Normalization and Benchmark Datasets</w:t>
            </w:r>
          </w:p>
        </w:tc>
        <w:tc>
          <w:tcPr>
            <w:tcW w:w="1800" w:type="dxa"/>
          </w:tcPr>
          <w:p w14:paraId="50F42532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</w:tr>
      <w:tr w:rsidR="0000518F" w:rsidRPr="007B3A56" w14:paraId="55C57091" w14:textId="77777777">
        <w:tc>
          <w:tcPr>
            <w:tcW w:w="1800" w:type="dxa"/>
          </w:tcPr>
          <w:p w14:paraId="6306E010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Dec2026</w:t>
            </w:r>
          </w:p>
        </w:tc>
        <w:tc>
          <w:tcPr>
            <w:tcW w:w="1800" w:type="dxa"/>
          </w:tcPr>
          <w:p w14:paraId="19CEC32C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TC: </w:t>
            </w:r>
            <w:r w:rsidRPr="007B3A56">
              <w:rPr>
                <w:rFonts w:ascii="Aptos" w:hAnsi="Aptos"/>
                <w:color w:val="414042"/>
                <w:sz w:val="14"/>
              </w:rPr>
              <w:t>Consumer Chat Synthetic Data Test; Consumer Chat Data Aggregation and Transfer Method</w:t>
            </w:r>
          </w:p>
        </w:tc>
        <w:tc>
          <w:tcPr>
            <w:tcW w:w="1800" w:type="dxa"/>
          </w:tcPr>
          <w:p w14:paraId="2C221E0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33E7422C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49E251F9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Synthetic Data Test of data transfer and aggregation protocol - Consumer Chat</w:t>
            </w:r>
          </w:p>
          <w:p w14:paraId="0A6F9BF2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Data Aggregation &amp; Transfer Method Documentation (draft)</w:t>
            </w:r>
          </w:p>
        </w:tc>
        <w:tc>
          <w:tcPr>
            <w:tcW w:w="1800" w:type="dxa"/>
          </w:tcPr>
          <w:p w14:paraId="76BE4843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Harmonization Testing Coordination II</w:t>
            </w:r>
          </w:p>
        </w:tc>
        <w:tc>
          <w:tcPr>
            <w:tcW w:w="1800" w:type="dxa"/>
          </w:tcPr>
          <w:p w14:paraId="7CE718C3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ASR Monitoring Framework</w:t>
            </w:r>
          </w:p>
        </w:tc>
        <w:tc>
          <w:tcPr>
            <w:tcW w:w="1800" w:type="dxa"/>
          </w:tcPr>
          <w:p w14:paraId="48ADFCB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Quarterly Progress Report Q4</w:t>
            </w:r>
          </w:p>
        </w:tc>
      </w:tr>
    </w:tbl>
    <w:p w14:paraId="127C5454" w14:textId="77777777" w:rsidR="0000518F" w:rsidRPr="007B3A56" w:rsidRDefault="00000000">
      <w:pPr>
        <w:rPr>
          <w:rFonts w:ascii="Aptos" w:hAnsi="Aptos"/>
        </w:rPr>
      </w:pPr>
      <w:r w:rsidRPr="007B3A56">
        <w:rPr>
          <w:rFonts w:ascii="Aptos" w:hAnsi="Aptos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 w:rsidR="0000518F" w:rsidRPr="007B3A56" w14:paraId="444FB197" w14:textId="77777777">
        <w:tc>
          <w:tcPr>
            <w:tcW w:w="1800" w:type="dxa"/>
            <w:shd w:val="clear" w:color="auto" w:fill="1F3864"/>
          </w:tcPr>
          <w:p w14:paraId="46BBD256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lastRenderedPageBreak/>
              <w:t>Month</w:t>
            </w:r>
          </w:p>
        </w:tc>
        <w:tc>
          <w:tcPr>
            <w:tcW w:w="1800" w:type="dxa"/>
            <w:shd w:val="clear" w:color="auto" w:fill="1F3864"/>
          </w:tcPr>
          <w:p w14:paraId="2E811372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Governance &amp; Roundtable</w:t>
            </w:r>
          </w:p>
        </w:tc>
        <w:tc>
          <w:tcPr>
            <w:tcW w:w="1800" w:type="dxa"/>
            <w:shd w:val="clear" w:color="auto" w:fill="1F3864"/>
          </w:tcPr>
          <w:p w14:paraId="28D3CCF7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10459"/>
                <w:sz w:val="16"/>
              </w:rPr>
              <w:t>Legal &amp; MDLA</w:t>
            </w:r>
          </w:p>
        </w:tc>
        <w:tc>
          <w:tcPr>
            <w:tcW w:w="1800" w:type="dxa"/>
            <w:shd w:val="clear" w:color="auto" w:fill="1F3864"/>
          </w:tcPr>
          <w:p w14:paraId="606ADD52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1C7A7B"/>
                <w:sz w:val="16"/>
              </w:rPr>
              <w:t>Stakeholder Engagement</w:t>
            </w:r>
          </w:p>
        </w:tc>
        <w:tc>
          <w:tcPr>
            <w:tcW w:w="1800" w:type="dxa"/>
            <w:shd w:val="clear" w:color="auto" w:fill="1F3864"/>
          </w:tcPr>
          <w:p w14:paraId="7EB97877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DF6B00"/>
                <w:sz w:val="16"/>
              </w:rPr>
              <w:t>Adoption Indicators(C2, C4, C6)</w:t>
            </w:r>
          </w:p>
        </w:tc>
        <w:tc>
          <w:tcPr>
            <w:tcW w:w="1800" w:type="dxa"/>
            <w:shd w:val="clear" w:color="auto" w:fill="1F3864"/>
          </w:tcPr>
          <w:p w14:paraId="2C4F59BA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1C7A7B"/>
                <w:sz w:val="16"/>
              </w:rPr>
              <w:t>Users and Use Harmonization(C3, C7)</w:t>
            </w:r>
          </w:p>
        </w:tc>
        <w:tc>
          <w:tcPr>
            <w:tcW w:w="1800" w:type="dxa"/>
            <w:shd w:val="clear" w:color="auto" w:fill="1F3864"/>
          </w:tcPr>
          <w:p w14:paraId="7B320F01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808080"/>
                <w:sz w:val="16"/>
              </w:rPr>
              <w:t>Research &amp; Supplemental(C5, C8)</w:t>
            </w:r>
          </w:p>
        </w:tc>
        <w:tc>
          <w:tcPr>
            <w:tcW w:w="1800" w:type="dxa"/>
            <w:shd w:val="clear" w:color="auto" w:fill="1F3864"/>
          </w:tcPr>
          <w:p w14:paraId="4A76A2C8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A04A00"/>
                <w:sz w:val="16"/>
              </w:rPr>
              <w:t>Publication &amp; Comms(C1)</w:t>
            </w:r>
          </w:p>
        </w:tc>
      </w:tr>
      <w:tr w:rsidR="0000518F" w:rsidRPr="007B3A56" w14:paraId="4331E027" w14:textId="77777777">
        <w:tc>
          <w:tcPr>
            <w:tcW w:w="14400" w:type="dxa"/>
            <w:gridSpan w:val="8"/>
            <w:shd w:val="clear" w:color="auto" w:fill="1F3864"/>
          </w:tcPr>
          <w:p w14:paraId="405CCD04" w14:textId="77777777" w:rsidR="0000518F" w:rsidRPr="007B3A56" w:rsidRDefault="00000000">
            <w:pPr>
              <w:jc w:val="center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18"/>
              </w:rPr>
              <w:t>Phase 4 — PrototypeJanuary – April 2027</w:t>
            </w:r>
          </w:p>
        </w:tc>
      </w:tr>
      <w:tr w:rsidR="0000518F" w:rsidRPr="007B3A56" w14:paraId="1F772FC2" w14:textId="77777777">
        <w:tc>
          <w:tcPr>
            <w:tcW w:w="1800" w:type="dxa"/>
          </w:tcPr>
          <w:p w14:paraId="6B711FD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Jan2027</w:t>
            </w:r>
          </w:p>
        </w:tc>
        <w:tc>
          <w:tcPr>
            <w:tcW w:w="1800" w:type="dxa"/>
          </w:tcPr>
          <w:p w14:paraId="6DE07078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TC: </w:t>
            </w:r>
            <w:r w:rsidRPr="007B3A56">
              <w:rPr>
                <w:rFonts w:ascii="Aptos" w:hAnsi="Aptos"/>
                <w:color w:val="414042"/>
                <w:sz w:val="14"/>
              </w:rPr>
              <w:t>Metric Harmonization, Open Source Trends, Index Construction Methodology</w:t>
            </w:r>
          </w:p>
        </w:tc>
        <w:tc>
          <w:tcPr>
            <w:tcW w:w="1800" w:type="dxa"/>
          </w:tcPr>
          <w:p w14:paraId="5647B04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MDLA Conversation and API Metric Data Schedules</w:t>
            </w:r>
          </w:p>
        </w:tc>
        <w:tc>
          <w:tcPr>
            <w:tcW w:w="1800" w:type="dxa"/>
          </w:tcPr>
          <w:p w14:paraId="1742FB19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7FA7BD5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Index Construction &amp; Methodology (C2, C6)</w:t>
            </w:r>
          </w:p>
          <w:p w14:paraId="61182CA4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Dry-run: first synthetic end-to-end submission</w:t>
            </w:r>
          </w:p>
        </w:tc>
        <w:tc>
          <w:tcPr>
            <w:tcW w:w="1800" w:type="dxa"/>
          </w:tcPr>
          <w:p w14:paraId="77756EA9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Harmonization Testing Coordination III</w:t>
            </w:r>
          </w:p>
          <w:p w14:paraId="6F23367D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Metric Harmonization Framework finalized (C3, C7)</w:t>
            </w:r>
          </w:p>
        </w:tc>
        <w:tc>
          <w:tcPr>
            <w:tcW w:w="1800" w:type="dxa"/>
          </w:tcPr>
          <w:p w14:paraId="34EE453C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Open Source Trends Monitoring Framework</w:t>
            </w:r>
          </w:p>
        </w:tc>
        <w:tc>
          <w:tcPr>
            <w:tcW w:w="1800" w:type="dxa"/>
          </w:tcPr>
          <w:p w14:paraId="33E2D0F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Publication Framework (draft)</w:t>
            </w:r>
          </w:p>
        </w:tc>
      </w:tr>
      <w:tr w:rsidR="0000518F" w:rsidRPr="007B3A56" w14:paraId="08223B17" w14:textId="77777777">
        <w:tc>
          <w:tcPr>
            <w:tcW w:w="1800" w:type="dxa"/>
          </w:tcPr>
          <w:p w14:paraId="3A6FD668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Feb2027</w:t>
            </w:r>
          </w:p>
        </w:tc>
        <w:tc>
          <w:tcPr>
            <w:tcW w:w="1800" w:type="dxa"/>
          </w:tcPr>
          <w:p w14:paraId="6F811EB5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TC: </w:t>
            </w:r>
            <w:r w:rsidRPr="007B3A56">
              <w:rPr>
                <w:rFonts w:ascii="Aptos" w:hAnsi="Aptos"/>
                <w:color w:val="414042"/>
                <w:sz w:val="14"/>
              </w:rPr>
              <w:t>US Adaptation, Technical Specs Documentation</w:t>
            </w:r>
          </w:p>
        </w:tc>
        <w:tc>
          <w:tcPr>
            <w:tcW w:w="1800" w:type="dxa"/>
          </w:tcPr>
          <w:p w14:paraId="4783F82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MDLA Conversation and API Metric Data Schedules</w:t>
            </w:r>
          </w:p>
          <w:p w14:paraId="2CD4718C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Additional Global Firm MDLAs</w:t>
            </w:r>
          </w:p>
        </w:tc>
        <w:tc>
          <w:tcPr>
            <w:tcW w:w="1800" w:type="dxa"/>
          </w:tcPr>
          <w:p w14:paraId="6D14DF39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US Stakeholder Consultation on Draft US Adaptation Assessment</w:t>
            </w:r>
          </w:p>
        </w:tc>
        <w:tc>
          <w:tcPr>
            <w:tcW w:w="1800" w:type="dxa"/>
          </w:tcPr>
          <w:p w14:paraId="54C485F7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US Adaptation Assessment (C2, C4, C6)</w:t>
            </w:r>
          </w:p>
          <w:p w14:paraId="1254431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Technical Specs Documentation (C2, C4, C6)</w:t>
            </w:r>
          </w:p>
          <w:p w14:paraId="459F0547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Data Aggregation and Transfer Method (C2, C4, C6)</w:t>
            </w:r>
          </w:p>
          <w:p w14:paraId="009A3D8D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Data Sharing Protocols finalized</w:t>
            </w:r>
          </w:p>
        </w:tc>
        <w:tc>
          <w:tcPr>
            <w:tcW w:w="1800" w:type="dxa"/>
          </w:tcPr>
          <w:p w14:paraId="38380C03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US Adaptation Assessment (C3, C4, C7)</w:t>
            </w:r>
          </w:p>
          <w:p w14:paraId="593194F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Technical Specs Documentation (C3, C7)</w:t>
            </w:r>
          </w:p>
          <w:p w14:paraId="5E2DF1F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Data Aggregation and Transfer Method (C3, C7)</w:t>
            </w:r>
          </w:p>
          <w:p w14:paraId="23A9AB0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Data Sharing Protocols finalized</w:t>
            </w:r>
          </w:p>
        </w:tc>
        <w:tc>
          <w:tcPr>
            <w:tcW w:w="1800" w:type="dxa"/>
          </w:tcPr>
          <w:p w14:paraId="3F136B9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3EACAD"/>
                <w:sz w:val="14"/>
              </w:rPr>
              <w:t>Stakeholder Synthesis Report</w:t>
            </w:r>
          </w:p>
        </w:tc>
        <w:tc>
          <w:tcPr>
            <w:tcW w:w="1800" w:type="dxa"/>
          </w:tcPr>
          <w:p w14:paraId="671321D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Launch comms strategy kick-off</w:t>
            </w:r>
          </w:p>
          <w:p w14:paraId="640753A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Publication Framework (draft)</w:t>
            </w:r>
          </w:p>
        </w:tc>
      </w:tr>
      <w:tr w:rsidR="0000518F" w:rsidRPr="007B3A56" w14:paraId="621895B4" w14:textId="77777777">
        <w:tc>
          <w:tcPr>
            <w:tcW w:w="1800" w:type="dxa"/>
          </w:tcPr>
          <w:p w14:paraId="2441A505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Mar2027</w:t>
            </w:r>
          </w:p>
        </w:tc>
        <w:tc>
          <w:tcPr>
            <w:tcW w:w="1800" w:type="dxa"/>
          </w:tcPr>
          <w:p w14:paraId="0564651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TC: </w:t>
            </w:r>
            <w:r w:rsidRPr="007B3A56">
              <w:rPr>
                <w:rFonts w:ascii="Aptos" w:hAnsi="Aptos"/>
                <w:color w:val="414042"/>
                <w:sz w:val="14"/>
              </w:rPr>
              <w:t>Prototype, Supplemental Indicators, Sector-Specific Indicator Derivations</w:t>
            </w:r>
          </w:p>
        </w:tc>
        <w:tc>
          <w:tcPr>
            <w:tcW w:w="1800" w:type="dxa"/>
          </w:tcPr>
          <w:p w14:paraId="7788017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37AE378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31963B4C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Closed pilot with real data</w:t>
            </w:r>
          </w:p>
          <w:p w14:paraId="6B6D9DFC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PROTOTYPE ready</w:t>
            </w:r>
          </w:p>
        </w:tc>
        <w:tc>
          <w:tcPr>
            <w:tcW w:w="1800" w:type="dxa"/>
          </w:tcPr>
          <w:p w14:paraId="6752C268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Closed pilot with real data</w:t>
            </w:r>
          </w:p>
          <w:p w14:paraId="6CF90557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PROTOTYPE ready</w:t>
            </w:r>
          </w:p>
        </w:tc>
        <w:tc>
          <w:tcPr>
            <w:tcW w:w="1800" w:type="dxa"/>
          </w:tcPr>
          <w:p w14:paraId="284EDA9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3EACAD"/>
                <w:sz w:val="14"/>
              </w:rPr>
              <w:t>ASR Model Diffusion &amp; Intensity metrics</w:t>
            </w:r>
          </w:p>
          <w:p w14:paraId="74246942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3EACAD"/>
                <w:sz w:val="14"/>
              </w:rPr>
              <w:t>Bot Economy API Measurement Research</w:t>
            </w:r>
          </w:p>
          <w:p w14:paraId="33E6EEB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Combined data and policy interactive dashboard prototype</w:t>
            </w:r>
          </w:p>
        </w:tc>
        <w:tc>
          <w:tcPr>
            <w:tcW w:w="1800" w:type="dxa"/>
          </w:tcPr>
          <w:p w14:paraId="3D61492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Publication Framework finalized</w:t>
            </w:r>
          </w:p>
          <w:p w14:paraId="58417454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Partner co-promotion coordination begins</w:t>
            </w:r>
          </w:p>
        </w:tc>
      </w:tr>
      <w:tr w:rsidR="0000518F" w:rsidRPr="007B3A56" w14:paraId="7CF530A8" w14:textId="77777777">
        <w:tc>
          <w:tcPr>
            <w:tcW w:w="1800" w:type="dxa"/>
            <w:shd w:val="clear" w:color="auto" w:fill="EFF9F9"/>
          </w:tcPr>
          <w:p w14:paraId="6433F667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Apr2027</w:t>
            </w:r>
          </w:p>
        </w:tc>
        <w:tc>
          <w:tcPr>
            <w:tcW w:w="1800" w:type="dxa"/>
            <w:shd w:val="clear" w:color="auto" w:fill="EFF9F9"/>
          </w:tcPr>
          <w:p w14:paraId="3880A95B" w14:textId="77777777" w:rsidR="0000518F" w:rsidRPr="007B3A56" w:rsidRDefault="00000000">
            <w:pPr>
              <w:shd w:val="clear" w:color="auto" w:fill="2C7A7B"/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12"/>
              </w:rPr>
              <w:t>Roundtable</w:t>
            </w:r>
          </w:p>
          <w:p w14:paraId="3AEDDD07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Roundtable Prototype Review (Spring Meetings)</w:t>
            </w:r>
          </w:p>
        </w:tc>
        <w:tc>
          <w:tcPr>
            <w:tcW w:w="1800" w:type="dxa"/>
            <w:shd w:val="clear" w:color="auto" w:fill="EFF9F9"/>
          </w:tcPr>
          <w:p w14:paraId="52452EA2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EFF9F9"/>
          </w:tcPr>
          <w:p w14:paraId="431AD591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EFF9F9"/>
          </w:tcPr>
          <w:p w14:paraId="777FF7E9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FIRST ITERATION</w:t>
            </w:r>
          </w:p>
        </w:tc>
        <w:tc>
          <w:tcPr>
            <w:tcW w:w="1800" w:type="dxa"/>
            <w:shd w:val="clear" w:color="auto" w:fill="EFF9F9"/>
          </w:tcPr>
          <w:p w14:paraId="0356967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FIRST ITERATION</w:t>
            </w:r>
          </w:p>
        </w:tc>
        <w:tc>
          <w:tcPr>
            <w:tcW w:w="1800" w:type="dxa"/>
            <w:shd w:val="clear" w:color="auto" w:fill="EFF9F9"/>
          </w:tcPr>
          <w:p w14:paraId="2BD8022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3EACAD"/>
                <w:sz w:val="14"/>
              </w:rPr>
              <w:t>AR Device Sales &amp; Penetration Metrics</w:t>
            </w:r>
          </w:p>
          <w:p w14:paraId="18D7ED69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3EACAD"/>
                <w:sz w:val="14"/>
              </w:rPr>
              <w:t>Global AI Skills Supply &amp; Demand Index</w:t>
            </w:r>
          </w:p>
          <w:p w14:paraId="2EBB9B0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3EACAD"/>
                <w:sz w:val="14"/>
              </w:rPr>
              <w:t>Open Source Model Trends</w:t>
            </w:r>
          </w:p>
        </w:tc>
        <w:tc>
          <w:tcPr>
            <w:tcW w:w="1800" w:type="dxa"/>
            <w:shd w:val="clear" w:color="auto" w:fill="EFF9F9"/>
          </w:tcPr>
          <w:p w14:paraId="6E382D9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Launch comms plan finalized</w:t>
            </w:r>
          </w:p>
          <w:p w14:paraId="7C3AF5D0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Media &amp; embargo strategy</w:t>
            </w:r>
          </w:p>
        </w:tc>
      </w:tr>
      <w:tr w:rsidR="0000518F" w:rsidRPr="007B3A56" w14:paraId="14EDC907" w14:textId="77777777">
        <w:tc>
          <w:tcPr>
            <w:tcW w:w="14400" w:type="dxa"/>
            <w:gridSpan w:val="8"/>
            <w:shd w:val="clear" w:color="auto" w:fill="1F3864"/>
          </w:tcPr>
          <w:p w14:paraId="6558A639" w14:textId="77777777" w:rsidR="0000518F" w:rsidRPr="007B3A56" w:rsidRDefault="00000000">
            <w:pPr>
              <w:jc w:val="center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18"/>
              </w:rPr>
              <w:t>Phase 5 — Iterate, Review, &amp; LaunchMay – July 2027</w:t>
            </w:r>
          </w:p>
        </w:tc>
      </w:tr>
      <w:tr w:rsidR="0000518F" w:rsidRPr="007B3A56" w14:paraId="29413EEB" w14:textId="77777777">
        <w:tc>
          <w:tcPr>
            <w:tcW w:w="1800" w:type="dxa"/>
          </w:tcPr>
          <w:p w14:paraId="0145CFBD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May2027</w:t>
            </w:r>
          </w:p>
        </w:tc>
        <w:tc>
          <w:tcPr>
            <w:tcW w:w="1800" w:type="dxa"/>
          </w:tcPr>
          <w:p w14:paraId="6E3F2FF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TC: </w:t>
            </w:r>
            <w:r w:rsidRPr="007B3A56">
              <w:rPr>
                <w:rFonts w:ascii="Aptos" w:hAnsi="Aptos"/>
                <w:color w:val="414042"/>
                <w:sz w:val="14"/>
              </w:rPr>
              <w:t>Review</w:t>
            </w:r>
          </w:p>
        </w:tc>
        <w:tc>
          <w:tcPr>
            <w:tcW w:w="1800" w:type="dxa"/>
          </w:tcPr>
          <w:p w14:paraId="0921152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Formal company review &amp; approval window (all contributors, 4 wks)</w:t>
            </w:r>
          </w:p>
          <w:p w14:paraId="5535D53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Final stakeholder validation</w:t>
            </w:r>
          </w:p>
        </w:tc>
        <w:tc>
          <w:tcPr>
            <w:tcW w:w="1800" w:type="dxa"/>
          </w:tcPr>
          <w:p w14:paraId="0D4224A2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MDB partner pre-publication data review (post-MDLA clearance, confidential)</w:t>
            </w:r>
          </w:p>
          <w:p w14:paraId="3D84196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AfDB, ADB, IDB, EBRD review regional outputs under Development Data Partnership data access rights</w:t>
            </w:r>
          </w:p>
          <w:p w14:paraId="0FCFEB0D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Findings inform final revisions prior to Decision Gate 4 sign-off</w:t>
            </w:r>
          </w:p>
        </w:tc>
        <w:tc>
          <w:tcPr>
            <w:tcW w:w="1800" w:type="dxa"/>
          </w:tcPr>
          <w:p w14:paraId="367908A5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First Iteration — company redlines</w:t>
            </w:r>
          </w:p>
        </w:tc>
        <w:tc>
          <w:tcPr>
            <w:tcW w:w="1800" w:type="dxa"/>
          </w:tcPr>
          <w:p w14:paraId="5C4D8140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First Iteration — company redlines</w:t>
            </w:r>
          </w:p>
        </w:tc>
        <w:tc>
          <w:tcPr>
            <w:tcW w:w="1800" w:type="dxa"/>
          </w:tcPr>
          <w:p w14:paraId="24644FE4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First Iteration — company redlines</w:t>
            </w:r>
          </w:p>
        </w:tc>
        <w:tc>
          <w:tcPr>
            <w:tcW w:w="1800" w:type="dxa"/>
          </w:tcPr>
          <w:p w14:paraId="375996ED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Speaker prep, press kit, embargo mgmt.</w:t>
            </w:r>
          </w:p>
          <w:p w14:paraId="02FFC550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Publication Framework finalized</w:t>
            </w:r>
          </w:p>
        </w:tc>
      </w:tr>
      <w:tr w:rsidR="0000518F" w:rsidRPr="007B3A56" w14:paraId="15ED4225" w14:textId="77777777">
        <w:tc>
          <w:tcPr>
            <w:tcW w:w="1800" w:type="dxa"/>
            <w:shd w:val="clear" w:color="auto" w:fill="FFF6EF"/>
          </w:tcPr>
          <w:p w14:paraId="47178155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DF6B00"/>
                <w:sz w:val="16"/>
              </w:rPr>
              <w:t>Jun2027</w:t>
            </w:r>
          </w:p>
        </w:tc>
        <w:tc>
          <w:tcPr>
            <w:tcW w:w="1800" w:type="dxa"/>
            <w:shd w:val="clear" w:color="auto" w:fill="FFF6EF"/>
          </w:tcPr>
          <w:p w14:paraId="6BC9810E" w14:textId="77777777" w:rsidR="0000518F" w:rsidRPr="007B3A56" w:rsidRDefault="00000000">
            <w:pPr>
              <w:shd w:val="clear" w:color="auto" w:fill="C05621"/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12"/>
              </w:rPr>
              <w:t>Decision Point 4</w:t>
            </w:r>
          </w:p>
          <w:p w14:paraId="2C68D47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Pre-publication final sign-off</w:t>
            </w:r>
          </w:p>
        </w:tc>
        <w:tc>
          <w:tcPr>
            <w:tcW w:w="1800" w:type="dxa"/>
            <w:shd w:val="clear" w:color="auto" w:fill="FFF6EF"/>
          </w:tcPr>
          <w:p w14:paraId="4CACE0E1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Final legal clearance per MDLA review rights</w:t>
            </w:r>
          </w:p>
        </w:tc>
        <w:tc>
          <w:tcPr>
            <w:tcW w:w="1800" w:type="dxa"/>
            <w:shd w:val="clear" w:color="auto" w:fill="FFF6EF"/>
          </w:tcPr>
          <w:p w14:paraId="1F3C024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Pre-Launch US-Stakeholder Convening &amp; Discussion of Post-Launch joint publications</w:t>
            </w:r>
          </w:p>
        </w:tc>
        <w:tc>
          <w:tcPr>
            <w:tcW w:w="1800" w:type="dxa"/>
            <w:shd w:val="clear" w:color="auto" w:fill="FFF6EF"/>
          </w:tcPr>
          <w:p w14:paraId="5C308F99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Revision (buffer for slippage)</w:t>
            </w:r>
          </w:p>
        </w:tc>
        <w:tc>
          <w:tcPr>
            <w:tcW w:w="1800" w:type="dxa"/>
            <w:shd w:val="clear" w:color="auto" w:fill="FFF6EF"/>
          </w:tcPr>
          <w:p w14:paraId="4E01BBB2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Revision (buffer for slippage)</w:t>
            </w:r>
          </w:p>
        </w:tc>
        <w:tc>
          <w:tcPr>
            <w:tcW w:w="1800" w:type="dxa"/>
            <w:shd w:val="clear" w:color="auto" w:fill="FFF6EF"/>
          </w:tcPr>
          <w:p w14:paraId="338A70B5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FFF6EF"/>
          </w:tcPr>
          <w:p w14:paraId="6112AFC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Final comms rehearsal</w:t>
            </w:r>
          </w:p>
          <w:p w14:paraId="24EF9329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Summit logistics</w:t>
            </w:r>
          </w:p>
        </w:tc>
      </w:tr>
      <w:tr w:rsidR="0000518F" w:rsidRPr="007B3A56" w14:paraId="1795FD23" w14:textId="77777777">
        <w:tc>
          <w:tcPr>
            <w:tcW w:w="1800" w:type="dxa"/>
          </w:tcPr>
          <w:p w14:paraId="4A0F4C6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Jul2027</w:t>
            </w:r>
          </w:p>
        </w:tc>
        <w:tc>
          <w:tcPr>
            <w:tcW w:w="1800" w:type="dxa"/>
          </w:tcPr>
          <w:p w14:paraId="47F2BF6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LAUNCH</w:t>
            </w:r>
          </w:p>
        </w:tc>
        <w:tc>
          <w:tcPr>
            <w:tcW w:w="1800" w:type="dxa"/>
          </w:tcPr>
          <w:p w14:paraId="46A647F5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LAUNCH</w:t>
            </w:r>
          </w:p>
        </w:tc>
        <w:tc>
          <w:tcPr>
            <w:tcW w:w="1800" w:type="dxa"/>
          </w:tcPr>
          <w:p w14:paraId="742364E8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LAUNCH</w:t>
            </w:r>
          </w:p>
        </w:tc>
        <w:tc>
          <w:tcPr>
            <w:tcW w:w="1800" w:type="dxa"/>
          </w:tcPr>
          <w:p w14:paraId="0CE30F7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LAUNCH</w:t>
            </w:r>
          </w:p>
        </w:tc>
        <w:tc>
          <w:tcPr>
            <w:tcW w:w="1800" w:type="dxa"/>
          </w:tcPr>
          <w:p w14:paraId="7DD62E4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LAUNCH</w:t>
            </w:r>
          </w:p>
        </w:tc>
        <w:tc>
          <w:tcPr>
            <w:tcW w:w="1800" w:type="dxa"/>
          </w:tcPr>
          <w:p w14:paraId="1CBB8F3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LAUNCH</w:t>
            </w:r>
          </w:p>
        </w:tc>
        <w:tc>
          <w:tcPr>
            <w:tcW w:w="1800" w:type="dxa"/>
          </w:tcPr>
          <w:p w14:paraId="627267B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LAUNCH at 2027 Global AI Summit (Switzerland)</w:t>
            </w:r>
          </w:p>
          <w:p w14:paraId="5A024B98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Publication + media rollout</w:t>
            </w:r>
          </w:p>
          <w:p w14:paraId="251AFE2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Interactive website and partner links</w:t>
            </w:r>
          </w:p>
        </w:tc>
      </w:tr>
      <w:tr w:rsidR="0000518F" w:rsidRPr="007B3A56" w14:paraId="1CF24568" w14:textId="77777777">
        <w:tc>
          <w:tcPr>
            <w:tcW w:w="14400" w:type="dxa"/>
            <w:gridSpan w:val="8"/>
            <w:shd w:val="clear" w:color="auto" w:fill="1F3864"/>
          </w:tcPr>
          <w:p w14:paraId="701CD3B2" w14:textId="77777777" w:rsidR="0000518F" w:rsidRPr="007B3A56" w:rsidRDefault="00000000">
            <w:pPr>
              <w:jc w:val="center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18"/>
              </w:rPr>
              <w:lastRenderedPageBreak/>
              <w:t>Phase 6 — Post-LaunchAugust – November 2027</w:t>
            </w:r>
          </w:p>
        </w:tc>
      </w:tr>
      <w:tr w:rsidR="0000518F" w:rsidRPr="007B3A56" w14:paraId="25D88FB3" w14:textId="77777777">
        <w:tc>
          <w:tcPr>
            <w:tcW w:w="1800" w:type="dxa"/>
          </w:tcPr>
          <w:p w14:paraId="155D766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Aug2027</w:t>
            </w:r>
          </w:p>
        </w:tc>
        <w:tc>
          <w:tcPr>
            <w:tcW w:w="1800" w:type="dxa"/>
          </w:tcPr>
          <w:p w14:paraId="3D95370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TC: </w:t>
            </w:r>
            <w:r w:rsidRPr="007B3A56">
              <w:rPr>
                <w:rFonts w:ascii="Aptos" w:hAnsi="Aptos"/>
                <w:color w:val="414042"/>
                <w:sz w:val="14"/>
              </w:rPr>
              <w:t>Consumer Chat; Metric Harmonization Testing</w:t>
            </w:r>
          </w:p>
        </w:tc>
        <w:tc>
          <w:tcPr>
            <w:tcW w:w="1800" w:type="dxa"/>
          </w:tcPr>
          <w:p w14:paraId="206CAB9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03FF5B22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Post-launch user feedback collection</w:t>
            </w:r>
          </w:p>
        </w:tc>
        <w:tc>
          <w:tcPr>
            <w:tcW w:w="1800" w:type="dxa"/>
          </w:tcPr>
          <w:p w14:paraId="7657DF52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Second-quarter data ingestion</w:t>
            </w:r>
          </w:p>
        </w:tc>
        <w:tc>
          <w:tcPr>
            <w:tcW w:w="1800" w:type="dxa"/>
          </w:tcPr>
          <w:p w14:paraId="241F40EE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5E0AB2E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5B7EADA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Post-launch comms report</w:t>
            </w:r>
          </w:p>
        </w:tc>
      </w:tr>
      <w:tr w:rsidR="0000518F" w:rsidRPr="007B3A56" w14:paraId="3CA261FE" w14:textId="77777777">
        <w:tc>
          <w:tcPr>
            <w:tcW w:w="1800" w:type="dxa"/>
          </w:tcPr>
          <w:p w14:paraId="000D8A11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Sep2027</w:t>
            </w:r>
          </w:p>
        </w:tc>
        <w:tc>
          <w:tcPr>
            <w:tcW w:w="1800" w:type="dxa"/>
          </w:tcPr>
          <w:p w14:paraId="22765EF5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 xml:space="preserve">TC: </w:t>
            </w:r>
            <w:r w:rsidRPr="007B3A56">
              <w:rPr>
                <w:rFonts w:ascii="Aptos" w:hAnsi="Aptos"/>
                <w:color w:val="414042"/>
                <w:sz w:val="14"/>
              </w:rPr>
              <w:t>Output Internal Review</w:t>
            </w:r>
          </w:p>
        </w:tc>
        <w:tc>
          <w:tcPr>
            <w:tcW w:w="1800" w:type="dxa"/>
          </w:tcPr>
          <w:p w14:paraId="32259A00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6791AD91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Q3 indicator release</w:t>
            </w:r>
          </w:p>
        </w:tc>
        <w:tc>
          <w:tcPr>
            <w:tcW w:w="1800" w:type="dxa"/>
          </w:tcPr>
          <w:p w14:paraId="5ABC7D0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0C1537DC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250C9CE2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3EACAD"/>
                <w:sz w:val="14"/>
              </w:rPr>
              <w:t>Joint Stakeholder short publications</w:t>
            </w:r>
          </w:p>
          <w:p w14:paraId="6FEB592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3EACAD"/>
                <w:sz w:val="14"/>
              </w:rPr>
              <w:t>Commissioned data stories and visualizations</w:t>
            </w:r>
          </w:p>
        </w:tc>
        <w:tc>
          <w:tcPr>
            <w:tcW w:w="1800" w:type="dxa"/>
          </w:tcPr>
          <w:p w14:paraId="32C7F8D9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414042"/>
                <w:sz w:val="14"/>
              </w:rPr>
              <w:t>Quarterly Progress Report Q3</w:t>
            </w:r>
          </w:p>
        </w:tc>
      </w:tr>
      <w:tr w:rsidR="0000518F" w:rsidRPr="007B3A56" w14:paraId="055A9C7C" w14:textId="77777777">
        <w:tc>
          <w:tcPr>
            <w:tcW w:w="1800" w:type="dxa"/>
            <w:shd w:val="clear" w:color="auto" w:fill="EFF9F9"/>
          </w:tcPr>
          <w:p w14:paraId="3C9619D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Oct2027</w:t>
            </w:r>
          </w:p>
        </w:tc>
        <w:tc>
          <w:tcPr>
            <w:tcW w:w="1800" w:type="dxa"/>
            <w:shd w:val="clear" w:color="auto" w:fill="EFF9F9"/>
          </w:tcPr>
          <w:p w14:paraId="656A8C19" w14:textId="77777777" w:rsidR="0000518F" w:rsidRPr="007B3A56" w:rsidRDefault="00000000">
            <w:pPr>
              <w:shd w:val="clear" w:color="auto" w:fill="2C7A7B"/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12"/>
              </w:rPr>
              <w:t>Roundtable</w:t>
            </w:r>
          </w:p>
          <w:p w14:paraId="438D74F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Roundtable Annual Meetings check-in</w:t>
            </w:r>
          </w:p>
        </w:tc>
        <w:tc>
          <w:tcPr>
            <w:tcW w:w="1800" w:type="dxa"/>
            <w:shd w:val="clear" w:color="auto" w:fill="EFF9F9"/>
          </w:tcPr>
          <w:p w14:paraId="24CE3347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EFF9F9"/>
          </w:tcPr>
          <w:p w14:paraId="15920010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EFF9F9"/>
          </w:tcPr>
          <w:p w14:paraId="1D19346A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EFF9F9"/>
          </w:tcPr>
          <w:p w14:paraId="6AFC8EBD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  <w:shd w:val="clear" w:color="auto" w:fill="EFF9F9"/>
          </w:tcPr>
          <w:p w14:paraId="75FCC664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3EACAD"/>
                <w:sz w:val="14"/>
              </w:rPr>
              <w:t>Joint Stakeholder short publications</w:t>
            </w:r>
          </w:p>
          <w:p w14:paraId="7D53F385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color w:val="3EACAD"/>
                <w:sz w:val="14"/>
              </w:rPr>
              <w:t>Commissioned data stories and visualizations</w:t>
            </w:r>
          </w:p>
        </w:tc>
        <w:tc>
          <w:tcPr>
            <w:tcW w:w="1800" w:type="dxa"/>
            <w:shd w:val="clear" w:color="auto" w:fill="EFF9F9"/>
          </w:tcPr>
          <w:p w14:paraId="18B225A3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</w:tr>
      <w:tr w:rsidR="0000518F" w:rsidRPr="007B3A56" w14:paraId="6A1767B6" w14:textId="77777777">
        <w:tc>
          <w:tcPr>
            <w:tcW w:w="1800" w:type="dxa"/>
          </w:tcPr>
          <w:p w14:paraId="0031F25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001E60"/>
                <w:sz w:val="16"/>
              </w:rPr>
              <w:t>Nov2027</w:t>
            </w:r>
          </w:p>
        </w:tc>
        <w:tc>
          <w:tcPr>
            <w:tcW w:w="1800" w:type="dxa"/>
          </w:tcPr>
          <w:p w14:paraId="172B2E1B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6E947941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50FCAAB4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082DA39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59EAB146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  <w:tc>
          <w:tcPr>
            <w:tcW w:w="1800" w:type="dxa"/>
          </w:tcPr>
          <w:p w14:paraId="1B9FB235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3EACAD"/>
                <w:sz w:val="14"/>
              </w:rPr>
              <w:t xml:space="preserve">• </w:t>
            </w:r>
            <w:r w:rsidRPr="007B3A56">
              <w:rPr>
                <w:rFonts w:ascii="Aptos" w:hAnsi="Aptos"/>
                <w:b/>
                <w:color w:val="001E60"/>
                <w:sz w:val="14"/>
              </w:rPr>
              <w:t>Grant Completion Report</w:t>
            </w:r>
          </w:p>
        </w:tc>
        <w:tc>
          <w:tcPr>
            <w:tcW w:w="1800" w:type="dxa"/>
          </w:tcPr>
          <w:p w14:paraId="588464AF" w14:textId="77777777" w:rsidR="0000518F" w:rsidRPr="007B3A56" w:rsidRDefault="00000000">
            <w:pPr>
              <w:spacing w:after="0" w:line="240" w:lineRule="auto"/>
              <w:rPr>
                <w:rFonts w:ascii="Aptos" w:hAnsi="Aptos"/>
              </w:rPr>
            </w:pPr>
            <w:r w:rsidRPr="007B3A56">
              <w:rPr>
                <w:rFonts w:ascii="Aptos" w:hAnsi="Aptos"/>
                <w:color w:val="414042"/>
                <w:sz w:val="14"/>
              </w:rPr>
              <w:t>—</w:t>
            </w:r>
          </w:p>
        </w:tc>
      </w:tr>
    </w:tbl>
    <w:p w14:paraId="1EF29EAA" w14:textId="77777777" w:rsidR="0000518F" w:rsidRPr="007B3A56" w:rsidRDefault="00000000">
      <w:pPr>
        <w:rPr>
          <w:rFonts w:ascii="Aptos" w:hAnsi="Aptos"/>
        </w:rPr>
      </w:pPr>
      <w:r w:rsidRPr="007B3A56">
        <w:rPr>
          <w:rFonts w:ascii="Aptos" w:hAnsi="Aptos"/>
        </w:rPr>
        <w:br w:type="page"/>
      </w:r>
    </w:p>
    <w:p w14:paraId="5CBDA8A9" w14:textId="77777777" w:rsidR="0000518F" w:rsidRPr="007B3A56" w:rsidRDefault="00000000">
      <w:pPr>
        <w:spacing w:after="60"/>
        <w:rPr>
          <w:rFonts w:ascii="Aptos" w:hAnsi="Aptos"/>
        </w:rPr>
      </w:pPr>
      <w:r w:rsidRPr="007B3A56">
        <w:rPr>
          <w:rFonts w:ascii="Aptos" w:hAnsi="Aptos"/>
          <w:b/>
          <w:color w:val="2E75B6"/>
          <w:sz w:val="18"/>
        </w:rPr>
        <w:lastRenderedPageBreak/>
        <w:t>SECTION 3</w:t>
      </w:r>
    </w:p>
    <w:p w14:paraId="72FC517B" w14:textId="77777777" w:rsidR="0000518F" w:rsidRPr="007B3A56" w:rsidRDefault="00000000">
      <w:pPr>
        <w:pStyle w:val="Heading1"/>
        <w:rPr>
          <w:rFonts w:ascii="Aptos" w:hAnsi="Aptos"/>
        </w:rPr>
      </w:pPr>
      <w:r w:rsidRPr="007B3A56">
        <w:rPr>
          <w:rFonts w:ascii="Aptos" w:hAnsi="Aptos"/>
        </w:rPr>
        <w:t>Decision Points</w:t>
      </w:r>
    </w:p>
    <w:p w14:paraId="54CEBFB6" w14:textId="77777777" w:rsidR="0000518F" w:rsidRPr="007B3A56" w:rsidRDefault="00000000">
      <w:pPr>
        <w:spacing w:after="120"/>
        <w:rPr>
          <w:rFonts w:ascii="Aptos" w:hAnsi="Aptos"/>
        </w:rPr>
      </w:pPr>
      <w:r w:rsidRPr="007B3A56">
        <w:rPr>
          <w:rFonts w:ascii="Aptos" w:hAnsi="Aptos"/>
        </w:rPr>
        <w:t>Four decision points are scheduled before launch. Each point requires the specified inputs and delivers a program-modification decision, as is needed.</w:t>
      </w:r>
    </w:p>
    <w:p w14:paraId="1A9D95D7" w14:textId="77777777" w:rsidR="0000518F" w:rsidRPr="007B3A56" w:rsidRDefault="00000000">
      <w:pPr>
        <w:spacing w:after="120"/>
        <w:rPr>
          <w:rFonts w:ascii="Aptos" w:hAnsi="Aptos"/>
        </w:rPr>
      </w:pPr>
      <w:r w:rsidRPr="007B3A56">
        <w:rPr>
          <w:rFonts w:ascii="Aptos" w:hAnsi="Aptos"/>
        </w:rPr>
        <w:t>If consensus fails at a TC-owned decision, the Terms of Reference require escalation to the Roundtable.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  <w:gridCol w:w="2880"/>
        <w:gridCol w:w="2880"/>
      </w:tblGrid>
      <w:tr w:rsidR="0000518F" w:rsidRPr="007B3A56" w14:paraId="2D520919" w14:textId="77777777">
        <w:tc>
          <w:tcPr>
            <w:tcW w:w="2880" w:type="dxa"/>
            <w:shd w:val="clear" w:color="auto" w:fill="1F3864"/>
          </w:tcPr>
          <w:p w14:paraId="2A8A2216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Point</w:t>
            </w:r>
          </w:p>
        </w:tc>
        <w:tc>
          <w:tcPr>
            <w:tcW w:w="2880" w:type="dxa"/>
            <w:shd w:val="clear" w:color="auto" w:fill="1F3864"/>
          </w:tcPr>
          <w:p w14:paraId="104A7CB0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Timing</w:t>
            </w:r>
          </w:p>
        </w:tc>
        <w:tc>
          <w:tcPr>
            <w:tcW w:w="2880" w:type="dxa"/>
            <w:shd w:val="clear" w:color="auto" w:fill="1F3864"/>
          </w:tcPr>
          <w:p w14:paraId="149E257C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Decision</w:t>
            </w:r>
          </w:p>
        </w:tc>
        <w:tc>
          <w:tcPr>
            <w:tcW w:w="2880" w:type="dxa"/>
            <w:shd w:val="clear" w:color="auto" w:fill="1F3864"/>
          </w:tcPr>
          <w:p w14:paraId="1210CCB5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Inputs Required</w:t>
            </w:r>
          </w:p>
        </w:tc>
        <w:tc>
          <w:tcPr>
            <w:tcW w:w="2880" w:type="dxa"/>
            <w:shd w:val="clear" w:color="auto" w:fill="1F3864"/>
          </w:tcPr>
          <w:p w14:paraId="2989FA3F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Owner / Venue</w:t>
            </w:r>
          </w:p>
        </w:tc>
      </w:tr>
      <w:tr w:rsidR="0000518F" w:rsidRPr="007B3A56" w14:paraId="7D944DF0" w14:textId="77777777">
        <w:tc>
          <w:tcPr>
            <w:tcW w:w="2880" w:type="dxa"/>
          </w:tcPr>
          <w:p w14:paraId="3F33BF20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1</w:t>
            </w:r>
          </w:p>
        </w:tc>
        <w:tc>
          <w:tcPr>
            <w:tcW w:w="2880" w:type="dxa"/>
          </w:tcPr>
          <w:p w14:paraId="3F380D8F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June 3, 2026</w:t>
            </w:r>
          </w:p>
        </w:tc>
        <w:tc>
          <w:tcPr>
            <w:tcW w:w="2880" w:type="dxa"/>
          </w:tcPr>
          <w:p w14:paraId="646D061B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Commitment signings by participating organizations</w:t>
            </w:r>
          </w:p>
        </w:tc>
        <w:tc>
          <w:tcPr>
            <w:tcW w:w="2880" w:type="dxa"/>
          </w:tcPr>
          <w:p w14:paraId="45902DDF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Finalized commitment text; leadership approvals from each participating org</w:t>
            </w:r>
          </w:p>
        </w:tc>
        <w:tc>
          <w:tcPr>
            <w:tcW w:w="2880" w:type="dxa"/>
          </w:tcPr>
          <w:p w14:paraId="473CABB6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DDP Annual Meetings</w:t>
            </w:r>
          </w:p>
        </w:tc>
      </w:tr>
      <w:tr w:rsidR="0000518F" w:rsidRPr="007B3A56" w14:paraId="09350BCE" w14:textId="77777777">
        <w:tc>
          <w:tcPr>
            <w:tcW w:w="2880" w:type="dxa"/>
          </w:tcPr>
          <w:p w14:paraId="3D7EF4D0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2</w:t>
            </w:r>
          </w:p>
        </w:tc>
        <w:tc>
          <w:tcPr>
            <w:tcW w:w="2880" w:type="dxa"/>
          </w:tcPr>
          <w:p w14:paraId="4A829685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September 2026</w:t>
            </w:r>
          </w:p>
        </w:tc>
        <w:tc>
          <w:tcPr>
            <w:tcW w:w="2880" w:type="dxa"/>
          </w:tcPr>
          <w:p w14:paraId="0ED546AF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MDLA roster adequacy — proceed with Tech Specs on current contributor set, or delay</w:t>
            </w:r>
          </w:p>
        </w:tc>
        <w:tc>
          <w:tcPr>
            <w:tcW w:w="2880" w:type="dxa"/>
          </w:tcPr>
          <w:p w14:paraId="27055D4D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MDLA status for all participating companies; synthetic data test results</w:t>
            </w:r>
          </w:p>
        </w:tc>
        <w:tc>
          <w:tcPr>
            <w:tcW w:w="2880" w:type="dxa"/>
          </w:tcPr>
          <w:p w14:paraId="13D90F85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Technical Committee (escalate to Roundtable if no consensus)</w:t>
            </w:r>
          </w:p>
        </w:tc>
      </w:tr>
      <w:tr w:rsidR="0000518F" w:rsidRPr="007B3A56" w14:paraId="12A3EDB0" w14:textId="77777777">
        <w:tc>
          <w:tcPr>
            <w:tcW w:w="2880" w:type="dxa"/>
          </w:tcPr>
          <w:p w14:paraId="531290F0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3</w:t>
            </w:r>
          </w:p>
        </w:tc>
        <w:tc>
          <w:tcPr>
            <w:tcW w:w="2880" w:type="dxa"/>
          </w:tcPr>
          <w:p w14:paraId="0A4F1C62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October 2026</w:t>
            </w:r>
          </w:p>
        </w:tc>
        <w:tc>
          <w:tcPr>
            <w:tcW w:w="2880" w:type="dxa"/>
          </w:tcPr>
          <w:p w14:paraId="1800A33C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Commitment 5 (Sector-Specific Policy Indicators) — proceed / modify / stop</w:t>
            </w:r>
          </w:p>
        </w:tc>
        <w:tc>
          <w:tcPr>
            <w:tcW w:w="2880" w:type="dxa"/>
          </w:tcPr>
          <w:p w14:paraId="6B830125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TC-prepared final scope &amp; terms; consolidated stakeholder consultation findings</w:t>
            </w:r>
          </w:p>
        </w:tc>
        <w:tc>
          <w:tcPr>
            <w:tcW w:w="2880" w:type="dxa"/>
          </w:tcPr>
          <w:p w14:paraId="1BCFEC2B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Roundtable (per Commitment 5 text)</w:t>
            </w:r>
          </w:p>
        </w:tc>
      </w:tr>
      <w:tr w:rsidR="0000518F" w:rsidRPr="007B3A56" w14:paraId="48536DA3" w14:textId="77777777">
        <w:tc>
          <w:tcPr>
            <w:tcW w:w="2880" w:type="dxa"/>
          </w:tcPr>
          <w:p w14:paraId="35E23807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4</w:t>
            </w:r>
          </w:p>
        </w:tc>
        <w:tc>
          <w:tcPr>
            <w:tcW w:w="2880" w:type="dxa"/>
          </w:tcPr>
          <w:p w14:paraId="428C3C22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June 2027</w:t>
            </w:r>
          </w:p>
        </w:tc>
        <w:tc>
          <w:tcPr>
            <w:tcW w:w="2880" w:type="dxa"/>
          </w:tcPr>
          <w:p w14:paraId="18EBCB28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Pre-publication final sign-off on First Iteration outputs</w:t>
            </w:r>
          </w:p>
        </w:tc>
        <w:tc>
          <w:tcPr>
            <w:tcW w:w="2880" w:type="dxa"/>
          </w:tcPr>
          <w:p w14:paraId="28DD791A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All company reviews complete; legal clearance per MDLA; IGO co-publication approvals</w:t>
            </w:r>
          </w:p>
        </w:tc>
        <w:tc>
          <w:tcPr>
            <w:tcW w:w="2880" w:type="dxa"/>
          </w:tcPr>
          <w:p w14:paraId="537B9D6E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Roundtable (virtual if needed)</w:t>
            </w:r>
          </w:p>
        </w:tc>
      </w:tr>
    </w:tbl>
    <w:p w14:paraId="43A1D68A" w14:textId="77777777" w:rsidR="0000518F" w:rsidRPr="007B3A56" w:rsidRDefault="00000000">
      <w:pPr>
        <w:rPr>
          <w:rFonts w:ascii="Aptos" w:hAnsi="Aptos"/>
        </w:rPr>
      </w:pPr>
      <w:r w:rsidRPr="007B3A56">
        <w:rPr>
          <w:rFonts w:ascii="Aptos" w:hAnsi="Aptos"/>
        </w:rPr>
        <w:br w:type="page"/>
      </w:r>
    </w:p>
    <w:p w14:paraId="32B03B2F" w14:textId="77777777" w:rsidR="0000518F" w:rsidRPr="007B3A56" w:rsidRDefault="00000000">
      <w:pPr>
        <w:spacing w:after="60"/>
        <w:rPr>
          <w:rFonts w:ascii="Aptos" w:hAnsi="Aptos"/>
        </w:rPr>
      </w:pPr>
      <w:r w:rsidRPr="007B3A56">
        <w:rPr>
          <w:rFonts w:ascii="Aptos" w:hAnsi="Aptos"/>
          <w:b/>
          <w:color w:val="2E75B6"/>
          <w:sz w:val="18"/>
        </w:rPr>
        <w:lastRenderedPageBreak/>
        <w:t>SECTION 4</w:t>
      </w:r>
    </w:p>
    <w:p w14:paraId="2DDB45C1" w14:textId="77777777" w:rsidR="0000518F" w:rsidRPr="007B3A56" w:rsidRDefault="00000000">
      <w:pPr>
        <w:pStyle w:val="Heading1"/>
        <w:rPr>
          <w:rFonts w:ascii="Aptos" w:hAnsi="Aptos"/>
        </w:rPr>
      </w:pPr>
      <w:r w:rsidRPr="007B3A56">
        <w:rPr>
          <w:rFonts w:ascii="Aptos" w:hAnsi="Aptos"/>
        </w:rPr>
        <w:t>AI Roundtable Touchpoints</w:t>
      </w:r>
    </w:p>
    <w:p w14:paraId="500FC21F" w14:textId="77777777" w:rsidR="0000518F" w:rsidRPr="007B3A56" w:rsidRDefault="00000000">
      <w:pPr>
        <w:spacing w:after="120"/>
        <w:rPr>
          <w:rFonts w:ascii="Aptos" w:hAnsi="Aptos"/>
        </w:rPr>
      </w:pPr>
      <w:r w:rsidRPr="007B3A56">
        <w:rPr>
          <w:rFonts w:ascii="Aptos" w:hAnsi="Aptos"/>
        </w:rPr>
        <w:t>Roundtable oversight is distributed across the project rather than concentrated at start and end. Natural IMF/WBG venues are leveraged where possible to minimize scheduling burden.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00"/>
        <w:gridCol w:w="4800"/>
        <w:gridCol w:w="4800"/>
      </w:tblGrid>
      <w:tr w:rsidR="0000518F" w:rsidRPr="007B3A56" w14:paraId="62951752" w14:textId="77777777">
        <w:tc>
          <w:tcPr>
            <w:tcW w:w="4800" w:type="dxa"/>
            <w:shd w:val="clear" w:color="auto" w:fill="1F3864"/>
          </w:tcPr>
          <w:p w14:paraId="07970445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Date</w:t>
            </w:r>
          </w:p>
        </w:tc>
        <w:tc>
          <w:tcPr>
            <w:tcW w:w="4800" w:type="dxa"/>
            <w:shd w:val="clear" w:color="auto" w:fill="1F3864"/>
          </w:tcPr>
          <w:p w14:paraId="478B78D9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Venue</w:t>
            </w:r>
          </w:p>
        </w:tc>
        <w:tc>
          <w:tcPr>
            <w:tcW w:w="4800" w:type="dxa"/>
            <w:shd w:val="clear" w:color="auto" w:fill="1F3864"/>
          </w:tcPr>
          <w:p w14:paraId="4CA7F5FF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Purpose</w:t>
            </w:r>
          </w:p>
        </w:tc>
      </w:tr>
      <w:tr w:rsidR="0000518F" w:rsidRPr="007B3A56" w14:paraId="77514814" w14:textId="77777777">
        <w:tc>
          <w:tcPr>
            <w:tcW w:w="4800" w:type="dxa"/>
          </w:tcPr>
          <w:p w14:paraId="0CAC7CE8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April 16, 2026</w:t>
            </w:r>
          </w:p>
        </w:tc>
        <w:tc>
          <w:tcPr>
            <w:tcW w:w="4800" w:type="dxa"/>
          </w:tcPr>
          <w:p w14:paraId="50409B22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In-person, IMF / World Bank Group Spring Meetings</w:t>
            </w:r>
          </w:p>
        </w:tc>
        <w:tc>
          <w:tcPr>
            <w:tcW w:w="4800" w:type="dxa"/>
          </w:tcPr>
          <w:p w14:paraId="598C52CC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Inaugural Roundtable: review commitments, Technical Committee updates, Anthropic MDLA signing</w:t>
            </w:r>
          </w:p>
        </w:tc>
      </w:tr>
      <w:tr w:rsidR="0000518F" w:rsidRPr="007B3A56" w14:paraId="7A41B661" w14:textId="77777777">
        <w:tc>
          <w:tcPr>
            <w:tcW w:w="4800" w:type="dxa"/>
          </w:tcPr>
          <w:p w14:paraId="04471DA8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October 2026</w:t>
            </w:r>
          </w:p>
        </w:tc>
        <w:tc>
          <w:tcPr>
            <w:tcW w:w="4800" w:type="dxa"/>
          </w:tcPr>
          <w:p w14:paraId="37496935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Virtual</w:t>
            </w:r>
          </w:p>
        </w:tc>
        <w:tc>
          <w:tcPr>
            <w:tcW w:w="4800" w:type="dxa"/>
          </w:tcPr>
          <w:p w14:paraId="1655F26B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Decision Gate 3: Commitment 5 (Sector-Specific Policy Indicators) proceed / modify / stop. Check-in on MDLA roster, harmonization framework preview; review/approve TC's Commitment 8 (research) scope</w:t>
            </w:r>
          </w:p>
        </w:tc>
      </w:tr>
      <w:tr w:rsidR="0000518F" w:rsidRPr="007B3A56" w14:paraId="33EEF553" w14:textId="77777777">
        <w:tc>
          <w:tcPr>
            <w:tcW w:w="4800" w:type="dxa"/>
          </w:tcPr>
          <w:p w14:paraId="45FE9A54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April 2027</w:t>
            </w:r>
          </w:p>
        </w:tc>
        <w:tc>
          <w:tcPr>
            <w:tcW w:w="4800" w:type="dxa"/>
          </w:tcPr>
          <w:p w14:paraId="5373625B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In-person, IMF / World Bank Group Spring Meetings</w:t>
            </w:r>
          </w:p>
        </w:tc>
        <w:tc>
          <w:tcPr>
            <w:tcW w:w="4800" w:type="dxa"/>
          </w:tcPr>
          <w:p w14:paraId="0C910EBC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Prototype review; approve First Iteration direction</w:t>
            </w:r>
          </w:p>
        </w:tc>
      </w:tr>
      <w:tr w:rsidR="0000518F" w:rsidRPr="007B3A56" w14:paraId="2F4B7301" w14:textId="77777777">
        <w:tc>
          <w:tcPr>
            <w:tcW w:w="4800" w:type="dxa"/>
          </w:tcPr>
          <w:p w14:paraId="71463F60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June 2027</w:t>
            </w:r>
          </w:p>
        </w:tc>
        <w:tc>
          <w:tcPr>
            <w:tcW w:w="4800" w:type="dxa"/>
          </w:tcPr>
          <w:p w14:paraId="2EFA37FE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Virtual (as needed)</w:t>
            </w:r>
          </w:p>
        </w:tc>
        <w:tc>
          <w:tcPr>
            <w:tcW w:w="4800" w:type="dxa"/>
          </w:tcPr>
          <w:p w14:paraId="5042D753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Decision Gate 4: Pre-publication final sign-off</w:t>
            </w:r>
          </w:p>
        </w:tc>
      </w:tr>
      <w:tr w:rsidR="0000518F" w:rsidRPr="007B3A56" w14:paraId="58C14624" w14:textId="77777777">
        <w:tc>
          <w:tcPr>
            <w:tcW w:w="4800" w:type="dxa"/>
          </w:tcPr>
          <w:p w14:paraId="7C87BDC2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July 2027</w:t>
            </w:r>
          </w:p>
        </w:tc>
        <w:tc>
          <w:tcPr>
            <w:tcW w:w="4800" w:type="dxa"/>
          </w:tcPr>
          <w:p w14:paraId="7E87B7DB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Global AI Summit, Switzerland</w:t>
            </w:r>
          </w:p>
        </w:tc>
        <w:tc>
          <w:tcPr>
            <w:tcW w:w="4800" w:type="dxa"/>
          </w:tcPr>
          <w:p w14:paraId="37A53A7B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Joint publication launch</w:t>
            </w:r>
          </w:p>
        </w:tc>
      </w:tr>
      <w:tr w:rsidR="0000518F" w:rsidRPr="007B3A56" w14:paraId="7A764BBA" w14:textId="77777777">
        <w:tc>
          <w:tcPr>
            <w:tcW w:w="4800" w:type="dxa"/>
          </w:tcPr>
          <w:p w14:paraId="09ACBB88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October 2027</w:t>
            </w:r>
          </w:p>
        </w:tc>
        <w:tc>
          <w:tcPr>
            <w:tcW w:w="4800" w:type="dxa"/>
          </w:tcPr>
          <w:p w14:paraId="42A30BD3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IMF / WBG Annual Meetings</w:t>
            </w:r>
          </w:p>
        </w:tc>
        <w:tc>
          <w:tcPr>
            <w:tcW w:w="4800" w:type="dxa"/>
          </w:tcPr>
          <w:p w14:paraId="04097912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Post-launch review, future roadmap</w:t>
            </w:r>
          </w:p>
        </w:tc>
      </w:tr>
    </w:tbl>
    <w:p w14:paraId="27441482" w14:textId="77777777" w:rsidR="0000518F" w:rsidRPr="007B3A56" w:rsidRDefault="00000000">
      <w:pPr>
        <w:rPr>
          <w:rFonts w:ascii="Aptos" w:hAnsi="Aptos"/>
        </w:rPr>
      </w:pPr>
      <w:r w:rsidRPr="007B3A56">
        <w:rPr>
          <w:rFonts w:ascii="Aptos" w:hAnsi="Aptos"/>
        </w:rPr>
        <w:br w:type="page"/>
      </w:r>
    </w:p>
    <w:p w14:paraId="79D39577" w14:textId="77777777" w:rsidR="0000518F" w:rsidRPr="007B3A56" w:rsidRDefault="00000000">
      <w:pPr>
        <w:spacing w:after="60"/>
        <w:rPr>
          <w:rFonts w:ascii="Aptos" w:hAnsi="Aptos"/>
        </w:rPr>
      </w:pPr>
      <w:r w:rsidRPr="007B3A56">
        <w:rPr>
          <w:rFonts w:ascii="Aptos" w:hAnsi="Aptos"/>
          <w:b/>
          <w:color w:val="2E75B6"/>
          <w:sz w:val="18"/>
        </w:rPr>
        <w:lastRenderedPageBreak/>
        <w:t>SECTION 5</w:t>
      </w:r>
    </w:p>
    <w:p w14:paraId="4519F90E" w14:textId="77777777" w:rsidR="0000518F" w:rsidRPr="007B3A56" w:rsidRDefault="00000000">
      <w:pPr>
        <w:pStyle w:val="Heading1"/>
        <w:rPr>
          <w:rFonts w:ascii="Aptos" w:hAnsi="Aptos"/>
        </w:rPr>
      </w:pPr>
      <w:r w:rsidRPr="007B3A56">
        <w:rPr>
          <w:rFonts w:ascii="Aptos" w:hAnsi="Aptos"/>
        </w:rPr>
        <w:t>Company Review &amp; Approval Windows</w:t>
      </w:r>
    </w:p>
    <w:p w14:paraId="10746D9F" w14:textId="77777777" w:rsidR="0000518F" w:rsidRPr="007B3A56" w:rsidRDefault="00000000">
      <w:pPr>
        <w:spacing w:after="120"/>
        <w:rPr>
          <w:rFonts w:ascii="Aptos" w:hAnsi="Aptos"/>
        </w:rPr>
      </w:pPr>
      <w:r w:rsidRPr="007B3A56">
        <w:rPr>
          <w:rFonts w:ascii="Aptos" w:hAnsi="Aptos"/>
        </w:rPr>
        <w:t>The Participant Principles require each participating company to review and approve any output derived from its data before publication.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600"/>
        <w:gridCol w:w="3600"/>
        <w:gridCol w:w="3600"/>
        <w:gridCol w:w="3600"/>
      </w:tblGrid>
      <w:tr w:rsidR="0000518F" w:rsidRPr="007B3A56" w14:paraId="63E4144D" w14:textId="77777777">
        <w:tc>
          <w:tcPr>
            <w:tcW w:w="3600" w:type="dxa"/>
            <w:shd w:val="clear" w:color="auto" w:fill="1F3864"/>
          </w:tcPr>
          <w:p w14:paraId="5D9E36F0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Deliverable</w:t>
            </w:r>
          </w:p>
        </w:tc>
        <w:tc>
          <w:tcPr>
            <w:tcW w:w="3600" w:type="dxa"/>
            <w:shd w:val="clear" w:color="auto" w:fill="1F3864"/>
          </w:tcPr>
          <w:p w14:paraId="19AE8EA6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Review Window</w:t>
            </w:r>
          </w:p>
        </w:tc>
        <w:tc>
          <w:tcPr>
            <w:tcW w:w="3600" w:type="dxa"/>
            <w:shd w:val="clear" w:color="auto" w:fill="1F3864"/>
          </w:tcPr>
          <w:p w14:paraId="58A33AA3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Duration</w:t>
            </w:r>
          </w:p>
        </w:tc>
        <w:tc>
          <w:tcPr>
            <w:tcW w:w="3600" w:type="dxa"/>
            <w:shd w:val="clear" w:color="auto" w:fill="1F3864"/>
          </w:tcPr>
          <w:p w14:paraId="090D723C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b/>
                <w:color w:val="FFFFFF"/>
                <w:sz w:val="20"/>
              </w:rPr>
              <w:t>Notes</w:t>
            </w:r>
          </w:p>
        </w:tc>
      </w:tr>
      <w:tr w:rsidR="0000518F" w:rsidRPr="007B3A56" w14:paraId="5DFE4E82" w14:textId="77777777">
        <w:tc>
          <w:tcPr>
            <w:tcW w:w="3600" w:type="dxa"/>
          </w:tcPr>
          <w:p w14:paraId="3FEBCA21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First Iteration (publication candidate)</w:t>
            </w:r>
          </w:p>
        </w:tc>
        <w:tc>
          <w:tcPr>
            <w:tcW w:w="3600" w:type="dxa"/>
          </w:tcPr>
          <w:p w14:paraId="53B62D01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May 2027</w:t>
            </w:r>
          </w:p>
        </w:tc>
        <w:tc>
          <w:tcPr>
            <w:tcW w:w="3600" w:type="dxa"/>
          </w:tcPr>
          <w:p w14:paraId="0EE9511D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4 weeks</w:t>
            </w:r>
          </w:p>
        </w:tc>
        <w:tc>
          <w:tcPr>
            <w:tcW w:w="3600" w:type="dxa"/>
          </w:tcPr>
          <w:p w14:paraId="27D97F88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All participating companies review in parallel; redlines consolidated by DDP Secretariat</w:t>
            </w:r>
          </w:p>
        </w:tc>
      </w:tr>
      <w:tr w:rsidR="0000518F" w:rsidRPr="007B3A56" w14:paraId="5B0A7763" w14:textId="77777777">
        <w:tc>
          <w:tcPr>
            <w:tcW w:w="3600" w:type="dxa"/>
          </w:tcPr>
          <w:p w14:paraId="0016C3B9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Final publication (post-revision)</w:t>
            </w:r>
          </w:p>
        </w:tc>
        <w:tc>
          <w:tcPr>
            <w:tcW w:w="3600" w:type="dxa"/>
          </w:tcPr>
          <w:p w14:paraId="045F324E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Jun 2027</w:t>
            </w:r>
          </w:p>
        </w:tc>
        <w:tc>
          <w:tcPr>
            <w:tcW w:w="3600" w:type="dxa"/>
          </w:tcPr>
          <w:p w14:paraId="53198040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2 weeks</w:t>
            </w:r>
          </w:p>
        </w:tc>
        <w:tc>
          <w:tcPr>
            <w:tcW w:w="3600" w:type="dxa"/>
          </w:tcPr>
          <w:p w14:paraId="1459FB4D" w14:textId="77777777" w:rsidR="0000518F" w:rsidRPr="007B3A56" w:rsidRDefault="00000000">
            <w:pPr>
              <w:rPr>
                <w:rFonts w:ascii="Aptos" w:hAnsi="Aptos"/>
              </w:rPr>
            </w:pPr>
            <w:r w:rsidRPr="007B3A56">
              <w:rPr>
                <w:rFonts w:ascii="Aptos" w:hAnsi="Aptos"/>
                <w:sz w:val="20"/>
              </w:rPr>
              <w:t>Confirmation that redlines are incorporated; Decision Gate 4</w:t>
            </w:r>
          </w:p>
        </w:tc>
      </w:tr>
    </w:tbl>
    <w:p w14:paraId="3B92F691" w14:textId="77777777" w:rsidR="0048112E" w:rsidRPr="007B3A56" w:rsidRDefault="0048112E">
      <w:pPr>
        <w:rPr>
          <w:rFonts w:ascii="Aptos" w:hAnsi="Aptos"/>
        </w:rPr>
      </w:pPr>
    </w:p>
    <w:sectPr w:rsidR="0048112E" w:rsidRPr="007B3A56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1173108">
    <w:abstractNumId w:val="8"/>
  </w:num>
  <w:num w:numId="2" w16cid:durableId="1628311960">
    <w:abstractNumId w:val="6"/>
  </w:num>
  <w:num w:numId="3" w16cid:durableId="1346396912">
    <w:abstractNumId w:val="5"/>
  </w:num>
  <w:num w:numId="4" w16cid:durableId="1014646182">
    <w:abstractNumId w:val="4"/>
  </w:num>
  <w:num w:numId="5" w16cid:durableId="371541530">
    <w:abstractNumId w:val="7"/>
  </w:num>
  <w:num w:numId="6" w16cid:durableId="595400922">
    <w:abstractNumId w:val="3"/>
  </w:num>
  <w:num w:numId="7" w16cid:durableId="1211527584">
    <w:abstractNumId w:val="2"/>
  </w:num>
  <w:num w:numId="8" w16cid:durableId="1645698294">
    <w:abstractNumId w:val="1"/>
  </w:num>
  <w:num w:numId="9" w16cid:durableId="1734431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18F"/>
    <w:rsid w:val="00034616"/>
    <w:rsid w:val="0006063C"/>
    <w:rsid w:val="0015074B"/>
    <w:rsid w:val="0029639D"/>
    <w:rsid w:val="00326F90"/>
    <w:rsid w:val="0048112E"/>
    <w:rsid w:val="00516A81"/>
    <w:rsid w:val="007B3A5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13F174"/>
  <w14:defaultImageDpi w14:val="300"/>
  <w15:docId w15:val="{901EBECC-DCF3-664F-874C-3C1DFD17F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1832</Words>
  <Characters>10446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Holly Krambeck</cp:lastModifiedBy>
  <cp:revision>2</cp:revision>
  <dcterms:created xsi:type="dcterms:W3CDTF">2013-12-23T23:15:00Z</dcterms:created>
  <dcterms:modified xsi:type="dcterms:W3CDTF">2026-04-27T02:05:00Z</dcterms:modified>
  <cp:category/>
</cp:coreProperties>
</file>