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x1kwimgun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and Health Factors Influencing National Happiness: A Cross-Country Analysis (2022)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i9iwf4ink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was to explore how economic prosperity and health outcomes relate to national happiness across countries using global development datasets.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atctioktv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Sources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World Happiness Report (2022) – Happiness Score</w:t>
        <w:br w:type="textWrapping"/>
        <w:t xml:space="preserve">• World Development Indicators (World Bank, 2022) – GDP per capita, Life Expectancy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9biso30r4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datasets were merged by country. Data cleaning was performed to resolve country-name mismatches. Scatter plots were created to visualize relationships between Happiness Score and selected development indicators.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tvmr8jldz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Used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Sheets, Google Drive, Gemini (for visualization), basic data cleaning techniques.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pvp6eegcd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Results &amp; Insights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• Countries with higher GDP per capita tend to report higher happiness scores.</w:t>
        <w:br w:type="textWrapping"/>
        <w:t xml:space="preserve"> • Life Expectancy shows a strong positive relationship with Happiness Score.</w:t>
        <w:br w:type="textWrapping"/>
        <w:t xml:space="preserve"> • The top 10 happiest countries are mostly high-income nations with high life expectancy.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4vdm96weo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suggests that economic prosperity and health outcomes play significant roles in national well-being. However, income alone does not fully explain happiness differences, indicating that social and governance factors may also contribute.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dk2b28dqa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study uses cross-sectional data for a single year (2022). Time-series analysis was not conducted due to limited availability of standardized historical happiness data.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