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Methodology</w:t>
      </w:r>
    </w:p>
    <w:p>
      <w:pPr>
        <w:pStyle w:val="Heading2"/>
      </w:pPr>
      <w:r>
        <w:t>Data Sources</w:t>
      </w:r>
    </w:p>
    <w:p>
      <w:r>
        <w:t>Two main types of data were combined:</w:t>
      </w:r>
    </w:p>
    <w:p>
      <w:r>
        <w:t>1. Official national indicators from the United Nations Sustainable Development Goals (SDG) database:</w:t>
        <w:br/>
        <w:t xml:space="preserve">   - SDG 17.8.1 — Individuals using the Internet (% of population)</w:t>
        <w:br/>
        <w:t xml:space="preserve">   - SDG 5.b.1 — Individuals owning a mobile phone (% of population)</w:t>
        <w:br/>
        <w:t xml:space="preserve">   For both indicators, values disaggregated by sex (FEMALE, MALE, BOTHSEX) were extracted for Morocco. Internet use corresponds to the year 2021, and mobile phone ownership to 2023.</w:t>
      </w:r>
    </w:p>
    <w:p>
      <w:r>
        <w:t>2. Meta (Facebook/Instagram) audience data, aggregated by region (ADM1). Variables include MonthlyActiveUsersMid_F (female users) and MonthlyActiveUsersMid_M (male users). Regional female and male population counts were used to compute usage rates and the Female-to-Male Facebook Usage Index (FM_index_ratio). Population data correspond to the most recent national demographic estimates.</w:t>
      </w:r>
    </w:p>
    <w:p>
      <w:pPr>
        <w:pStyle w:val="Heading2"/>
      </w:pPr>
      <w:r>
        <w:t>Step 1. Computation of the National Facebook Female-to-Male Ratio</w:t>
      </w:r>
    </w:p>
    <w:p>
      <w:r>
        <w:t>At the national level, the number of female and male Facebook users was divided by the corresponding female and male population totals to obtain usage rates:</w:t>
        <w:br/>
        <w:t>R_F = U_F / P_F,    R_M = U_M / P_M</w:t>
        <w:br/>
        <w:t>and the Facebook Female-to-Male index was calculated as:</w:t>
        <w:br/>
        <w:t>FM^Facebook_national = R_F / R_M</w:t>
      </w:r>
    </w:p>
    <w:p>
      <w:pPr>
        <w:pStyle w:val="Heading2"/>
      </w:pPr>
      <w:r>
        <w:t>Step 2. Computation of the National Internet and Mobile Female-to-Male Ratios</w:t>
      </w:r>
    </w:p>
    <w:p>
      <w:r>
        <w:t>From the SDG datasets, the female and male values (percent of population using the Internet or owning a mobile phone) were extracted for Morocco. Internet data correspond to 2021, and mobile data to 2023:</w:t>
        <w:br/>
        <w:t>FM^Internet_national = Value_F / Value_M,    FM^Mobile_national = Value_F / Value_M</w:t>
        <w:br/>
        <w:t>These ratios represent the official national gender gaps in internet and mobile access.</w:t>
      </w:r>
    </w:p>
    <w:p>
      <w:pPr>
        <w:pStyle w:val="Heading2"/>
      </w:pPr>
      <w:r>
        <w:t>Step 3. Regional Adjustment of Facebook-Based Ratios</w:t>
      </w:r>
    </w:p>
    <w:p>
      <w:r>
        <w:t>Because Facebook data tend to over-represent women relative to overall internet use, regional Facebook ratios were rescaled to match the national SDG gender gaps using proportional correction:</w:t>
        <w:br/>
        <w:t>FM^Internet_region = FM^Facebook_region × (FM^Internet_national / FM^Facebook_national)</w:t>
        <w:br/>
        <w:t>FM^Mobile_region = FM^Facebook_region × (FM^Mobile_national / FM^Facebook_national)</w:t>
        <w:br/>
        <w:t>This preserves the regional spatial pattern of digital engagement from Facebook while aligning the overall national level with official statistics.</w:t>
      </w:r>
    </w:p>
    <w:p>
      <w:pPr>
        <w:pStyle w:val="Heading2"/>
      </w:pPr>
      <w:r>
        <w:t>Step 4. Estimation of Gender-Specific Usage Rates by Region</w:t>
      </w:r>
    </w:p>
    <w:p>
      <w:r>
        <w:t>For each region, adjusted male and female usage rates were estimated so that their average equals the national overall rate from SDG data:</w:t>
        <w:br/>
        <w:t>male_rate_r = (2 × overall_national_rate) / (1 + FM^adj_r),    female_rate_r = FM^adj_r × male_rate_r</w:t>
        <w:br/>
        <w:t>This ensures consistency between regional estimates and the national average while reflecting spatial gender disparities.</w:t>
      </w:r>
    </w:p>
    <w:p>
      <w:pPr>
        <w:pStyle w:val="Heading2"/>
      </w:pPr>
      <w:r>
        <w:t>Step 5. Visualization</w:t>
      </w:r>
    </w:p>
    <w:p>
      <w:r>
        <w:t>The resulting indices and estimated usage rates were linked to Morocco’s administrative-level shapefile (ADM1). Choropleth maps were produced for the adjusted female-to-male internet and mobile usage indices. Regions were colored according to their index values, and the corresponding numeric ratio was displayed within each polygon. Regions without data were represented with hatched shading.</w:t>
      </w:r>
    </w:p>
    <w:p>
      <w:pPr>
        <w:pStyle w:val="Heading2"/>
      </w:pPr>
      <w:r>
        <w:t>Interpretation</w:t>
      </w:r>
    </w:p>
    <w:p>
      <w:r>
        <w:t>Values of the adjusted indices above 1 indicate that, within a given region, women are proportionally more likely to use the Internet (or own a mobile phone) than men; values below 1 indicate the opposite. This method enables a spatially disaggregated, gender-sensitive approximation of digital access that remains aligned with official national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