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1F3" w:rsidRDefault="002411F3" w:rsidP="002411F3">
      <w:pPr>
        <w:pStyle w:val="AMIATitle"/>
      </w:pPr>
      <w:r>
        <w:t>A Comparative Study of Co-reference Resolution in Clinical Text</w:t>
      </w:r>
    </w:p>
    <w:p w:rsidR="002411F3" w:rsidRDefault="002411F3" w:rsidP="002411F3">
      <w:pPr>
        <w:pStyle w:val="AMIAAuthors"/>
      </w:pPr>
      <w:r>
        <w:t>David Hinote</w:t>
      </w:r>
      <w:r>
        <w:rPr>
          <w:vertAlign w:val="superscript"/>
        </w:rPr>
        <w:t>1</w:t>
      </w:r>
      <w:r>
        <w:t>, Carlos Ramirez</w:t>
      </w:r>
      <w:r>
        <w:rPr>
          <w:vertAlign w:val="superscript"/>
        </w:rPr>
        <w:t>2</w:t>
      </w:r>
      <w:r>
        <w:t>, Ping Chen</w:t>
      </w:r>
      <w:r>
        <w:rPr>
          <w:vertAlign w:val="superscript"/>
        </w:rPr>
        <w:t>1</w:t>
      </w:r>
    </w:p>
    <w:p w:rsidR="007F343A" w:rsidRPr="002411F3" w:rsidRDefault="002411F3" w:rsidP="002411F3">
      <w:pPr>
        <w:pStyle w:val="AMIAAffiliations"/>
        <w:rPr>
          <w:szCs w:val="24"/>
        </w:rPr>
        <w:sectPr w:rsidR="007F343A" w:rsidRPr="002411F3" w:rsidSect="001D5D81">
          <w:footerReference w:type="even" r:id="rId7"/>
          <w:footerReference w:type="default" r:id="rId8"/>
          <w:type w:val="continuous"/>
          <w:pgSz w:w="12240" w:h="15840" w:code="1"/>
          <w:pgMar w:top="1440" w:right="1440" w:bottom="1440" w:left="1440" w:header="720" w:footer="720" w:gutter="0"/>
          <w:cols w:space="720"/>
        </w:sectPr>
      </w:pPr>
      <w:r>
        <w:rPr>
          <w:vertAlign w:val="superscript"/>
        </w:rPr>
        <w:t>1</w:t>
      </w:r>
      <w:r>
        <w:t xml:space="preserve">University of Houston - Downtown, Houston, TX; </w:t>
      </w:r>
      <w:r>
        <w:rPr>
          <w:vertAlign w:val="superscript"/>
        </w:rPr>
        <w:t>2</w:t>
      </w:r>
      <w:r>
        <w:rPr>
          <w:szCs w:val="24"/>
        </w:rPr>
        <w:t>University of Puerto Rico,</w:t>
      </w:r>
      <w:r>
        <w:rPr>
          <w:rStyle w:val="apple-style-span"/>
          <w:shd w:val="clear" w:color="auto" w:fill="FFFFFF"/>
        </w:rPr>
        <w:t xml:space="preserve"> Río </w:t>
      </w:r>
      <w:proofErr w:type="spellStart"/>
      <w:r>
        <w:rPr>
          <w:rStyle w:val="apple-style-span"/>
          <w:shd w:val="clear" w:color="auto" w:fill="FFFFFF"/>
        </w:rPr>
        <w:t>Piedra</w:t>
      </w:r>
      <w:proofErr w:type="spellEnd"/>
      <w:r>
        <w:rPr>
          <w:rStyle w:val="apple-style-span"/>
          <w:rFonts w:eastAsia="Malgun Gothic"/>
          <w:shd w:val="clear" w:color="auto" w:fill="FFFFFF"/>
        </w:rPr>
        <w:t>, PR</w:t>
      </w:r>
    </w:p>
    <w:p w:rsidR="007F343A" w:rsidRDefault="007F343A" w:rsidP="00940944">
      <w:pPr>
        <w:pStyle w:val="AMIAAbstractHeading"/>
        <w:rPr>
          <w:sz w:val="24"/>
          <w:szCs w:val="24"/>
        </w:rPr>
      </w:pPr>
    </w:p>
    <w:p w:rsidR="00781CE1" w:rsidRPr="007A2879" w:rsidRDefault="000876BD" w:rsidP="00940944">
      <w:pPr>
        <w:pStyle w:val="AMIAAbstractHeading"/>
        <w:rPr>
          <w:sz w:val="24"/>
          <w:szCs w:val="24"/>
        </w:rPr>
      </w:pPr>
      <w:r w:rsidRPr="007A2879">
        <w:rPr>
          <w:sz w:val="24"/>
          <w:szCs w:val="24"/>
        </w:rPr>
        <w:t>Abstract</w:t>
      </w:r>
    </w:p>
    <w:p w:rsidR="007029E9" w:rsidRDefault="002F01B4" w:rsidP="000D4031">
      <w:pPr>
        <w:pStyle w:val="AMIAAbstract"/>
        <w:spacing w:line="276" w:lineRule="auto"/>
        <w:rPr>
          <w:sz w:val="22"/>
          <w:szCs w:val="22"/>
        </w:rPr>
      </w:pPr>
      <w:r w:rsidRPr="007A2879">
        <w:rPr>
          <w:sz w:val="22"/>
          <w:szCs w:val="22"/>
        </w:rPr>
        <w:t>The 2011 I2B2 challenge involves co</w:t>
      </w:r>
      <w:r w:rsidR="007A2879">
        <w:rPr>
          <w:sz w:val="22"/>
          <w:szCs w:val="22"/>
        </w:rPr>
        <w:t>-</w:t>
      </w:r>
      <w:r w:rsidRPr="007A2879">
        <w:rPr>
          <w:sz w:val="22"/>
          <w:szCs w:val="22"/>
        </w:rPr>
        <w:t>reference resolution. Concept mentions have been annotated in clinical tex</w:t>
      </w:r>
      <w:r w:rsidR="00971EFA" w:rsidRPr="007A2879">
        <w:rPr>
          <w:sz w:val="22"/>
          <w:szCs w:val="22"/>
        </w:rPr>
        <w:t>ts, and the mentions which co</w:t>
      </w:r>
      <w:r w:rsidR="007A2879">
        <w:rPr>
          <w:sz w:val="22"/>
          <w:szCs w:val="22"/>
        </w:rPr>
        <w:t>-</w:t>
      </w:r>
      <w:r w:rsidR="00971EFA" w:rsidRPr="007A2879">
        <w:rPr>
          <w:sz w:val="22"/>
          <w:szCs w:val="22"/>
        </w:rPr>
        <w:t xml:space="preserve">refer </w:t>
      </w:r>
      <w:r w:rsidR="0037518B" w:rsidRPr="007A2879">
        <w:rPr>
          <w:sz w:val="22"/>
          <w:szCs w:val="22"/>
        </w:rPr>
        <w:t>in</w:t>
      </w:r>
      <w:r w:rsidR="00971EFA" w:rsidRPr="007A2879">
        <w:rPr>
          <w:sz w:val="22"/>
          <w:szCs w:val="22"/>
        </w:rPr>
        <w:t xml:space="preserve"> each document are to be linked by</w:t>
      </w:r>
      <w:r w:rsidR="00002763" w:rsidRPr="007A2879">
        <w:rPr>
          <w:sz w:val="22"/>
          <w:szCs w:val="22"/>
        </w:rPr>
        <w:t xml:space="preserve"> co</w:t>
      </w:r>
      <w:r w:rsidR="007A2879">
        <w:rPr>
          <w:sz w:val="22"/>
          <w:szCs w:val="22"/>
        </w:rPr>
        <w:t>-</w:t>
      </w:r>
      <w:r w:rsidR="00002763" w:rsidRPr="007A2879">
        <w:rPr>
          <w:sz w:val="22"/>
          <w:szCs w:val="22"/>
        </w:rPr>
        <w:t xml:space="preserve">reference chains.  </w:t>
      </w:r>
      <w:r w:rsidR="0067779C" w:rsidRPr="007A2879">
        <w:rPr>
          <w:sz w:val="22"/>
          <w:szCs w:val="22"/>
        </w:rPr>
        <w:t>Normally, there are</w:t>
      </w:r>
      <w:r w:rsidR="00002763" w:rsidRPr="007A2879">
        <w:rPr>
          <w:sz w:val="22"/>
          <w:szCs w:val="22"/>
        </w:rPr>
        <w:t xml:space="preserve"> two ways of constructing a system to </w:t>
      </w:r>
      <w:r w:rsidR="00303A06">
        <w:rPr>
          <w:sz w:val="22"/>
          <w:szCs w:val="22"/>
        </w:rPr>
        <w:t xml:space="preserve">automatically </w:t>
      </w:r>
      <w:r w:rsidR="00002763" w:rsidRPr="007A2879">
        <w:rPr>
          <w:sz w:val="22"/>
          <w:szCs w:val="22"/>
        </w:rPr>
        <w:t>discover co</w:t>
      </w:r>
      <w:r w:rsidR="007A2879">
        <w:rPr>
          <w:sz w:val="22"/>
          <w:szCs w:val="22"/>
        </w:rPr>
        <w:t>-</w:t>
      </w:r>
      <w:r w:rsidR="00002763" w:rsidRPr="007A2879">
        <w:rPr>
          <w:sz w:val="22"/>
          <w:szCs w:val="22"/>
        </w:rPr>
        <w:t xml:space="preserve">referent links. </w:t>
      </w:r>
      <w:r w:rsidR="003852AA" w:rsidRPr="007A2879">
        <w:rPr>
          <w:sz w:val="22"/>
          <w:szCs w:val="22"/>
        </w:rPr>
        <w:t xml:space="preserve">One is to manually build </w:t>
      </w:r>
      <w:r w:rsidR="00002763" w:rsidRPr="007A2879">
        <w:rPr>
          <w:sz w:val="22"/>
          <w:szCs w:val="22"/>
        </w:rPr>
        <w:t>rule</w:t>
      </w:r>
      <w:r w:rsidR="003852AA" w:rsidRPr="007A2879">
        <w:rPr>
          <w:sz w:val="22"/>
          <w:szCs w:val="22"/>
        </w:rPr>
        <w:t>s for co</w:t>
      </w:r>
      <w:r w:rsidR="007A2879">
        <w:rPr>
          <w:sz w:val="22"/>
          <w:szCs w:val="22"/>
        </w:rPr>
        <w:t>-</w:t>
      </w:r>
      <w:r w:rsidR="003852AA" w:rsidRPr="007A2879">
        <w:rPr>
          <w:sz w:val="22"/>
          <w:szCs w:val="22"/>
        </w:rPr>
        <w:t>reference</w:t>
      </w:r>
      <w:r w:rsidR="007A2879">
        <w:rPr>
          <w:sz w:val="22"/>
          <w:szCs w:val="22"/>
        </w:rPr>
        <w:t xml:space="preserve"> </w:t>
      </w:r>
      <w:r w:rsidR="0037518B" w:rsidRPr="007A2879">
        <w:rPr>
          <w:sz w:val="22"/>
          <w:szCs w:val="22"/>
        </w:rPr>
        <w:t>(a rule based approach)</w:t>
      </w:r>
      <w:r w:rsidR="003852AA" w:rsidRPr="007A2879">
        <w:rPr>
          <w:sz w:val="22"/>
          <w:szCs w:val="22"/>
        </w:rPr>
        <w:t xml:space="preserve">, </w:t>
      </w:r>
      <w:r w:rsidR="00002763" w:rsidRPr="007A2879">
        <w:rPr>
          <w:sz w:val="22"/>
          <w:szCs w:val="22"/>
        </w:rPr>
        <w:t xml:space="preserve">and </w:t>
      </w:r>
      <w:r w:rsidR="003852AA" w:rsidRPr="007A2879">
        <w:rPr>
          <w:sz w:val="22"/>
          <w:szCs w:val="22"/>
        </w:rPr>
        <w:t xml:space="preserve">the other is to use </w:t>
      </w:r>
      <w:r w:rsidR="00002763" w:rsidRPr="007A2879">
        <w:rPr>
          <w:sz w:val="22"/>
          <w:szCs w:val="22"/>
        </w:rPr>
        <w:t>machine learning algorithms</w:t>
      </w:r>
      <w:r w:rsidR="003852AA" w:rsidRPr="007A2879">
        <w:rPr>
          <w:sz w:val="22"/>
          <w:szCs w:val="22"/>
        </w:rPr>
        <w:t xml:space="preserve"> to build the rules automatically</w:t>
      </w:r>
      <w:r w:rsidR="007A2879">
        <w:rPr>
          <w:sz w:val="22"/>
          <w:szCs w:val="22"/>
        </w:rPr>
        <w:t xml:space="preserve"> </w:t>
      </w:r>
      <w:r w:rsidR="0037518B" w:rsidRPr="007A2879">
        <w:rPr>
          <w:sz w:val="22"/>
          <w:szCs w:val="22"/>
        </w:rPr>
        <w:t>(a machine learning approach)</w:t>
      </w:r>
      <w:r w:rsidR="00002763" w:rsidRPr="007A2879">
        <w:rPr>
          <w:sz w:val="22"/>
          <w:szCs w:val="22"/>
        </w:rPr>
        <w:t xml:space="preserve">. </w:t>
      </w:r>
      <w:r w:rsidR="0037518B" w:rsidRPr="007A2879">
        <w:rPr>
          <w:sz w:val="22"/>
          <w:szCs w:val="22"/>
        </w:rPr>
        <w:t xml:space="preserve"> </w:t>
      </w:r>
      <w:r w:rsidR="0067779C" w:rsidRPr="007A2879">
        <w:rPr>
          <w:sz w:val="22"/>
          <w:szCs w:val="22"/>
        </w:rPr>
        <w:t>There have been systems developed for co</w:t>
      </w:r>
      <w:r w:rsidR="007A2879">
        <w:rPr>
          <w:sz w:val="22"/>
          <w:szCs w:val="22"/>
        </w:rPr>
        <w:t>-</w:t>
      </w:r>
      <w:r w:rsidR="00303A06">
        <w:rPr>
          <w:sz w:val="22"/>
          <w:szCs w:val="22"/>
        </w:rPr>
        <w:t>reference resolution</w:t>
      </w:r>
      <w:r w:rsidR="0067779C" w:rsidRPr="007A2879">
        <w:rPr>
          <w:sz w:val="22"/>
          <w:szCs w:val="22"/>
        </w:rPr>
        <w:t xml:space="preserve"> by various organizations. </w:t>
      </w:r>
      <w:r w:rsidR="0037518B" w:rsidRPr="007A2879">
        <w:rPr>
          <w:sz w:val="22"/>
          <w:szCs w:val="22"/>
        </w:rPr>
        <w:t xml:space="preserve">The aim of this study </w:t>
      </w:r>
      <w:r w:rsidR="003852AA" w:rsidRPr="007A2879">
        <w:rPr>
          <w:sz w:val="22"/>
          <w:szCs w:val="22"/>
        </w:rPr>
        <w:t>was</w:t>
      </w:r>
      <w:r w:rsidR="0037518B" w:rsidRPr="007A2879">
        <w:rPr>
          <w:sz w:val="22"/>
          <w:szCs w:val="22"/>
        </w:rPr>
        <w:t xml:space="preserve"> to use</w:t>
      </w:r>
      <w:r w:rsidR="00002763" w:rsidRPr="007A2879">
        <w:rPr>
          <w:sz w:val="22"/>
          <w:szCs w:val="22"/>
        </w:rPr>
        <w:t xml:space="preserve"> </w:t>
      </w:r>
      <w:r w:rsidR="0067779C" w:rsidRPr="007A2879">
        <w:rPr>
          <w:sz w:val="22"/>
          <w:szCs w:val="22"/>
        </w:rPr>
        <w:t xml:space="preserve">the </w:t>
      </w:r>
      <w:r w:rsidR="00002763" w:rsidRPr="007A2879">
        <w:rPr>
          <w:sz w:val="22"/>
          <w:szCs w:val="22"/>
        </w:rPr>
        <w:t xml:space="preserve">systems </w:t>
      </w:r>
      <w:r w:rsidR="0067779C" w:rsidRPr="007A2879">
        <w:rPr>
          <w:sz w:val="22"/>
          <w:szCs w:val="22"/>
        </w:rPr>
        <w:t xml:space="preserve">which are </w:t>
      </w:r>
      <w:r w:rsidR="00002763" w:rsidRPr="007A2879">
        <w:rPr>
          <w:sz w:val="22"/>
          <w:szCs w:val="22"/>
        </w:rPr>
        <w:t>pub</w:t>
      </w:r>
      <w:r w:rsidR="0067779C" w:rsidRPr="007A2879">
        <w:rPr>
          <w:sz w:val="22"/>
          <w:szCs w:val="22"/>
        </w:rPr>
        <w:t>licly available</w:t>
      </w:r>
      <w:r w:rsidR="003852AA" w:rsidRPr="007A2879">
        <w:rPr>
          <w:sz w:val="22"/>
          <w:szCs w:val="22"/>
        </w:rPr>
        <w:t>,</w:t>
      </w:r>
      <w:r w:rsidR="00002763" w:rsidRPr="007A2879">
        <w:rPr>
          <w:sz w:val="22"/>
          <w:szCs w:val="22"/>
        </w:rPr>
        <w:t xml:space="preserve"> as well as build</w:t>
      </w:r>
      <w:r w:rsidR="003852AA" w:rsidRPr="007A2879">
        <w:rPr>
          <w:sz w:val="22"/>
          <w:szCs w:val="22"/>
        </w:rPr>
        <w:t xml:space="preserve"> a</w:t>
      </w:r>
      <w:r w:rsidR="00002763" w:rsidRPr="007A2879">
        <w:rPr>
          <w:sz w:val="22"/>
          <w:szCs w:val="22"/>
        </w:rPr>
        <w:t xml:space="preserve"> system tailored for this challenge</w:t>
      </w:r>
      <w:r w:rsidR="003852AA" w:rsidRPr="007A2879">
        <w:rPr>
          <w:sz w:val="22"/>
          <w:szCs w:val="22"/>
        </w:rPr>
        <w:t xml:space="preserve"> using a rule based algorithm</w:t>
      </w:r>
      <w:r w:rsidR="00C8729C" w:rsidRPr="007A2879">
        <w:rPr>
          <w:sz w:val="22"/>
          <w:szCs w:val="22"/>
        </w:rPr>
        <w:t>, and test these systems</w:t>
      </w:r>
      <w:r w:rsidR="0037518B" w:rsidRPr="007A2879">
        <w:rPr>
          <w:sz w:val="22"/>
          <w:szCs w:val="22"/>
        </w:rPr>
        <w:t xml:space="preserve"> on the data provided for this challenge</w:t>
      </w:r>
      <w:r w:rsidR="00002763" w:rsidRPr="007A2879">
        <w:rPr>
          <w:sz w:val="22"/>
          <w:szCs w:val="22"/>
        </w:rPr>
        <w:t>.</w:t>
      </w:r>
      <w:r w:rsidR="003852AA" w:rsidRPr="007A2879">
        <w:rPr>
          <w:sz w:val="22"/>
          <w:szCs w:val="22"/>
        </w:rPr>
        <w:t xml:space="preserve"> The study shows the publically available systems do manage to find some</w:t>
      </w:r>
      <w:r w:rsidR="0037518B" w:rsidRPr="007A2879">
        <w:rPr>
          <w:sz w:val="22"/>
          <w:szCs w:val="22"/>
        </w:rPr>
        <w:t xml:space="preserve"> </w:t>
      </w:r>
      <w:r w:rsidR="003852AA" w:rsidRPr="007A2879">
        <w:rPr>
          <w:sz w:val="22"/>
          <w:szCs w:val="22"/>
        </w:rPr>
        <w:t>of the co</w:t>
      </w:r>
      <w:r w:rsidR="007A2879">
        <w:rPr>
          <w:sz w:val="22"/>
          <w:szCs w:val="22"/>
        </w:rPr>
        <w:t>-</w:t>
      </w:r>
      <w:r w:rsidR="003852AA" w:rsidRPr="007A2879">
        <w:rPr>
          <w:sz w:val="22"/>
          <w:szCs w:val="22"/>
        </w:rPr>
        <w:t>referent links,</w:t>
      </w:r>
      <w:r w:rsidR="0037518B" w:rsidRPr="007A2879">
        <w:rPr>
          <w:sz w:val="22"/>
          <w:szCs w:val="22"/>
        </w:rPr>
        <w:t xml:space="preserve"> and the rule based system developed </w:t>
      </w:r>
      <w:r w:rsidR="0067779C" w:rsidRPr="007A2879">
        <w:rPr>
          <w:sz w:val="22"/>
          <w:szCs w:val="22"/>
        </w:rPr>
        <w:t xml:space="preserve">for this challenge </w:t>
      </w:r>
      <w:r w:rsidR="0037518B" w:rsidRPr="007A2879">
        <w:rPr>
          <w:sz w:val="22"/>
          <w:szCs w:val="22"/>
        </w:rPr>
        <w:t>performs well find</w:t>
      </w:r>
      <w:r w:rsidR="00D53A7D">
        <w:rPr>
          <w:sz w:val="22"/>
          <w:szCs w:val="22"/>
        </w:rPr>
        <w:t>ing</w:t>
      </w:r>
      <w:r w:rsidR="0037518B" w:rsidRPr="007A2879">
        <w:rPr>
          <w:sz w:val="22"/>
          <w:szCs w:val="22"/>
        </w:rPr>
        <w:t xml:space="preserve"> the majority of the co</w:t>
      </w:r>
      <w:r w:rsidR="007A2879">
        <w:rPr>
          <w:sz w:val="22"/>
          <w:szCs w:val="22"/>
        </w:rPr>
        <w:t>-</w:t>
      </w:r>
      <w:r w:rsidR="0037518B" w:rsidRPr="007A2879">
        <w:rPr>
          <w:sz w:val="22"/>
          <w:szCs w:val="22"/>
        </w:rPr>
        <w:t>referent links</w:t>
      </w:r>
      <w:r w:rsidR="00822D83" w:rsidRPr="007A2879">
        <w:rPr>
          <w:sz w:val="22"/>
          <w:szCs w:val="22"/>
        </w:rPr>
        <w:t xml:space="preserve">.  The system that was used to provide the final outputs for the challenge had at highest a </w:t>
      </w:r>
      <w:r w:rsidR="00BB05DA">
        <w:rPr>
          <w:sz w:val="22"/>
          <w:szCs w:val="22"/>
        </w:rPr>
        <w:t>91</w:t>
      </w:r>
      <w:r w:rsidR="00822D83" w:rsidRPr="007A2879">
        <w:rPr>
          <w:sz w:val="22"/>
          <w:szCs w:val="22"/>
        </w:rPr>
        <w:t>% overall performance</w:t>
      </w:r>
      <w:r w:rsidR="00BB05DA">
        <w:rPr>
          <w:sz w:val="22"/>
          <w:szCs w:val="22"/>
        </w:rPr>
        <w:t xml:space="preserve"> average</w:t>
      </w:r>
      <w:r w:rsidR="00822D83" w:rsidRPr="007A2879">
        <w:rPr>
          <w:sz w:val="22"/>
          <w:szCs w:val="22"/>
        </w:rPr>
        <w:t xml:space="preserve"> when cross-</w:t>
      </w:r>
      <w:r w:rsidR="00BB05DA">
        <w:rPr>
          <w:sz w:val="22"/>
          <w:szCs w:val="22"/>
        </w:rPr>
        <w:t>checked</w:t>
      </w:r>
      <w:r w:rsidR="00822D83" w:rsidRPr="007A2879">
        <w:rPr>
          <w:sz w:val="22"/>
          <w:szCs w:val="22"/>
        </w:rPr>
        <w:t xml:space="preserve"> with the data used for development.</w:t>
      </w:r>
    </w:p>
    <w:p w:rsidR="007F343A" w:rsidRPr="007A2879" w:rsidRDefault="007F343A" w:rsidP="000D4031">
      <w:pPr>
        <w:pStyle w:val="AMIAAbstract"/>
        <w:spacing w:line="276" w:lineRule="auto"/>
        <w:rPr>
          <w:sz w:val="22"/>
          <w:szCs w:val="22"/>
        </w:rPr>
      </w:pPr>
    </w:p>
    <w:p w:rsidR="00781CE1" w:rsidRPr="007029E9" w:rsidRDefault="000876BD" w:rsidP="00940944">
      <w:pPr>
        <w:pStyle w:val="AMIAHeading"/>
        <w:rPr>
          <w:sz w:val="22"/>
          <w:szCs w:val="22"/>
        </w:rPr>
      </w:pPr>
      <w:r w:rsidRPr="007029E9">
        <w:rPr>
          <w:sz w:val="22"/>
          <w:szCs w:val="22"/>
        </w:rPr>
        <w:t>Introduction</w:t>
      </w:r>
    </w:p>
    <w:p w:rsidR="007029E9" w:rsidRDefault="0067779C" w:rsidP="000D4031">
      <w:pPr>
        <w:pStyle w:val="AMIABodyText"/>
        <w:spacing w:line="276" w:lineRule="auto"/>
        <w:rPr>
          <w:sz w:val="22"/>
          <w:szCs w:val="22"/>
        </w:rPr>
      </w:pPr>
      <w:r w:rsidRPr="007A2879">
        <w:rPr>
          <w:sz w:val="22"/>
          <w:szCs w:val="22"/>
        </w:rPr>
        <w:t>Co</w:t>
      </w:r>
      <w:r w:rsidR="007A2879">
        <w:rPr>
          <w:sz w:val="22"/>
          <w:szCs w:val="22"/>
        </w:rPr>
        <w:t>-</w:t>
      </w:r>
      <w:r w:rsidRPr="007A2879">
        <w:rPr>
          <w:sz w:val="22"/>
          <w:szCs w:val="22"/>
        </w:rPr>
        <w:t>reference resolution is the process of linking together concepts which refer to the same entity.  In this challenge</w:t>
      </w:r>
      <w:r w:rsidR="00CA24C3">
        <w:rPr>
          <w:sz w:val="22"/>
          <w:szCs w:val="22"/>
        </w:rPr>
        <w:t>, hosted by i2b2 (Informatics for Integrating Biology &amp; the Bedside)</w:t>
      </w:r>
      <w:r w:rsidRPr="007A2879">
        <w:rPr>
          <w:sz w:val="22"/>
          <w:szCs w:val="22"/>
        </w:rPr>
        <w:t xml:space="preserve">, </w:t>
      </w:r>
      <w:r w:rsidR="00B579FA" w:rsidRPr="007A2879">
        <w:rPr>
          <w:sz w:val="22"/>
          <w:szCs w:val="22"/>
        </w:rPr>
        <w:t>annotated data has been provided by four institutions:</w:t>
      </w:r>
      <w:r w:rsidR="00CA24C3">
        <w:rPr>
          <w:sz w:val="22"/>
          <w:szCs w:val="22"/>
        </w:rPr>
        <w:t xml:space="preserve"> </w:t>
      </w:r>
      <w:r w:rsidR="00B579FA" w:rsidRPr="007A2879">
        <w:rPr>
          <w:sz w:val="22"/>
          <w:szCs w:val="22"/>
        </w:rPr>
        <w:t xml:space="preserve">Partners HealthCare, Beth Israel Deaconess Medical Center, The University of Pittsburgh, and the Mayo Clinic. </w:t>
      </w:r>
      <w:r w:rsidR="00E75F59">
        <w:rPr>
          <w:sz w:val="22"/>
          <w:szCs w:val="22"/>
        </w:rPr>
        <w:t xml:space="preserve">This data includes the original texts for each </w:t>
      </w:r>
      <w:r w:rsidR="00D53A7D">
        <w:rPr>
          <w:sz w:val="22"/>
          <w:szCs w:val="22"/>
        </w:rPr>
        <w:t>document</w:t>
      </w:r>
      <w:r w:rsidR="00E75F59">
        <w:rPr>
          <w:sz w:val="22"/>
          <w:szCs w:val="22"/>
        </w:rPr>
        <w:t>, a concepts file</w:t>
      </w:r>
      <w:r w:rsidR="00D53A7D">
        <w:rPr>
          <w:sz w:val="22"/>
          <w:szCs w:val="22"/>
        </w:rPr>
        <w:t xml:space="preserve"> for each document</w:t>
      </w:r>
      <w:r w:rsidR="00E75F59">
        <w:rPr>
          <w:sz w:val="22"/>
          <w:szCs w:val="22"/>
        </w:rPr>
        <w:t xml:space="preserve"> which describes each concept mention in the texts, and chain files which identify manually created chains in each of the texts as an example of how chains are to look after processing.  </w:t>
      </w:r>
      <w:r w:rsidR="00B579FA" w:rsidRPr="007A2879">
        <w:rPr>
          <w:sz w:val="22"/>
          <w:szCs w:val="22"/>
        </w:rPr>
        <w:t xml:space="preserve">The annotated concept mentions </w:t>
      </w:r>
      <w:r w:rsidRPr="007A2879">
        <w:rPr>
          <w:sz w:val="22"/>
          <w:szCs w:val="22"/>
        </w:rPr>
        <w:t>to be linked</w:t>
      </w:r>
      <w:r w:rsidR="00320294">
        <w:rPr>
          <w:sz w:val="22"/>
          <w:szCs w:val="22"/>
        </w:rPr>
        <w:t xml:space="preserve"> are nouns or descriptive phrases in the medical </w:t>
      </w:r>
      <w:r w:rsidR="00286628">
        <w:rPr>
          <w:sz w:val="22"/>
          <w:szCs w:val="22"/>
        </w:rPr>
        <w:t>texts which represent</w:t>
      </w:r>
      <w:r w:rsidR="00320294">
        <w:rPr>
          <w:sz w:val="22"/>
          <w:szCs w:val="22"/>
        </w:rPr>
        <w:t xml:space="preserve"> people, actions, </w:t>
      </w:r>
      <w:r w:rsidR="00286628">
        <w:rPr>
          <w:sz w:val="22"/>
          <w:szCs w:val="22"/>
        </w:rPr>
        <w:t>objects, or ideas and</w:t>
      </w:r>
      <w:r w:rsidRPr="007A2879">
        <w:rPr>
          <w:sz w:val="22"/>
          <w:szCs w:val="22"/>
        </w:rPr>
        <w:t xml:space="preserve"> have bee</w:t>
      </w:r>
      <w:r w:rsidR="00B579FA" w:rsidRPr="007A2879">
        <w:rPr>
          <w:sz w:val="22"/>
          <w:szCs w:val="22"/>
        </w:rPr>
        <w:t xml:space="preserve">n </w:t>
      </w:r>
      <w:r w:rsidRPr="007A2879">
        <w:rPr>
          <w:sz w:val="22"/>
          <w:szCs w:val="22"/>
        </w:rPr>
        <w:t>given types</w:t>
      </w:r>
      <w:r w:rsidR="00286628">
        <w:rPr>
          <w:sz w:val="22"/>
          <w:szCs w:val="22"/>
        </w:rPr>
        <w:t xml:space="preserve"> accordingly</w:t>
      </w:r>
      <w:r w:rsidR="00D53A7D">
        <w:rPr>
          <w:sz w:val="22"/>
          <w:szCs w:val="22"/>
        </w:rPr>
        <w:t xml:space="preserve">. </w:t>
      </w:r>
      <w:r w:rsidRPr="007A2879">
        <w:rPr>
          <w:sz w:val="22"/>
          <w:szCs w:val="22"/>
        </w:rPr>
        <w:t xml:space="preserve"> </w:t>
      </w:r>
      <w:r w:rsidR="00D53A7D">
        <w:rPr>
          <w:sz w:val="22"/>
          <w:szCs w:val="22"/>
        </w:rPr>
        <w:t>Examples of the types are</w:t>
      </w:r>
      <w:r w:rsidRPr="007A2879">
        <w:rPr>
          <w:sz w:val="22"/>
          <w:szCs w:val="22"/>
        </w:rPr>
        <w:t xml:space="preserve"> problem</w:t>
      </w:r>
      <w:r w:rsidR="00D53A7D">
        <w:rPr>
          <w:sz w:val="22"/>
          <w:szCs w:val="22"/>
        </w:rPr>
        <w:t>s, people</w:t>
      </w:r>
      <w:r w:rsidRPr="007A2879">
        <w:rPr>
          <w:sz w:val="22"/>
          <w:szCs w:val="22"/>
        </w:rPr>
        <w:t>, test</w:t>
      </w:r>
      <w:r w:rsidR="00D53A7D">
        <w:rPr>
          <w:sz w:val="22"/>
          <w:szCs w:val="22"/>
        </w:rPr>
        <w:t>s</w:t>
      </w:r>
      <w:r w:rsidR="007A2879">
        <w:rPr>
          <w:sz w:val="22"/>
          <w:szCs w:val="22"/>
        </w:rPr>
        <w:t>, treatment</w:t>
      </w:r>
      <w:r w:rsidR="00D53A7D">
        <w:rPr>
          <w:sz w:val="22"/>
          <w:szCs w:val="22"/>
        </w:rPr>
        <w:t>s</w:t>
      </w:r>
      <w:r w:rsidR="007A2879">
        <w:rPr>
          <w:sz w:val="22"/>
          <w:szCs w:val="22"/>
        </w:rPr>
        <w:t xml:space="preserve"> etc</w:t>
      </w:r>
      <w:r w:rsidRPr="007A2879">
        <w:rPr>
          <w:sz w:val="22"/>
          <w:szCs w:val="22"/>
        </w:rPr>
        <w:t xml:space="preserve">.  </w:t>
      </w:r>
      <w:r w:rsidR="00C8729C" w:rsidRPr="007A2879">
        <w:rPr>
          <w:sz w:val="22"/>
          <w:szCs w:val="22"/>
        </w:rPr>
        <w:t>Each type of concept mention will only co</w:t>
      </w:r>
      <w:r w:rsidR="007A2879">
        <w:rPr>
          <w:sz w:val="22"/>
          <w:szCs w:val="22"/>
        </w:rPr>
        <w:t>-</w:t>
      </w:r>
      <w:r w:rsidR="00C8729C" w:rsidRPr="007A2879">
        <w:rPr>
          <w:sz w:val="22"/>
          <w:szCs w:val="22"/>
        </w:rPr>
        <w:t>refer with a concept mention of the same type</w:t>
      </w:r>
      <w:r w:rsidR="007A2879">
        <w:rPr>
          <w:sz w:val="22"/>
          <w:szCs w:val="22"/>
        </w:rPr>
        <w:t>, with the exception of pronouns</w:t>
      </w:r>
      <w:r w:rsidR="00C8729C" w:rsidRPr="007A2879">
        <w:rPr>
          <w:sz w:val="22"/>
          <w:szCs w:val="22"/>
        </w:rPr>
        <w:t xml:space="preserve"> which can co</w:t>
      </w:r>
      <w:r w:rsidR="007A2879">
        <w:rPr>
          <w:sz w:val="22"/>
          <w:szCs w:val="22"/>
        </w:rPr>
        <w:t>-</w:t>
      </w:r>
      <w:r w:rsidR="00C8729C" w:rsidRPr="007A2879">
        <w:rPr>
          <w:sz w:val="22"/>
          <w:szCs w:val="22"/>
        </w:rPr>
        <w:t xml:space="preserve">refer </w:t>
      </w:r>
      <w:r w:rsidR="007A2879">
        <w:rPr>
          <w:sz w:val="22"/>
          <w:szCs w:val="22"/>
        </w:rPr>
        <w:t>with</w:t>
      </w:r>
      <w:r w:rsidR="00C8729C" w:rsidRPr="007A2879">
        <w:rPr>
          <w:sz w:val="22"/>
          <w:szCs w:val="22"/>
        </w:rPr>
        <w:t xml:space="preserve"> any type of mention</w:t>
      </w:r>
      <w:r w:rsidR="00434228" w:rsidRPr="00590340">
        <w:rPr>
          <w:rStyle w:val="AMIASuperscriptChar"/>
        </w:rPr>
        <w:t>1</w:t>
      </w:r>
      <w:r w:rsidR="00C8729C" w:rsidRPr="007A2879">
        <w:rPr>
          <w:sz w:val="22"/>
          <w:szCs w:val="22"/>
        </w:rPr>
        <w:t xml:space="preserve">.  </w:t>
      </w:r>
      <w:r w:rsidR="00350B86">
        <w:rPr>
          <w:sz w:val="22"/>
          <w:szCs w:val="22"/>
        </w:rPr>
        <w:t>For this challenge, a study was conducted which examined the performance of three publicly available co-refe</w:t>
      </w:r>
      <w:r w:rsidR="00CC0CA0">
        <w:rPr>
          <w:sz w:val="22"/>
          <w:szCs w:val="22"/>
        </w:rPr>
        <w:t>rence systems, as well as a rule</w:t>
      </w:r>
      <w:r w:rsidR="00350B86">
        <w:rPr>
          <w:sz w:val="22"/>
          <w:szCs w:val="22"/>
        </w:rPr>
        <w:t xml:space="preserve"> based chain building algorithm constructed for this challenge.</w:t>
      </w:r>
    </w:p>
    <w:p w:rsidR="007F343A" w:rsidRDefault="007F343A" w:rsidP="000D4031">
      <w:pPr>
        <w:pStyle w:val="AMIABodyText"/>
        <w:spacing w:line="276" w:lineRule="auto"/>
        <w:rPr>
          <w:sz w:val="22"/>
          <w:szCs w:val="22"/>
        </w:rPr>
      </w:pPr>
    </w:p>
    <w:p w:rsidR="00350B86" w:rsidRPr="00350B86" w:rsidRDefault="00350B86" w:rsidP="000D4031">
      <w:pPr>
        <w:pStyle w:val="AMIABodyText"/>
        <w:spacing w:line="276" w:lineRule="auto"/>
        <w:rPr>
          <w:b/>
          <w:sz w:val="22"/>
          <w:szCs w:val="22"/>
        </w:rPr>
      </w:pPr>
      <w:r w:rsidRPr="00350B86">
        <w:rPr>
          <w:b/>
          <w:sz w:val="22"/>
          <w:szCs w:val="22"/>
        </w:rPr>
        <w:t>Evaluation Methods</w:t>
      </w:r>
    </w:p>
    <w:p w:rsidR="00350B86" w:rsidRDefault="00EA2749" w:rsidP="000D4031">
      <w:pPr>
        <w:pStyle w:val="AMIABodyText"/>
        <w:spacing w:line="276" w:lineRule="auto"/>
        <w:rPr>
          <w:sz w:val="22"/>
          <w:szCs w:val="22"/>
        </w:rPr>
      </w:pPr>
      <w:r>
        <w:rPr>
          <w:sz w:val="22"/>
          <w:szCs w:val="22"/>
        </w:rPr>
        <w:t xml:space="preserve">Each system was evaluated in two ways.  The first method was to compare each link with the provided co-reference chain annotations, and count it as correct only if it matches exactly with the </w:t>
      </w:r>
      <w:r w:rsidR="00350B86">
        <w:rPr>
          <w:sz w:val="22"/>
          <w:szCs w:val="22"/>
        </w:rPr>
        <w:t>provided annotation.  With this</w:t>
      </w:r>
      <w:r>
        <w:rPr>
          <w:sz w:val="22"/>
          <w:szCs w:val="22"/>
        </w:rPr>
        <w:t xml:space="preserve"> method, single unlinked concept mentions are not considered, and links that fall in the same chain but skip an antecedent are considered incorrect.</w:t>
      </w:r>
      <w:r w:rsidR="00350B86">
        <w:rPr>
          <w:sz w:val="22"/>
          <w:szCs w:val="22"/>
        </w:rPr>
        <w:t xml:space="preserve">  </w:t>
      </w:r>
      <w:r w:rsidR="000748E3">
        <w:rPr>
          <w:sz w:val="22"/>
          <w:szCs w:val="22"/>
        </w:rPr>
        <w:t xml:space="preserve">Results for individual concept mention </w:t>
      </w:r>
      <w:r w:rsidR="000748E3">
        <w:rPr>
          <w:sz w:val="22"/>
          <w:szCs w:val="22"/>
        </w:rPr>
        <w:lastRenderedPageBreak/>
        <w:t>types using this method are listed in this paper</w:t>
      </w:r>
      <w:r w:rsidR="00D53A7D">
        <w:rPr>
          <w:sz w:val="22"/>
          <w:szCs w:val="22"/>
        </w:rPr>
        <w:t xml:space="preserve"> below each system description</w:t>
      </w:r>
      <w:r w:rsidR="000748E3">
        <w:rPr>
          <w:sz w:val="22"/>
          <w:szCs w:val="22"/>
        </w:rPr>
        <w:t xml:space="preserve">.  </w:t>
      </w:r>
      <w:r w:rsidR="00350B86">
        <w:rPr>
          <w:sz w:val="22"/>
          <w:szCs w:val="22"/>
        </w:rPr>
        <w:t>The second method of evaluation is with a script provided by I2B2, which conducts 4 types of examinations of the chain output for each system: B</w:t>
      </w:r>
      <w:r w:rsidR="00FF0377">
        <w:rPr>
          <w:sz w:val="22"/>
          <w:szCs w:val="22"/>
        </w:rPr>
        <w:t>-</w:t>
      </w:r>
      <w:r w:rsidR="00350B86">
        <w:rPr>
          <w:sz w:val="22"/>
          <w:szCs w:val="22"/>
        </w:rPr>
        <w:t>Cubed</w:t>
      </w:r>
      <w:r w:rsidR="00FF0377">
        <w:rPr>
          <w:rStyle w:val="AMIASuperscriptChar"/>
        </w:rPr>
        <w:t>5</w:t>
      </w:r>
      <w:r w:rsidR="00350B86">
        <w:rPr>
          <w:sz w:val="22"/>
          <w:szCs w:val="22"/>
        </w:rPr>
        <w:t>, MUC</w:t>
      </w:r>
      <w:r w:rsidR="00FF0377">
        <w:rPr>
          <w:rStyle w:val="AMIASuperscriptChar"/>
        </w:rPr>
        <w:t>6</w:t>
      </w:r>
      <w:r w:rsidR="00350B86">
        <w:rPr>
          <w:sz w:val="22"/>
          <w:szCs w:val="22"/>
        </w:rPr>
        <w:t xml:space="preserve">, </w:t>
      </w:r>
      <w:r w:rsidR="00350B86" w:rsidRPr="00350B86">
        <w:rPr>
          <w:sz w:val="22"/>
          <w:szCs w:val="22"/>
        </w:rPr>
        <w:t>Blanc</w:t>
      </w:r>
      <w:r w:rsidR="00FF0377">
        <w:rPr>
          <w:rStyle w:val="AMIASuperscriptChar"/>
        </w:rPr>
        <w:t>7</w:t>
      </w:r>
      <w:r w:rsidR="00350B86">
        <w:rPr>
          <w:sz w:val="22"/>
          <w:szCs w:val="22"/>
        </w:rPr>
        <w:t>, and</w:t>
      </w:r>
      <w:r w:rsidR="00FF0377">
        <w:rPr>
          <w:sz w:val="22"/>
          <w:szCs w:val="22"/>
        </w:rPr>
        <w:t xml:space="preserve"> CEAF</w:t>
      </w:r>
      <w:r w:rsidR="000748E3">
        <w:rPr>
          <w:rStyle w:val="AMIASuperscriptChar"/>
        </w:rPr>
        <w:t>8</w:t>
      </w:r>
      <w:r w:rsidR="00FF0377">
        <w:rPr>
          <w:sz w:val="22"/>
          <w:szCs w:val="22"/>
        </w:rPr>
        <w:t>.</w:t>
      </w:r>
      <w:r w:rsidR="000748E3">
        <w:rPr>
          <w:sz w:val="22"/>
          <w:szCs w:val="22"/>
        </w:rPr>
        <w:t xml:space="preserve">  Overall performance results using this method</w:t>
      </w:r>
      <w:r w:rsidR="00D53A7D">
        <w:rPr>
          <w:sz w:val="22"/>
          <w:szCs w:val="22"/>
        </w:rPr>
        <w:t>, again,</w:t>
      </w:r>
      <w:r w:rsidR="000748E3">
        <w:rPr>
          <w:sz w:val="22"/>
          <w:szCs w:val="22"/>
        </w:rPr>
        <w:t xml:space="preserve"> are listed in this paper</w:t>
      </w:r>
      <w:r w:rsidR="007029E9">
        <w:rPr>
          <w:sz w:val="22"/>
          <w:szCs w:val="22"/>
        </w:rPr>
        <w:t xml:space="preserve"> after each system description</w:t>
      </w:r>
      <w:r w:rsidR="000748E3">
        <w:rPr>
          <w:sz w:val="22"/>
          <w:szCs w:val="22"/>
        </w:rPr>
        <w:t>.</w:t>
      </w:r>
    </w:p>
    <w:p w:rsidR="007F343A" w:rsidRDefault="007F343A" w:rsidP="000D4031">
      <w:pPr>
        <w:pStyle w:val="AMIABodyText"/>
        <w:spacing w:line="276" w:lineRule="auto"/>
        <w:rPr>
          <w:sz w:val="22"/>
          <w:szCs w:val="22"/>
        </w:rPr>
      </w:pPr>
    </w:p>
    <w:p w:rsidR="00286628" w:rsidRDefault="00286628" w:rsidP="00286628">
      <w:pPr>
        <w:pStyle w:val="AMIAHeading"/>
        <w:rPr>
          <w:sz w:val="24"/>
          <w:szCs w:val="24"/>
        </w:rPr>
      </w:pPr>
      <w:r>
        <w:rPr>
          <w:sz w:val="24"/>
          <w:szCs w:val="24"/>
        </w:rPr>
        <w:t>Systems used in the study</w:t>
      </w:r>
    </w:p>
    <w:p w:rsidR="000244DB" w:rsidRDefault="00286628" w:rsidP="000244DB">
      <w:pPr>
        <w:pStyle w:val="AMIABodyText"/>
        <w:spacing w:line="276" w:lineRule="auto"/>
        <w:rPr>
          <w:sz w:val="22"/>
          <w:szCs w:val="22"/>
        </w:rPr>
      </w:pPr>
      <w:r w:rsidRPr="00286628">
        <w:rPr>
          <w:sz w:val="22"/>
          <w:szCs w:val="22"/>
        </w:rPr>
        <w:t>There are</w:t>
      </w:r>
      <w:r w:rsidR="00D53A7D">
        <w:rPr>
          <w:sz w:val="22"/>
          <w:szCs w:val="22"/>
        </w:rPr>
        <w:t xml:space="preserve"> a number of</w:t>
      </w:r>
      <w:r w:rsidRPr="00286628">
        <w:rPr>
          <w:sz w:val="22"/>
          <w:szCs w:val="22"/>
        </w:rPr>
        <w:t xml:space="preserve"> systems publicly available for co</w:t>
      </w:r>
      <w:r>
        <w:rPr>
          <w:sz w:val="22"/>
          <w:szCs w:val="22"/>
        </w:rPr>
        <w:t>-</w:t>
      </w:r>
      <w:r w:rsidRPr="00286628">
        <w:rPr>
          <w:sz w:val="22"/>
          <w:szCs w:val="22"/>
        </w:rPr>
        <w:t>reference resolution</w:t>
      </w:r>
      <w:r w:rsidR="00D53A7D">
        <w:rPr>
          <w:sz w:val="22"/>
          <w:szCs w:val="22"/>
        </w:rPr>
        <w:t xml:space="preserve"> that can be found by conducting internet searches on most popular search engines.  These</w:t>
      </w:r>
      <w:r w:rsidRPr="00286628">
        <w:rPr>
          <w:sz w:val="22"/>
          <w:szCs w:val="22"/>
        </w:rPr>
        <w:t xml:space="preserve"> </w:t>
      </w:r>
      <w:r w:rsidR="00D53A7D">
        <w:rPr>
          <w:sz w:val="22"/>
          <w:szCs w:val="22"/>
        </w:rPr>
        <w:t>systems</w:t>
      </w:r>
      <w:r w:rsidRPr="00286628">
        <w:rPr>
          <w:sz w:val="22"/>
          <w:szCs w:val="22"/>
        </w:rPr>
        <w:t xml:space="preserve"> will discover co</w:t>
      </w:r>
      <w:r>
        <w:rPr>
          <w:sz w:val="22"/>
          <w:szCs w:val="22"/>
        </w:rPr>
        <w:t>-</w:t>
      </w:r>
      <w:r w:rsidRPr="00286628">
        <w:rPr>
          <w:sz w:val="22"/>
          <w:szCs w:val="22"/>
        </w:rPr>
        <w:t xml:space="preserve">referent links and chains from raw text input.  </w:t>
      </w:r>
      <w:r w:rsidR="00D53A7D">
        <w:rPr>
          <w:sz w:val="22"/>
          <w:szCs w:val="22"/>
        </w:rPr>
        <w:t>To do this the software</w:t>
      </w:r>
      <w:r w:rsidRPr="00286628">
        <w:rPr>
          <w:sz w:val="22"/>
          <w:szCs w:val="22"/>
        </w:rPr>
        <w:t xml:space="preserve"> use</w:t>
      </w:r>
      <w:r w:rsidR="00D53A7D">
        <w:rPr>
          <w:sz w:val="22"/>
          <w:szCs w:val="22"/>
        </w:rPr>
        <w:t>s</w:t>
      </w:r>
      <w:r w:rsidRPr="00286628">
        <w:rPr>
          <w:sz w:val="22"/>
          <w:szCs w:val="22"/>
        </w:rPr>
        <w:t xml:space="preserve"> internal functions to find concepts, and then link them</w:t>
      </w:r>
      <w:r w:rsidR="000D4031">
        <w:rPr>
          <w:rStyle w:val="AMIASuperscriptChar"/>
        </w:rPr>
        <w:t>2,</w:t>
      </w:r>
      <w:r w:rsidR="000D4031" w:rsidRPr="000D4031">
        <w:rPr>
          <w:rStyle w:val="AMIASuperscriptChar"/>
        </w:rPr>
        <w:t xml:space="preserve"> </w:t>
      </w:r>
      <w:r w:rsidR="000D4031">
        <w:rPr>
          <w:rStyle w:val="AMIASuperscriptChar"/>
        </w:rPr>
        <w:t>3,</w:t>
      </w:r>
      <w:r w:rsidR="000D4031" w:rsidRPr="000D4031">
        <w:rPr>
          <w:rStyle w:val="AMIASuperscriptChar"/>
        </w:rPr>
        <w:t xml:space="preserve"> </w:t>
      </w:r>
      <w:r w:rsidR="000D4031">
        <w:rPr>
          <w:rStyle w:val="AMIASuperscriptChar"/>
        </w:rPr>
        <w:t>4</w:t>
      </w:r>
      <w:r w:rsidRPr="00286628">
        <w:rPr>
          <w:sz w:val="22"/>
          <w:szCs w:val="22"/>
        </w:rPr>
        <w:t xml:space="preserve">.   </w:t>
      </w:r>
      <w:r w:rsidR="009D790B">
        <w:rPr>
          <w:sz w:val="22"/>
          <w:szCs w:val="22"/>
        </w:rPr>
        <w:t xml:space="preserve">The three systems used for testing were chosen for their </w:t>
      </w:r>
      <w:r w:rsidR="00D53A7D">
        <w:rPr>
          <w:sz w:val="22"/>
          <w:szCs w:val="22"/>
        </w:rPr>
        <w:t>level of development</w:t>
      </w:r>
      <w:r w:rsidR="009D790B">
        <w:rPr>
          <w:sz w:val="22"/>
          <w:szCs w:val="22"/>
        </w:rPr>
        <w:t xml:space="preserve"> and usability</w:t>
      </w:r>
      <w:r w:rsidR="00926D1C">
        <w:rPr>
          <w:sz w:val="22"/>
          <w:szCs w:val="22"/>
        </w:rPr>
        <w:t>.</w:t>
      </w:r>
      <w:r w:rsidR="009D790B">
        <w:rPr>
          <w:sz w:val="22"/>
          <w:szCs w:val="22"/>
        </w:rPr>
        <w:t xml:space="preserve"> </w:t>
      </w:r>
      <w:r w:rsidR="00926D1C">
        <w:rPr>
          <w:sz w:val="22"/>
          <w:szCs w:val="22"/>
        </w:rPr>
        <w:t xml:space="preserve"> In this study </w:t>
      </w:r>
      <w:r w:rsidR="009D790B">
        <w:rPr>
          <w:sz w:val="22"/>
          <w:szCs w:val="22"/>
        </w:rPr>
        <w:t>BART</w:t>
      </w:r>
      <w:r w:rsidR="00480942">
        <w:rPr>
          <w:rStyle w:val="AMIASuperscriptChar"/>
        </w:rPr>
        <w:t>2</w:t>
      </w:r>
      <w:r w:rsidR="009D790B">
        <w:rPr>
          <w:sz w:val="22"/>
          <w:szCs w:val="22"/>
        </w:rPr>
        <w:t xml:space="preserve">, </w:t>
      </w:r>
      <w:r w:rsidR="00926D1C">
        <w:rPr>
          <w:sz w:val="22"/>
          <w:szCs w:val="22"/>
        </w:rPr>
        <w:t>the Stanford co-reference system</w:t>
      </w:r>
      <w:r w:rsidR="005A53E3">
        <w:rPr>
          <w:rStyle w:val="AMIASuperscriptChar"/>
        </w:rPr>
        <w:t>3</w:t>
      </w:r>
      <w:r w:rsidR="00926D1C">
        <w:rPr>
          <w:sz w:val="22"/>
          <w:szCs w:val="22"/>
        </w:rPr>
        <w:t>, and LingPipe</w:t>
      </w:r>
      <w:r w:rsidR="005A53E3">
        <w:rPr>
          <w:rStyle w:val="AMIASuperscriptChar"/>
        </w:rPr>
        <w:t>4</w:t>
      </w:r>
      <w:r w:rsidR="00926D1C">
        <w:rPr>
          <w:sz w:val="22"/>
          <w:szCs w:val="22"/>
        </w:rPr>
        <w:t xml:space="preserve"> were tested on the provided training data.</w:t>
      </w:r>
    </w:p>
    <w:p w:rsidR="007F343A" w:rsidRPr="00CC0CA0" w:rsidRDefault="007F343A" w:rsidP="000244DB">
      <w:pPr>
        <w:pStyle w:val="AMIABodyText"/>
        <w:spacing w:line="276" w:lineRule="auto"/>
        <w:rPr>
          <w:sz w:val="22"/>
          <w:szCs w:val="22"/>
        </w:rPr>
      </w:pPr>
    </w:p>
    <w:p w:rsidR="00286628" w:rsidRPr="000244DB" w:rsidRDefault="00286628" w:rsidP="000244DB">
      <w:pPr>
        <w:pStyle w:val="AMIABodyText"/>
        <w:spacing w:line="276" w:lineRule="auto"/>
        <w:rPr>
          <w:b/>
          <w:sz w:val="24"/>
          <w:szCs w:val="24"/>
        </w:rPr>
      </w:pPr>
      <w:r w:rsidRPr="000244DB">
        <w:rPr>
          <w:b/>
          <w:sz w:val="24"/>
          <w:szCs w:val="24"/>
        </w:rPr>
        <w:t>BART</w:t>
      </w:r>
    </w:p>
    <w:p w:rsidR="000244DB" w:rsidRDefault="00926D1C" w:rsidP="000D4031">
      <w:pPr>
        <w:pStyle w:val="AMIAHeading"/>
        <w:spacing w:line="276" w:lineRule="auto"/>
        <w:rPr>
          <w:b w:val="0"/>
          <w:sz w:val="22"/>
          <w:szCs w:val="22"/>
        </w:rPr>
      </w:pPr>
      <w:r>
        <w:rPr>
          <w:b w:val="0"/>
          <w:sz w:val="22"/>
          <w:szCs w:val="22"/>
        </w:rPr>
        <w:lastRenderedPageBreak/>
        <w:t xml:space="preserve">BART is an acronym for </w:t>
      </w:r>
      <w:r w:rsidRPr="00926D1C">
        <w:rPr>
          <w:b w:val="0"/>
          <w:sz w:val="22"/>
          <w:szCs w:val="22"/>
        </w:rPr>
        <w:t>Beautiful Anaphora Resolution Toolkit</w:t>
      </w:r>
      <w:r w:rsidR="000D4031">
        <w:rPr>
          <w:b w:val="0"/>
          <w:sz w:val="22"/>
          <w:szCs w:val="22"/>
        </w:rPr>
        <w:t xml:space="preserve"> and it was developed from a project done at the 2007 Johns Hopkins Summer workshop</w:t>
      </w:r>
      <w:r w:rsidR="000D4031">
        <w:rPr>
          <w:rStyle w:val="AMIASuperscriptChar"/>
        </w:rPr>
        <w:t>2</w:t>
      </w:r>
      <w:r w:rsidR="000D4031">
        <w:rPr>
          <w:b w:val="0"/>
          <w:sz w:val="22"/>
          <w:szCs w:val="22"/>
        </w:rPr>
        <w:t xml:space="preserve">.  It is available on the </w:t>
      </w:r>
      <w:r w:rsidR="00CB26FD">
        <w:rPr>
          <w:b w:val="0"/>
          <w:sz w:val="22"/>
          <w:szCs w:val="22"/>
        </w:rPr>
        <w:t>website created for the project:</w:t>
      </w:r>
      <w:r w:rsidR="000D4031">
        <w:rPr>
          <w:b w:val="0"/>
          <w:sz w:val="22"/>
          <w:szCs w:val="22"/>
        </w:rPr>
        <w:t xml:space="preserve"> </w:t>
      </w:r>
      <w:hyperlink r:id="rId9" w:history="1">
        <w:r w:rsidR="000D4031" w:rsidRPr="00157083">
          <w:rPr>
            <w:rStyle w:val="Hyperlink"/>
            <w:b w:val="0"/>
            <w:sz w:val="22"/>
            <w:szCs w:val="22"/>
          </w:rPr>
          <w:t>http://www.bart-coref.org/</w:t>
        </w:r>
      </w:hyperlink>
      <w:r w:rsidR="000D4031">
        <w:rPr>
          <w:b w:val="0"/>
          <w:sz w:val="22"/>
          <w:szCs w:val="22"/>
        </w:rPr>
        <w:t>.  Once set</w:t>
      </w:r>
      <w:r w:rsidR="003B35DE">
        <w:rPr>
          <w:b w:val="0"/>
          <w:sz w:val="22"/>
          <w:szCs w:val="22"/>
        </w:rPr>
        <w:t xml:space="preserve"> up, text is sent to it through a web service, and output is returned in XML format.  The output contains detected concept mentions and if they belong to a chain, the chain identifier is included in the XML tag of the conce</w:t>
      </w:r>
      <w:r w:rsidR="00FF3372">
        <w:rPr>
          <w:b w:val="0"/>
          <w:sz w:val="22"/>
          <w:szCs w:val="22"/>
        </w:rPr>
        <w:t>pt ment</w:t>
      </w:r>
      <w:r w:rsidR="005037A0">
        <w:rPr>
          <w:b w:val="0"/>
          <w:sz w:val="22"/>
          <w:szCs w:val="22"/>
        </w:rPr>
        <w:t>ion.  The execution time for co-reference resolution using the BART on the clinical docum</w:t>
      </w:r>
      <w:r w:rsidR="005C1762">
        <w:rPr>
          <w:b w:val="0"/>
          <w:sz w:val="22"/>
          <w:szCs w:val="22"/>
        </w:rPr>
        <w:t>ents ranges from 20 seconds to 10</w:t>
      </w:r>
      <w:r w:rsidR="00FF3372">
        <w:rPr>
          <w:b w:val="0"/>
          <w:sz w:val="22"/>
          <w:szCs w:val="22"/>
        </w:rPr>
        <w:t xml:space="preserve"> </w:t>
      </w:r>
      <w:r w:rsidR="005037A0">
        <w:rPr>
          <w:b w:val="0"/>
          <w:sz w:val="22"/>
          <w:szCs w:val="22"/>
        </w:rPr>
        <w:t>minutes, and depends on the length of the document</w:t>
      </w:r>
      <w:r w:rsidR="005C1762">
        <w:rPr>
          <w:b w:val="0"/>
          <w:sz w:val="22"/>
          <w:szCs w:val="22"/>
        </w:rPr>
        <w:t xml:space="preserve"> and the size of the sentences it detects</w:t>
      </w:r>
      <w:r w:rsidR="005037A0">
        <w:rPr>
          <w:b w:val="0"/>
          <w:sz w:val="22"/>
          <w:szCs w:val="22"/>
        </w:rPr>
        <w:t xml:space="preserve">.  </w:t>
      </w:r>
      <w:r w:rsidR="00E75F59">
        <w:rPr>
          <w:b w:val="0"/>
          <w:sz w:val="22"/>
          <w:szCs w:val="22"/>
        </w:rPr>
        <w:t xml:space="preserve">A translator was created to compare the BART output to the chain files included with the input texts.  </w:t>
      </w:r>
      <w:r w:rsidR="000244DB">
        <w:rPr>
          <w:b w:val="0"/>
          <w:sz w:val="22"/>
          <w:szCs w:val="22"/>
        </w:rPr>
        <w:t xml:space="preserve">Only concept mentions detected by the BART system and listed by the I2B2 annotations were considered for testing.  All other mentions and co-referent links were discarded.  </w:t>
      </w:r>
      <w:r w:rsidR="00155339">
        <w:rPr>
          <w:b w:val="0"/>
          <w:sz w:val="22"/>
          <w:szCs w:val="22"/>
        </w:rPr>
        <w:t xml:space="preserve">After running the BART system on </w:t>
      </w:r>
      <w:r w:rsidR="005C1762">
        <w:rPr>
          <w:b w:val="0"/>
          <w:sz w:val="22"/>
          <w:szCs w:val="22"/>
        </w:rPr>
        <w:t>files from each of the data sets provided, the following performance results were obtained (</w:t>
      </w:r>
      <w:r w:rsidR="00F45E8A">
        <w:rPr>
          <w:b w:val="0"/>
          <w:sz w:val="22"/>
          <w:szCs w:val="22"/>
        </w:rPr>
        <w:t>Table</w:t>
      </w:r>
      <w:r w:rsidR="005C1762">
        <w:rPr>
          <w:b w:val="0"/>
          <w:sz w:val="22"/>
          <w:szCs w:val="22"/>
        </w:rPr>
        <w:t xml:space="preserve"> 1).</w:t>
      </w:r>
    </w:p>
    <w:p w:rsidR="00CB26FD" w:rsidRDefault="00CB26FD" w:rsidP="000D4031">
      <w:pPr>
        <w:pStyle w:val="AMIAHeading"/>
        <w:spacing w:line="276" w:lineRule="auto"/>
        <w:rPr>
          <w:b w:val="0"/>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0"/>
        <w:gridCol w:w="1170"/>
        <w:gridCol w:w="1170"/>
        <w:gridCol w:w="1260"/>
        <w:gridCol w:w="1170"/>
        <w:gridCol w:w="1260"/>
        <w:gridCol w:w="1350"/>
      </w:tblGrid>
      <w:tr w:rsidR="006757E8" w:rsidRPr="00C13006" w:rsidTr="00C13006">
        <w:tc>
          <w:tcPr>
            <w:tcW w:w="1980" w:type="dxa"/>
          </w:tcPr>
          <w:p w:rsidR="006757E8" w:rsidRPr="00C13006" w:rsidRDefault="006757E8" w:rsidP="00C13006">
            <w:pPr>
              <w:pStyle w:val="AMIAHeading"/>
              <w:spacing w:line="276" w:lineRule="auto"/>
              <w:rPr>
                <w:b w:val="0"/>
                <w:sz w:val="22"/>
                <w:szCs w:val="22"/>
              </w:rPr>
            </w:pPr>
            <w:r w:rsidRPr="00C13006">
              <w:rPr>
                <w:b w:val="0"/>
                <w:sz w:val="22"/>
                <w:szCs w:val="22"/>
              </w:rPr>
              <w:t>Data Set</w:t>
            </w:r>
          </w:p>
        </w:tc>
        <w:tc>
          <w:tcPr>
            <w:tcW w:w="1170" w:type="dxa"/>
          </w:tcPr>
          <w:p w:rsidR="006757E8" w:rsidRPr="00C13006" w:rsidRDefault="006757E8" w:rsidP="00C13006">
            <w:pPr>
              <w:pStyle w:val="AMIAHeading"/>
              <w:spacing w:line="276" w:lineRule="auto"/>
              <w:rPr>
                <w:b w:val="0"/>
                <w:sz w:val="22"/>
                <w:szCs w:val="22"/>
              </w:rPr>
            </w:pPr>
            <w:r w:rsidRPr="00C13006">
              <w:rPr>
                <w:b w:val="0"/>
                <w:sz w:val="22"/>
                <w:szCs w:val="22"/>
              </w:rPr>
              <w:t>Overall</w:t>
            </w:r>
          </w:p>
        </w:tc>
        <w:tc>
          <w:tcPr>
            <w:tcW w:w="1170" w:type="dxa"/>
          </w:tcPr>
          <w:p w:rsidR="006757E8" w:rsidRPr="00C13006" w:rsidRDefault="006757E8" w:rsidP="00C13006">
            <w:pPr>
              <w:pStyle w:val="AMIAHeading"/>
              <w:spacing w:line="276" w:lineRule="auto"/>
              <w:rPr>
                <w:b w:val="0"/>
                <w:sz w:val="22"/>
                <w:szCs w:val="22"/>
              </w:rPr>
            </w:pPr>
            <w:r w:rsidRPr="00C13006">
              <w:rPr>
                <w:b w:val="0"/>
                <w:sz w:val="22"/>
                <w:szCs w:val="22"/>
              </w:rPr>
              <w:t>People</w:t>
            </w:r>
          </w:p>
        </w:tc>
        <w:tc>
          <w:tcPr>
            <w:tcW w:w="1260" w:type="dxa"/>
          </w:tcPr>
          <w:p w:rsidR="006757E8" w:rsidRPr="00C13006" w:rsidRDefault="006757E8" w:rsidP="00C13006">
            <w:pPr>
              <w:pStyle w:val="AMIAHeading"/>
              <w:spacing w:line="276" w:lineRule="auto"/>
              <w:rPr>
                <w:b w:val="0"/>
                <w:sz w:val="22"/>
                <w:szCs w:val="22"/>
              </w:rPr>
            </w:pPr>
            <w:r w:rsidRPr="00C13006">
              <w:rPr>
                <w:b w:val="0"/>
                <w:sz w:val="22"/>
                <w:szCs w:val="22"/>
              </w:rPr>
              <w:t>Problems</w:t>
            </w:r>
          </w:p>
        </w:tc>
        <w:tc>
          <w:tcPr>
            <w:tcW w:w="1170" w:type="dxa"/>
          </w:tcPr>
          <w:p w:rsidR="006757E8" w:rsidRPr="00C13006" w:rsidRDefault="006757E8" w:rsidP="00C13006">
            <w:pPr>
              <w:pStyle w:val="AMIAHeading"/>
              <w:spacing w:line="276" w:lineRule="auto"/>
              <w:rPr>
                <w:b w:val="0"/>
                <w:sz w:val="22"/>
                <w:szCs w:val="22"/>
              </w:rPr>
            </w:pPr>
            <w:r w:rsidRPr="00C13006">
              <w:rPr>
                <w:b w:val="0"/>
                <w:sz w:val="22"/>
                <w:szCs w:val="22"/>
              </w:rPr>
              <w:t>Tests</w:t>
            </w:r>
          </w:p>
        </w:tc>
        <w:tc>
          <w:tcPr>
            <w:tcW w:w="1260" w:type="dxa"/>
          </w:tcPr>
          <w:p w:rsidR="006757E8" w:rsidRPr="00C13006" w:rsidRDefault="006757E8" w:rsidP="00C13006">
            <w:pPr>
              <w:pStyle w:val="AMIAHeading"/>
              <w:spacing w:line="276" w:lineRule="auto"/>
              <w:rPr>
                <w:b w:val="0"/>
                <w:sz w:val="22"/>
                <w:szCs w:val="22"/>
              </w:rPr>
            </w:pPr>
            <w:r w:rsidRPr="00C13006">
              <w:rPr>
                <w:b w:val="0"/>
                <w:sz w:val="22"/>
                <w:szCs w:val="22"/>
              </w:rPr>
              <w:t>Treatments</w:t>
            </w:r>
          </w:p>
        </w:tc>
        <w:tc>
          <w:tcPr>
            <w:tcW w:w="1350" w:type="dxa"/>
          </w:tcPr>
          <w:p w:rsidR="006757E8" w:rsidRPr="00C13006" w:rsidRDefault="006757E8" w:rsidP="00C13006">
            <w:pPr>
              <w:pStyle w:val="AMIAHeading"/>
              <w:spacing w:line="276" w:lineRule="auto"/>
              <w:rPr>
                <w:b w:val="0"/>
                <w:sz w:val="22"/>
                <w:szCs w:val="22"/>
              </w:rPr>
            </w:pPr>
            <w:r w:rsidRPr="00C13006">
              <w:rPr>
                <w:b w:val="0"/>
                <w:sz w:val="22"/>
                <w:szCs w:val="22"/>
              </w:rPr>
              <w:t>All Others</w:t>
            </w:r>
          </w:p>
        </w:tc>
      </w:tr>
      <w:tr w:rsidR="006757E8" w:rsidRPr="00C13006" w:rsidTr="00C13006">
        <w:tc>
          <w:tcPr>
            <w:tcW w:w="1980" w:type="dxa"/>
          </w:tcPr>
          <w:p w:rsidR="006757E8" w:rsidRPr="00C13006" w:rsidRDefault="006757E8" w:rsidP="00C13006">
            <w:pPr>
              <w:pStyle w:val="AMIAHeading"/>
              <w:spacing w:line="276" w:lineRule="auto"/>
              <w:rPr>
                <w:b w:val="0"/>
                <w:sz w:val="22"/>
                <w:szCs w:val="22"/>
              </w:rPr>
            </w:pPr>
            <w:r w:rsidRPr="00C13006">
              <w:rPr>
                <w:b w:val="0"/>
                <w:sz w:val="22"/>
                <w:szCs w:val="22"/>
              </w:rPr>
              <w:t>Beth Israel</w:t>
            </w:r>
          </w:p>
        </w:tc>
        <w:tc>
          <w:tcPr>
            <w:tcW w:w="1170" w:type="dxa"/>
          </w:tcPr>
          <w:p w:rsidR="006757E8" w:rsidRPr="00C13006" w:rsidRDefault="006757E8" w:rsidP="00C13006">
            <w:pPr>
              <w:pStyle w:val="AMIAHeading"/>
              <w:spacing w:line="276" w:lineRule="auto"/>
              <w:rPr>
                <w:b w:val="0"/>
                <w:sz w:val="22"/>
                <w:szCs w:val="22"/>
              </w:rPr>
            </w:pPr>
            <w:r w:rsidRPr="00C13006">
              <w:rPr>
                <w:b w:val="0"/>
                <w:sz w:val="22"/>
                <w:szCs w:val="22"/>
              </w:rPr>
              <w:t>77.5%</w:t>
            </w:r>
          </w:p>
        </w:tc>
        <w:tc>
          <w:tcPr>
            <w:tcW w:w="1170" w:type="dxa"/>
          </w:tcPr>
          <w:p w:rsidR="006757E8" w:rsidRPr="00C13006" w:rsidRDefault="00B20A19" w:rsidP="00C13006">
            <w:pPr>
              <w:pStyle w:val="AMIAHeading"/>
              <w:spacing w:line="276" w:lineRule="auto"/>
              <w:rPr>
                <w:b w:val="0"/>
                <w:sz w:val="22"/>
                <w:szCs w:val="22"/>
              </w:rPr>
            </w:pPr>
            <w:r w:rsidRPr="00C13006">
              <w:rPr>
                <w:b w:val="0"/>
                <w:sz w:val="22"/>
                <w:szCs w:val="22"/>
              </w:rPr>
              <w:t>59%</w:t>
            </w:r>
          </w:p>
        </w:tc>
        <w:tc>
          <w:tcPr>
            <w:tcW w:w="1260" w:type="dxa"/>
          </w:tcPr>
          <w:p w:rsidR="006757E8" w:rsidRPr="00C13006" w:rsidRDefault="00B20A19" w:rsidP="00C13006">
            <w:pPr>
              <w:pStyle w:val="AMIAHeading"/>
              <w:spacing w:line="276" w:lineRule="auto"/>
              <w:rPr>
                <w:b w:val="0"/>
                <w:sz w:val="22"/>
                <w:szCs w:val="22"/>
              </w:rPr>
            </w:pPr>
            <w:r w:rsidRPr="00C13006">
              <w:rPr>
                <w:b w:val="0"/>
                <w:sz w:val="22"/>
                <w:szCs w:val="22"/>
              </w:rPr>
              <w:t>20.2%</w:t>
            </w:r>
          </w:p>
        </w:tc>
        <w:tc>
          <w:tcPr>
            <w:tcW w:w="1170" w:type="dxa"/>
          </w:tcPr>
          <w:p w:rsidR="006757E8" w:rsidRPr="00C13006" w:rsidRDefault="00B20A19" w:rsidP="00C13006">
            <w:pPr>
              <w:pStyle w:val="AMIAHeading"/>
              <w:spacing w:line="276" w:lineRule="auto"/>
              <w:rPr>
                <w:b w:val="0"/>
                <w:sz w:val="22"/>
                <w:szCs w:val="22"/>
              </w:rPr>
            </w:pPr>
            <w:r w:rsidRPr="00C13006">
              <w:rPr>
                <w:b w:val="0"/>
                <w:sz w:val="22"/>
                <w:szCs w:val="22"/>
              </w:rPr>
              <w:t>16.67%</w:t>
            </w:r>
          </w:p>
        </w:tc>
        <w:tc>
          <w:tcPr>
            <w:tcW w:w="1260" w:type="dxa"/>
          </w:tcPr>
          <w:p w:rsidR="006757E8" w:rsidRPr="00C13006" w:rsidRDefault="00B20A19" w:rsidP="00C13006">
            <w:pPr>
              <w:pStyle w:val="AMIAHeading"/>
              <w:spacing w:line="276" w:lineRule="auto"/>
              <w:rPr>
                <w:b w:val="0"/>
                <w:sz w:val="22"/>
                <w:szCs w:val="22"/>
              </w:rPr>
            </w:pPr>
            <w:r w:rsidRPr="00C13006">
              <w:rPr>
                <w:b w:val="0"/>
                <w:sz w:val="22"/>
                <w:szCs w:val="22"/>
              </w:rPr>
              <w:t>30%</w:t>
            </w:r>
          </w:p>
        </w:tc>
        <w:tc>
          <w:tcPr>
            <w:tcW w:w="1350" w:type="dxa"/>
          </w:tcPr>
          <w:p w:rsidR="006757E8" w:rsidRPr="00C13006" w:rsidRDefault="00B20A19" w:rsidP="00C13006">
            <w:pPr>
              <w:pStyle w:val="AMIAHeading"/>
              <w:spacing w:line="276" w:lineRule="auto"/>
              <w:rPr>
                <w:b w:val="0"/>
                <w:sz w:val="22"/>
                <w:szCs w:val="22"/>
              </w:rPr>
            </w:pPr>
            <w:r w:rsidRPr="00C13006">
              <w:rPr>
                <w:b w:val="0"/>
                <w:sz w:val="22"/>
                <w:szCs w:val="22"/>
              </w:rPr>
              <w:t>N/A</w:t>
            </w:r>
          </w:p>
        </w:tc>
      </w:tr>
      <w:tr w:rsidR="006757E8" w:rsidRPr="00C13006" w:rsidTr="00C13006">
        <w:tc>
          <w:tcPr>
            <w:tcW w:w="1980" w:type="dxa"/>
          </w:tcPr>
          <w:p w:rsidR="006757E8" w:rsidRPr="00C13006" w:rsidRDefault="006757E8" w:rsidP="00C13006">
            <w:pPr>
              <w:pStyle w:val="AMIAHeading"/>
              <w:spacing w:line="276" w:lineRule="auto"/>
              <w:rPr>
                <w:b w:val="0"/>
                <w:sz w:val="22"/>
                <w:szCs w:val="22"/>
              </w:rPr>
            </w:pPr>
            <w:r w:rsidRPr="00C13006">
              <w:rPr>
                <w:b w:val="0"/>
                <w:sz w:val="22"/>
                <w:szCs w:val="22"/>
              </w:rPr>
              <w:t>Partners Healthcare</w:t>
            </w:r>
          </w:p>
        </w:tc>
        <w:tc>
          <w:tcPr>
            <w:tcW w:w="1170" w:type="dxa"/>
          </w:tcPr>
          <w:p w:rsidR="006757E8" w:rsidRPr="00C13006" w:rsidRDefault="000D7354" w:rsidP="00C13006">
            <w:pPr>
              <w:pStyle w:val="AMIAHeading"/>
              <w:spacing w:line="276" w:lineRule="auto"/>
              <w:rPr>
                <w:b w:val="0"/>
                <w:sz w:val="22"/>
                <w:szCs w:val="22"/>
              </w:rPr>
            </w:pPr>
            <w:r w:rsidRPr="00C13006">
              <w:rPr>
                <w:b w:val="0"/>
                <w:sz w:val="22"/>
                <w:szCs w:val="22"/>
              </w:rPr>
              <w:t>71.2%</w:t>
            </w:r>
          </w:p>
        </w:tc>
        <w:tc>
          <w:tcPr>
            <w:tcW w:w="1170" w:type="dxa"/>
          </w:tcPr>
          <w:p w:rsidR="006757E8" w:rsidRPr="00C13006" w:rsidRDefault="00B20A19" w:rsidP="00C13006">
            <w:pPr>
              <w:pStyle w:val="AMIAHeading"/>
              <w:spacing w:line="276" w:lineRule="auto"/>
              <w:rPr>
                <w:b w:val="0"/>
                <w:sz w:val="22"/>
                <w:szCs w:val="22"/>
              </w:rPr>
            </w:pPr>
            <w:r w:rsidRPr="00C13006">
              <w:rPr>
                <w:b w:val="0"/>
                <w:sz w:val="22"/>
                <w:szCs w:val="22"/>
              </w:rPr>
              <w:t>45.7%</w:t>
            </w:r>
          </w:p>
        </w:tc>
        <w:tc>
          <w:tcPr>
            <w:tcW w:w="1260" w:type="dxa"/>
          </w:tcPr>
          <w:p w:rsidR="006757E8" w:rsidRPr="00C13006" w:rsidRDefault="00B20A19" w:rsidP="00C13006">
            <w:pPr>
              <w:pStyle w:val="AMIAHeading"/>
              <w:spacing w:line="276" w:lineRule="auto"/>
              <w:rPr>
                <w:b w:val="0"/>
                <w:sz w:val="22"/>
                <w:szCs w:val="22"/>
              </w:rPr>
            </w:pPr>
            <w:r w:rsidRPr="00C13006">
              <w:rPr>
                <w:b w:val="0"/>
                <w:sz w:val="22"/>
                <w:szCs w:val="22"/>
              </w:rPr>
              <w:t>20.6%</w:t>
            </w:r>
          </w:p>
        </w:tc>
        <w:tc>
          <w:tcPr>
            <w:tcW w:w="1170" w:type="dxa"/>
          </w:tcPr>
          <w:p w:rsidR="006757E8" w:rsidRPr="00C13006" w:rsidRDefault="00B20A19" w:rsidP="00C13006">
            <w:pPr>
              <w:pStyle w:val="AMIAHeading"/>
              <w:spacing w:line="276" w:lineRule="auto"/>
              <w:rPr>
                <w:b w:val="0"/>
                <w:sz w:val="22"/>
                <w:szCs w:val="22"/>
              </w:rPr>
            </w:pPr>
            <w:r w:rsidRPr="00C13006">
              <w:rPr>
                <w:b w:val="0"/>
                <w:sz w:val="22"/>
                <w:szCs w:val="22"/>
              </w:rPr>
              <w:t>25.3%</w:t>
            </w:r>
          </w:p>
        </w:tc>
        <w:tc>
          <w:tcPr>
            <w:tcW w:w="1260" w:type="dxa"/>
          </w:tcPr>
          <w:p w:rsidR="006757E8" w:rsidRPr="00C13006" w:rsidRDefault="00B20A19" w:rsidP="00C13006">
            <w:pPr>
              <w:pStyle w:val="AMIAHeading"/>
              <w:spacing w:line="276" w:lineRule="auto"/>
              <w:rPr>
                <w:b w:val="0"/>
                <w:sz w:val="22"/>
                <w:szCs w:val="22"/>
              </w:rPr>
            </w:pPr>
            <w:r w:rsidRPr="00C13006">
              <w:rPr>
                <w:b w:val="0"/>
                <w:sz w:val="22"/>
                <w:szCs w:val="22"/>
              </w:rPr>
              <w:t>26.3%</w:t>
            </w:r>
          </w:p>
        </w:tc>
        <w:tc>
          <w:tcPr>
            <w:tcW w:w="1350" w:type="dxa"/>
          </w:tcPr>
          <w:p w:rsidR="006757E8" w:rsidRPr="00C13006" w:rsidRDefault="00B20A19" w:rsidP="00C13006">
            <w:pPr>
              <w:pStyle w:val="AMIAHeading"/>
              <w:spacing w:line="276" w:lineRule="auto"/>
              <w:rPr>
                <w:b w:val="0"/>
                <w:sz w:val="22"/>
                <w:szCs w:val="22"/>
              </w:rPr>
            </w:pPr>
            <w:r w:rsidRPr="00C13006">
              <w:rPr>
                <w:b w:val="0"/>
                <w:sz w:val="22"/>
                <w:szCs w:val="22"/>
              </w:rPr>
              <w:t>N/A</w:t>
            </w:r>
          </w:p>
        </w:tc>
      </w:tr>
      <w:tr w:rsidR="006757E8" w:rsidRPr="00C13006" w:rsidTr="00C13006">
        <w:tc>
          <w:tcPr>
            <w:tcW w:w="1980" w:type="dxa"/>
          </w:tcPr>
          <w:p w:rsidR="006757E8" w:rsidRPr="00C13006" w:rsidRDefault="006757E8" w:rsidP="00C13006">
            <w:pPr>
              <w:pStyle w:val="AMIAHeading"/>
              <w:spacing w:line="276" w:lineRule="auto"/>
              <w:rPr>
                <w:b w:val="0"/>
                <w:sz w:val="22"/>
                <w:szCs w:val="22"/>
              </w:rPr>
            </w:pPr>
            <w:r w:rsidRPr="00C13006">
              <w:rPr>
                <w:b w:val="0"/>
                <w:sz w:val="22"/>
                <w:szCs w:val="22"/>
              </w:rPr>
              <w:t>Mayo Clinic</w:t>
            </w:r>
          </w:p>
        </w:tc>
        <w:tc>
          <w:tcPr>
            <w:tcW w:w="1170" w:type="dxa"/>
          </w:tcPr>
          <w:p w:rsidR="006757E8" w:rsidRPr="00C13006" w:rsidRDefault="000D7354" w:rsidP="00C13006">
            <w:pPr>
              <w:pStyle w:val="AMIAHeading"/>
              <w:spacing w:line="276" w:lineRule="auto"/>
              <w:rPr>
                <w:b w:val="0"/>
                <w:sz w:val="22"/>
                <w:szCs w:val="22"/>
              </w:rPr>
            </w:pPr>
            <w:r w:rsidRPr="00C13006">
              <w:rPr>
                <w:b w:val="0"/>
                <w:sz w:val="22"/>
                <w:szCs w:val="22"/>
              </w:rPr>
              <w:t>43.5%</w:t>
            </w:r>
          </w:p>
        </w:tc>
        <w:tc>
          <w:tcPr>
            <w:tcW w:w="1170" w:type="dxa"/>
          </w:tcPr>
          <w:p w:rsidR="006757E8" w:rsidRPr="00C13006" w:rsidRDefault="00B20A19" w:rsidP="00C13006">
            <w:pPr>
              <w:pStyle w:val="AMIAHeading"/>
              <w:spacing w:line="276" w:lineRule="auto"/>
              <w:rPr>
                <w:b w:val="0"/>
                <w:sz w:val="22"/>
                <w:szCs w:val="22"/>
              </w:rPr>
            </w:pPr>
            <w:r w:rsidRPr="00C13006">
              <w:rPr>
                <w:b w:val="0"/>
                <w:sz w:val="22"/>
                <w:szCs w:val="22"/>
              </w:rPr>
              <w:t>4.1%</w:t>
            </w:r>
          </w:p>
        </w:tc>
        <w:tc>
          <w:tcPr>
            <w:tcW w:w="1260" w:type="dxa"/>
          </w:tcPr>
          <w:p w:rsidR="006757E8" w:rsidRPr="00C13006" w:rsidRDefault="000D7354" w:rsidP="00C13006">
            <w:pPr>
              <w:pStyle w:val="AMIAHeading"/>
              <w:spacing w:line="276" w:lineRule="auto"/>
              <w:rPr>
                <w:b w:val="0"/>
                <w:sz w:val="22"/>
                <w:szCs w:val="22"/>
              </w:rPr>
            </w:pPr>
            <w:r w:rsidRPr="00C13006">
              <w:rPr>
                <w:b w:val="0"/>
                <w:sz w:val="22"/>
                <w:szCs w:val="22"/>
              </w:rPr>
              <w:t>0%</w:t>
            </w:r>
          </w:p>
        </w:tc>
        <w:tc>
          <w:tcPr>
            <w:tcW w:w="1170" w:type="dxa"/>
          </w:tcPr>
          <w:p w:rsidR="006757E8" w:rsidRPr="00C13006" w:rsidRDefault="003C259C" w:rsidP="00C13006">
            <w:pPr>
              <w:pStyle w:val="AMIAHeading"/>
              <w:spacing w:line="276" w:lineRule="auto"/>
              <w:rPr>
                <w:b w:val="0"/>
                <w:sz w:val="22"/>
                <w:szCs w:val="22"/>
              </w:rPr>
            </w:pPr>
            <w:r>
              <w:rPr>
                <w:b w:val="0"/>
                <w:sz w:val="22"/>
                <w:szCs w:val="22"/>
              </w:rPr>
              <w:t>N/A</w:t>
            </w:r>
          </w:p>
        </w:tc>
        <w:tc>
          <w:tcPr>
            <w:tcW w:w="1260" w:type="dxa"/>
          </w:tcPr>
          <w:p w:rsidR="006757E8" w:rsidRPr="00C13006" w:rsidRDefault="000D7354" w:rsidP="00C13006">
            <w:pPr>
              <w:pStyle w:val="AMIAHeading"/>
              <w:spacing w:line="276" w:lineRule="auto"/>
              <w:rPr>
                <w:b w:val="0"/>
                <w:sz w:val="22"/>
                <w:szCs w:val="22"/>
              </w:rPr>
            </w:pPr>
            <w:r w:rsidRPr="00C13006">
              <w:rPr>
                <w:b w:val="0"/>
                <w:sz w:val="22"/>
                <w:szCs w:val="22"/>
              </w:rPr>
              <w:t>0%</w:t>
            </w:r>
          </w:p>
        </w:tc>
        <w:tc>
          <w:tcPr>
            <w:tcW w:w="1350" w:type="dxa"/>
          </w:tcPr>
          <w:p w:rsidR="006757E8" w:rsidRPr="00C13006" w:rsidRDefault="000D7354" w:rsidP="00C13006">
            <w:pPr>
              <w:pStyle w:val="AMIAHeading"/>
              <w:spacing w:line="276" w:lineRule="auto"/>
              <w:rPr>
                <w:b w:val="0"/>
                <w:sz w:val="22"/>
                <w:szCs w:val="22"/>
              </w:rPr>
            </w:pPr>
            <w:r w:rsidRPr="00C13006">
              <w:rPr>
                <w:b w:val="0"/>
                <w:sz w:val="22"/>
                <w:szCs w:val="22"/>
              </w:rPr>
              <w:t>0%</w:t>
            </w:r>
          </w:p>
        </w:tc>
      </w:tr>
    </w:tbl>
    <w:p w:rsidR="000244DB" w:rsidRDefault="000244DB" w:rsidP="000D4031">
      <w:pPr>
        <w:pStyle w:val="AMIAHeading"/>
        <w:spacing w:line="276" w:lineRule="auto"/>
        <w:rPr>
          <w:b w:val="0"/>
          <w:sz w:val="18"/>
          <w:szCs w:val="18"/>
        </w:rPr>
      </w:pPr>
      <w:proofErr w:type="gramStart"/>
      <w:r>
        <w:rPr>
          <w:sz w:val="18"/>
          <w:szCs w:val="18"/>
        </w:rPr>
        <w:t>Table</w:t>
      </w:r>
      <w:r w:rsidR="00EA2749" w:rsidRPr="00F45E8A">
        <w:rPr>
          <w:sz w:val="18"/>
          <w:szCs w:val="18"/>
        </w:rPr>
        <w:t xml:space="preserve"> 1</w:t>
      </w:r>
      <w:r w:rsidR="00EA2749" w:rsidRPr="006757E8">
        <w:rPr>
          <w:b w:val="0"/>
          <w:sz w:val="18"/>
          <w:szCs w:val="18"/>
        </w:rPr>
        <w:t>.</w:t>
      </w:r>
      <w:proofErr w:type="gramEnd"/>
      <w:r w:rsidR="00EA2749" w:rsidRPr="006757E8">
        <w:rPr>
          <w:b w:val="0"/>
          <w:sz w:val="18"/>
          <w:szCs w:val="18"/>
        </w:rPr>
        <w:t xml:space="preserve"> </w:t>
      </w:r>
      <w:proofErr w:type="gramStart"/>
      <w:r w:rsidR="00EA2749" w:rsidRPr="006757E8">
        <w:rPr>
          <w:b w:val="0"/>
          <w:sz w:val="18"/>
          <w:szCs w:val="18"/>
        </w:rPr>
        <w:t xml:space="preserve">BART </w:t>
      </w:r>
      <w:r w:rsidR="006757E8" w:rsidRPr="006757E8">
        <w:rPr>
          <w:b w:val="0"/>
          <w:sz w:val="18"/>
          <w:szCs w:val="18"/>
        </w:rPr>
        <w:t>performance results</w:t>
      </w:r>
      <w:r w:rsidR="006757E8">
        <w:rPr>
          <w:b w:val="0"/>
          <w:sz w:val="18"/>
          <w:szCs w:val="18"/>
        </w:rPr>
        <w:t>.</w:t>
      </w:r>
      <w:proofErr w:type="gramEnd"/>
      <w:r w:rsidR="006757E8">
        <w:rPr>
          <w:b w:val="0"/>
          <w:sz w:val="18"/>
          <w:szCs w:val="18"/>
        </w:rPr>
        <w:t xml:space="preserve">  The overall column is the </w:t>
      </w:r>
      <w:proofErr w:type="spellStart"/>
      <w:r w:rsidR="006757E8">
        <w:rPr>
          <w:b w:val="0"/>
          <w:sz w:val="18"/>
          <w:szCs w:val="18"/>
        </w:rPr>
        <w:t>unweighted</w:t>
      </w:r>
      <w:proofErr w:type="spellEnd"/>
      <w:r w:rsidR="006757E8">
        <w:rPr>
          <w:b w:val="0"/>
          <w:sz w:val="18"/>
          <w:szCs w:val="18"/>
        </w:rPr>
        <w:t xml:space="preserve"> average of the four </w:t>
      </w:r>
      <w:r w:rsidR="006F0823">
        <w:rPr>
          <w:b w:val="0"/>
          <w:sz w:val="18"/>
          <w:szCs w:val="18"/>
        </w:rPr>
        <w:t>metrics provided by I2B2</w:t>
      </w:r>
      <w:r w:rsidR="006757E8">
        <w:rPr>
          <w:b w:val="0"/>
          <w:sz w:val="18"/>
          <w:szCs w:val="18"/>
        </w:rPr>
        <w:t xml:space="preserve">.  The other columns are </w:t>
      </w:r>
      <w:r w:rsidR="000D7354">
        <w:rPr>
          <w:b w:val="0"/>
          <w:sz w:val="18"/>
          <w:szCs w:val="18"/>
        </w:rPr>
        <w:t xml:space="preserve">the f1 performance score of </w:t>
      </w:r>
      <w:r w:rsidR="006757E8">
        <w:rPr>
          <w:b w:val="0"/>
          <w:sz w:val="18"/>
          <w:szCs w:val="18"/>
        </w:rPr>
        <w:t>the individual concept mention categories evaluated using the first method described above in “Evaluation Methods”.</w:t>
      </w:r>
    </w:p>
    <w:p w:rsidR="007F343A" w:rsidRDefault="007F343A" w:rsidP="000D4031">
      <w:pPr>
        <w:pStyle w:val="AMIAHeading"/>
        <w:spacing w:line="276" w:lineRule="auto"/>
        <w:rPr>
          <w:b w:val="0"/>
          <w:sz w:val="18"/>
          <w:szCs w:val="18"/>
        </w:rPr>
      </w:pPr>
    </w:p>
    <w:p w:rsidR="005C1762" w:rsidRDefault="00F45E8A" w:rsidP="000D4031">
      <w:pPr>
        <w:pStyle w:val="AMIAHeading"/>
        <w:spacing w:line="276" w:lineRule="auto"/>
        <w:rPr>
          <w:sz w:val="22"/>
          <w:szCs w:val="22"/>
        </w:rPr>
      </w:pPr>
      <w:r w:rsidRPr="00F45E8A">
        <w:rPr>
          <w:sz w:val="22"/>
          <w:szCs w:val="22"/>
        </w:rPr>
        <w:t>Stanford Co-reference System</w:t>
      </w:r>
    </w:p>
    <w:p w:rsidR="000244DB" w:rsidRDefault="00614515" w:rsidP="000D4031">
      <w:pPr>
        <w:pStyle w:val="AMIAHeading"/>
        <w:spacing w:line="276" w:lineRule="auto"/>
        <w:rPr>
          <w:b w:val="0"/>
          <w:sz w:val="22"/>
          <w:szCs w:val="22"/>
        </w:rPr>
      </w:pPr>
      <w:r>
        <w:rPr>
          <w:b w:val="0"/>
          <w:sz w:val="22"/>
          <w:szCs w:val="22"/>
        </w:rPr>
        <w:t>The Stanford co-reference system is an ongoing project by the Stanford Natural Processing Language Group</w:t>
      </w:r>
      <w:r>
        <w:rPr>
          <w:rStyle w:val="AMIASuperscriptChar"/>
        </w:rPr>
        <w:t>4</w:t>
      </w:r>
      <w:r>
        <w:rPr>
          <w:b w:val="0"/>
          <w:sz w:val="22"/>
          <w:szCs w:val="22"/>
        </w:rPr>
        <w:t xml:space="preserve">.  </w:t>
      </w:r>
      <w:r w:rsidR="00CB26FD">
        <w:rPr>
          <w:b w:val="0"/>
          <w:sz w:val="22"/>
          <w:szCs w:val="22"/>
        </w:rPr>
        <w:t xml:space="preserve">It can be found at the Stanford Natural Language Processing Group’s website: </w:t>
      </w:r>
      <w:hyperlink r:id="rId10" w:history="1">
        <w:r w:rsidR="00CB26FD" w:rsidRPr="000F4811">
          <w:rPr>
            <w:rStyle w:val="Hyperlink"/>
            <w:b w:val="0"/>
            <w:sz w:val="22"/>
            <w:szCs w:val="22"/>
          </w:rPr>
          <w:t>http://nlp.stanford.edu/software/dcoref.shtml</w:t>
        </w:r>
      </w:hyperlink>
      <w:r w:rsidR="00CB26FD">
        <w:rPr>
          <w:b w:val="0"/>
          <w:sz w:val="22"/>
          <w:szCs w:val="22"/>
        </w:rPr>
        <w:t xml:space="preserve">.  </w:t>
      </w:r>
      <w:r>
        <w:rPr>
          <w:b w:val="0"/>
          <w:sz w:val="22"/>
          <w:szCs w:val="22"/>
        </w:rPr>
        <w:t>It uses what is called a “Multi-pass sieve” to perform co-reference resolution, which is a layered approach to detecting links between mentions</w:t>
      </w:r>
      <w:r w:rsidR="006E1962">
        <w:rPr>
          <w:b w:val="0"/>
          <w:sz w:val="22"/>
          <w:szCs w:val="22"/>
        </w:rPr>
        <w:t xml:space="preserve">. It starts with the strongest match first then uses more </w:t>
      </w:r>
      <w:r w:rsidR="000244DB">
        <w:rPr>
          <w:b w:val="0"/>
          <w:sz w:val="22"/>
          <w:szCs w:val="22"/>
        </w:rPr>
        <w:t xml:space="preserve">and more </w:t>
      </w:r>
      <w:r w:rsidR="006E1962">
        <w:rPr>
          <w:b w:val="0"/>
          <w:sz w:val="22"/>
          <w:szCs w:val="22"/>
        </w:rPr>
        <w:t>relaxed criteria for matches as it runs down the layers of co-referring rules</w:t>
      </w:r>
      <w:r w:rsidR="00E1189F">
        <w:rPr>
          <w:rStyle w:val="AMIASuperscriptChar"/>
        </w:rPr>
        <w:t>3</w:t>
      </w:r>
      <w:r w:rsidR="006E1962">
        <w:rPr>
          <w:b w:val="0"/>
          <w:sz w:val="22"/>
          <w:szCs w:val="22"/>
        </w:rPr>
        <w:t>.</w:t>
      </w:r>
      <w:r>
        <w:rPr>
          <w:b w:val="0"/>
          <w:sz w:val="22"/>
          <w:szCs w:val="22"/>
        </w:rPr>
        <w:t xml:space="preserve"> </w:t>
      </w:r>
      <w:r w:rsidR="006E1962">
        <w:rPr>
          <w:b w:val="0"/>
          <w:sz w:val="22"/>
          <w:szCs w:val="22"/>
        </w:rPr>
        <w:t xml:space="preserve">Like BART, it uses its own internal functions to identify concept mentions.  </w:t>
      </w:r>
      <w:r w:rsidR="000244DB">
        <w:rPr>
          <w:b w:val="0"/>
          <w:sz w:val="22"/>
          <w:szCs w:val="22"/>
        </w:rPr>
        <w:t xml:space="preserve">Execution time of the Stanford system ranged from 2.5 minutes to 20 minutes per document, and depended on the length of the text.  </w:t>
      </w:r>
      <w:r w:rsidR="009B225E">
        <w:rPr>
          <w:b w:val="0"/>
          <w:sz w:val="22"/>
          <w:szCs w:val="22"/>
        </w:rPr>
        <w:t>Input and output for this system was done by calling the Java classes directly from the computational program developed for this study.  Input was supplying the raw text</w:t>
      </w:r>
      <w:r w:rsidR="00CB26FD">
        <w:rPr>
          <w:b w:val="0"/>
          <w:sz w:val="22"/>
          <w:szCs w:val="22"/>
        </w:rPr>
        <w:t xml:space="preserve"> in a string</w:t>
      </w:r>
      <w:r w:rsidR="009B225E">
        <w:rPr>
          <w:b w:val="0"/>
          <w:sz w:val="22"/>
          <w:szCs w:val="22"/>
        </w:rPr>
        <w:t>, and o</w:t>
      </w:r>
      <w:r w:rsidR="006E1962">
        <w:rPr>
          <w:b w:val="0"/>
          <w:sz w:val="22"/>
          <w:szCs w:val="22"/>
        </w:rPr>
        <w:t>utput from this system comes in the form of a map stored in an array.  Each element of the array holds the location, in the form of line number and word number in the text, of a source mention, and a destination mention.  A simple mapping function was constructed to convert the Stanford concept locations t</w:t>
      </w:r>
      <w:r w:rsidR="000244DB">
        <w:rPr>
          <w:b w:val="0"/>
          <w:sz w:val="22"/>
          <w:szCs w:val="22"/>
        </w:rPr>
        <w:t xml:space="preserve">o I2B2 concept locations.  Only </w:t>
      </w:r>
      <w:r w:rsidR="006E1962">
        <w:rPr>
          <w:b w:val="0"/>
          <w:sz w:val="22"/>
          <w:szCs w:val="22"/>
        </w:rPr>
        <w:t xml:space="preserve">concept </w:t>
      </w:r>
      <w:r w:rsidR="000244DB">
        <w:rPr>
          <w:b w:val="0"/>
          <w:sz w:val="22"/>
          <w:szCs w:val="22"/>
        </w:rPr>
        <w:t xml:space="preserve">mentions that were </w:t>
      </w:r>
      <w:r w:rsidR="006E1962">
        <w:rPr>
          <w:b w:val="0"/>
          <w:sz w:val="22"/>
          <w:szCs w:val="22"/>
        </w:rPr>
        <w:t xml:space="preserve">found by the Stanford system </w:t>
      </w:r>
      <w:r w:rsidR="000244DB">
        <w:rPr>
          <w:b w:val="0"/>
          <w:sz w:val="22"/>
          <w:szCs w:val="22"/>
        </w:rPr>
        <w:t>and listed by the I2B2 annotations were considered, all other mentions and co-referent links were discarded.  After running the Stanford system on files from each of the data sets provided, the following performance results were obtained (Table 2).</w:t>
      </w:r>
    </w:p>
    <w:p w:rsidR="00CB26FD" w:rsidRDefault="00CB26FD" w:rsidP="000D4031">
      <w:pPr>
        <w:pStyle w:val="AMIAHeading"/>
        <w:spacing w:line="276" w:lineRule="auto"/>
        <w:rPr>
          <w:b w:val="0"/>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0"/>
        <w:gridCol w:w="1170"/>
        <w:gridCol w:w="1170"/>
        <w:gridCol w:w="1260"/>
        <w:gridCol w:w="1170"/>
        <w:gridCol w:w="1260"/>
        <w:gridCol w:w="1350"/>
      </w:tblGrid>
      <w:tr w:rsidR="000244DB" w:rsidRPr="00C13006" w:rsidTr="00C13006">
        <w:tc>
          <w:tcPr>
            <w:tcW w:w="1980" w:type="dxa"/>
          </w:tcPr>
          <w:p w:rsidR="000244DB" w:rsidRPr="00C13006" w:rsidRDefault="000244DB" w:rsidP="00C13006">
            <w:pPr>
              <w:pStyle w:val="AMIAHeading"/>
              <w:spacing w:line="276" w:lineRule="auto"/>
              <w:rPr>
                <w:b w:val="0"/>
                <w:sz w:val="22"/>
                <w:szCs w:val="22"/>
              </w:rPr>
            </w:pPr>
            <w:r w:rsidRPr="00C13006">
              <w:rPr>
                <w:b w:val="0"/>
                <w:sz w:val="22"/>
                <w:szCs w:val="22"/>
              </w:rPr>
              <w:lastRenderedPageBreak/>
              <w:t>Data Set</w:t>
            </w:r>
          </w:p>
        </w:tc>
        <w:tc>
          <w:tcPr>
            <w:tcW w:w="1170" w:type="dxa"/>
          </w:tcPr>
          <w:p w:rsidR="000244DB" w:rsidRPr="00C13006" w:rsidRDefault="000244DB" w:rsidP="00C13006">
            <w:pPr>
              <w:pStyle w:val="AMIAHeading"/>
              <w:spacing w:line="276" w:lineRule="auto"/>
              <w:rPr>
                <w:b w:val="0"/>
                <w:sz w:val="22"/>
                <w:szCs w:val="22"/>
              </w:rPr>
            </w:pPr>
            <w:r w:rsidRPr="00C13006">
              <w:rPr>
                <w:b w:val="0"/>
                <w:sz w:val="22"/>
                <w:szCs w:val="22"/>
              </w:rPr>
              <w:t>Overall</w:t>
            </w:r>
          </w:p>
        </w:tc>
        <w:tc>
          <w:tcPr>
            <w:tcW w:w="1170" w:type="dxa"/>
          </w:tcPr>
          <w:p w:rsidR="000244DB" w:rsidRPr="00C13006" w:rsidRDefault="000244DB" w:rsidP="00C13006">
            <w:pPr>
              <w:pStyle w:val="AMIAHeading"/>
              <w:spacing w:line="276" w:lineRule="auto"/>
              <w:rPr>
                <w:b w:val="0"/>
                <w:sz w:val="22"/>
                <w:szCs w:val="22"/>
              </w:rPr>
            </w:pPr>
            <w:r w:rsidRPr="00C13006">
              <w:rPr>
                <w:b w:val="0"/>
                <w:sz w:val="22"/>
                <w:szCs w:val="22"/>
              </w:rPr>
              <w:t>People</w:t>
            </w:r>
          </w:p>
        </w:tc>
        <w:tc>
          <w:tcPr>
            <w:tcW w:w="1260" w:type="dxa"/>
          </w:tcPr>
          <w:p w:rsidR="000244DB" w:rsidRPr="00C13006" w:rsidRDefault="000244DB" w:rsidP="00C13006">
            <w:pPr>
              <w:pStyle w:val="AMIAHeading"/>
              <w:spacing w:line="276" w:lineRule="auto"/>
              <w:rPr>
                <w:b w:val="0"/>
                <w:sz w:val="22"/>
                <w:szCs w:val="22"/>
              </w:rPr>
            </w:pPr>
            <w:r w:rsidRPr="00C13006">
              <w:rPr>
                <w:b w:val="0"/>
                <w:sz w:val="22"/>
                <w:szCs w:val="22"/>
              </w:rPr>
              <w:t>Problems</w:t>
            </w:r>
          </w:p>
        </w:tc>
        <w:tc>
          <w:tcPr>
            <w:tcW w:w="1170" w:type="dxa"/>
          </w:tcPr>
          <w:p w:rsidR="000244DB" w:rsidRPr="00C13006" w:rsidRDefault="000244DB" w:rsidP="00C13006">
            <w:pPr>
              <w:pStyle w:val="AMIAHeading"/>
              <w:spacing w:line="276" w:lineRule="auto"/>
              <w:rPr>
                <w:b w:val="0"/>
                <w:sz w:val="22"/>
                <w:szCs w:val="22"/>
              </w:rPr>
            </w:pPr>
            <w:r w:rsidRPr="00C13006">
              <w:rPr>
                <w:b w:val="0"/>
                <w:sz w:val="22"/>
                <w:szCs w:val="22"/>
              </w:rPr>
              <w:t>Tests</w:t>
            </w:r>
          </w:p>
        </w:tc>
        <w:tc>
          <w:tcPr>
            <w:tcW w:w="1260" w:type="dxa"/>
          </w:tcPr>
          <w:p w:rsidR="000244DB" w:rsidRPr="00C13006" w:rsidRDefault="000244DB" w:rsidP="00C13006">
            <w:pPr>
              <w:pStyle w:val="AMIAHeading"/>
              <w:spacing w:line="276" w:lineRule="auto"/>
              <w:rPr>
                <w:b w:val="0"/>
                <w:sz w:val="22"/>
                <w:szCs w:val="22"/>
              </w:rPr>
            </w:pPr>
            <w:r w:rsidRPr="00C13006">
              <w:rPr>
                <w:b w:val="0"/>
                <w:sz w:val="22"/>
                <w:szCs w:val="22"/>
              </w:rPr>
              <w:t>Treatments</w:t>
            </w:r>
          </w:p>
        </w:tc>
        <w:tc>
          <w:tcPr>
            <w:tcW w:w="1350" w:type="dxa"/>
          </w:tcPr>
          <w:p w:rsidR="000244DB" w:rsidRPr="00C13006" w:rsidRDefault="000244DB" w:rsidP="00C13006">
            <w:pPr>
              <w:pStyle w:val="AMIAHeading"/>
              <w:spacing w:line="276" w:lineRule="auto"/>
              <w:rPr>
                <w:b w:val="0"/>
                <w:sz w:val="22"/>
                <w:szCs w:val="22"/>
              </w:rPr>
            </w:pPr>
            <w:r w:rsidRPr="00C13006">
              <w:rPr>
                <w:b w:val="0"/>
                <w:sz w:val="22"/>
                <w:szCs w:val="22"/>
              </w:rPr>
              <w:t>All Others</w:t>
            </w:r>
          </w:p>
        </w:tc>
      </w:tr>
      <w:tr w:rsidR="000244DB" w:rsidRPr="00C13006" w:rsidTr="00C13006">
        <w:tc>
          <w:tcPr>
            <w:tcW w:w="1980" w:type="dxa"/>
          </w:tcPr>
          <w:p w:rsidR="000244DB" w:rsidRPr="00C13006" w:rsidRDefault="000244DB" w:rsidP="00C13006">
            <w:pPr>
              <w:pStyle w:val="AMIAHeading"/>
              <w:spacing w:line="276" w:lineRule="auto"/>
              <w:rPr>
                <w:b w:val="0"/>
                <w:sz w:val="22"/>
                <w:szCs w:val="22"/>
              </w:rPr>
            </w:pPr>
            <w:r w:rsidRPr="00C13006">
              <w:rPr>
                <w:b w:val="0"/>
                <w:sz w:val="22"/>
                <w:szCs w:val="22"/>
              </w:rPr>
              <w:t>Beth Israel</w:t>
            </w:r>
          </w:p>
        </w:tc>
        <w:tc>
          <w:tcPr>
            <w:tcW w:w="1170" w:type="dxa"/>
          </w:tcPr>
          <w:p w:rsidR="000244DB" w:rsidRPr="00C13006" w:rsidRDefault="00221B42" w:rsidP="00C13006">
            <w:pPr>
              <w:pStyle w:val="AMIAHeading"/>
              <w:spacing w:line="276" w:lineRule="auto"/>
              <w:rPr>
                <w:b w:val="0"/>
                <w:sz w:val="22"/>
                <w:szCs w:val="22"/>
              </w:rPr>
            </w:pPr>
            <w:r w:rsidRPr="00C13006">
              <w:rPr>
                <w:b w:val="0"/>
                <w:sz w:val="22"/>
                <w:szCs w:val="22"/>
              </w:rPr>
              <w:t>62</w:t>
            </w:r>
            <w:r w:rsidR="00B00D52">
              <w:rPr>
                <w:b w:val="0"/>
                <w:sz w:val="22"/>
                <w:szCs w:val="22"/>
              </w:rPr>
              <w:t>.</w:t>
            </w:r>
            <w:r w:rsidRPr="00C13006">
              <w:rPr>
                <w:b w:val="0"/>
                <w:sz w:val="22"/>
                <w:szCs w:val="22"/>
              </w:rPr>
              <w:t>7</w:t>
            </w:r>
            <w:r w:rsidR="00B00D52">
              <w:rPr>
                <w:b w:val="0"/>
                <w:sz w:val="22"/>
                <w:szCs w:val="22"/>
              </w:rPr>
              <w:t>%</w:t>
            </w:r>
          </w:p>
        </w:tc>
        <w:tc>
          <w:tcPr>
            <w:tcW w:w="1170" w:type="dxa"/>
          </w:tcPr>
          <w:p w:rsidR="000244DB" w:rsidRPr="00C13006" w:rsidRDefault="00221B42" w:rsidP="00C13006">
            <w:pPr>
              <w:pStyle w:val="AMIAHeading"/>
              <w:spacing w:line="276" w:lineRule="auto"/>
              <w:rPr>
                <w:b w:val="0"/>
                <w:sz w:val="22"/>
                <w:szCs w:val="22"/>
              </w:rPr>
            </w:pPr>
            <w:r w:rsidRPr="00C13006">
              <w:rPr>
                <w:b w:val="0"/>
                <w:sz w:val="22"/>
                <w:szCs w:val="22"/>
              </w:rPr>
              <w:t>24.4</w:t>
            </w:r>
            <w:r w:rsidR="00B00D52">
              <w:rPr>
                <w:b w:val="0"/>
                <w:sz w:val="22"/>
                <w:szCs w:val="22"/>
              </w:rPr>
              <w:t>%</w:t>
            </w:r>
          </w:p>
        </w:tc>
        <w:tc>
          <w:tcPr>
            <w:tcW w:w="1260" w:type="dxa"/>
          </w:tcPr>
          <w:p w:rsidR="000244DB" w:rsidRPr="00C13006" w:rsidRDefault="00221B42" w:rsidP="00C13006">
            <w:pPr>
              <w:pStyle w:val="AMIAHeading"/>
              <w:spacing w:line="276" w:lineRule="auto"/>
              <w:rPr>
                <w:b w:val="0"/>
                <w:sz w:val="22"/>
                <w:szCs w:val="22"/>
              </w:rPr>
            </w:pPr>
            <w:r w:rsidRPr="00C13006">
              <w:rPr>
                <w:b w:val="0"/>
                <w:sz w:val="22"/>
                <w:szCs w:val="22"/>
              </w:rPr>
              <w:t>1.5</w:t>
            </w:r>
            <w:r w:rsidR="00B00D52">
              <w:rPr>
                <w:b w:val="0"/>
                <w:sz w:val="22"/>
                <w:szCs w:val="22"/>
              </w:rPr>
              <w:t>%</w:t>
            </w:r>
          </w:p>
        </w:tc>
        <w:tc>
          <w:tcPr>
            <w:tcW w:w="1170" w:type="dxa"/>
          </w:tcPr>
          <w:p w:rsidR="000244DB" w:rsidRPr="00C13006" w:rsidRDefault="00221B42" w:rsidP="00C13006">
            <w:pPr>
              <w:pStyle w:val="AMIAHeading"/>
              <w:spacing w:line="276" w:lineRule="auto"/>
              <w:rPr>
                <w:b w:val="0"/>
                <w:sz w:val="22"/>
                <w:szCs w:val="22"/>
              </w:rPr>
            </w:pPr>
            <w:r w:rsidRPr="00C13006">
              <w:rPr>
                <w:b w:val="0"/>
                <w:sz w:val="22"/>
                <w:szCs w:val="22"/>
              </w:rPr>
              <w:t>2.9</w:t>
            </w:r>
            <w:r w:rsidR="00B00D52">
              <w:rPr>
                <w:b w:val="0"/>
                <w:sz w:val="22"/>
                <w:szCs w:val="22"/>
              </w:rPr>
              <w:t>%</w:t>
            </w:r>
          </w:p>
        </w:tc>
        <w:tc>
          <w:tcPr>
            <w:tcW w:w="1260" w:type="dxa"/>
          </w:tcPr>
          <w:p w:rsidR="000244DB" w:rsidRPr="00C13006" w:rsidRDefault="00221B42" w:rsidP="00C13006">
            <w:pPr>
              <w:pStyle w:val="AMIAHeading"/>
              <w:spacing w:line="276" w:lineRule="auto"/>
              <w:rPr>
                <w:b w:val="0"/>
                <w:sz w:val="22"/>
                <w:szCs w:val="22"/>
              </w:rPr>
            </w:pPr>
            <w:r w:rsidRPr="00C13006">
              <w:rPr>
                <w:b w:val="0"/>
                <w:sz w:val="22"/>
                <w:szCs w:val="22"/>
              </w:rPr>
              <w:t>9.2</w:t>
            </w:r>
            <w:r w:rsidR="00B00D52">
              <w:rPr>
                <w:b w:val="0"/>
                <w:sz w:val="22"/>
                <w:szCs w:val="22"/>
              </w:rPr>
              <w:t>%</w:t>
            </w:r>
          </w:p>
        </w:tc>
        <w:tc>
          <w:tcPr>
            <w:tcW w:w="1350" w:type="dxa"/>
          </w:tcPr>
          <w:p w:rsidR="000244DB" w:rsidRPr="00C13006" w:rsidRDefault="000244DB" w:rsidP="00C13006">
            <w:pPr>
              <w:pStyle w:val="AMIAHeading"/>
              <w:spacing w:line="276" w:lineRule="auto"/>
              <w:rPr>
                <w:b w:val="0"/>
                <w:sz w:val="22"/>
                <w:szCs w:val="22"/>
              </w:rPr>
            </w:pPr>
            <w:r w:rsidRPr="00C13006">
              <w:rPr>
                <w:b w:val="0"/>
                <w:sz w:val="22"/>
                <w:szCs w:val="22"/>
              </w:rPr>
              <w:t>N/A</w:t>
            </w:r>
          </w:p>
        </w:tc>
      </w:tr>
      <w:tr w:rsidR="000244DB" w:rsidRPr="00C13006" w:rsidTr="00C13006">
        <w:tc>
          <w:tcPr>
            <w:tcW w:w="1980" w:type="dxa"/>
          </w:tcPr>
          <w:p w:rsidR="000244DB" w:rsidRPr="00C13006" w:rsidRDefault="000244DB" w:rsidP="00C13006">
            <w:pPr>
              <w:pStyle w:val="AMIAHeading"/>
              <w:spacing w:line="276" w:lineRule="auto"/>
              <w:rPr>
                <w:b w:val="0"/>
                <w:sz w:val="22"/>
                <w:szCs w:val="22"/>
              </w:rPr>
            </w:pPr>
            <w:r w:rsidRPr="00C13006">
              <w:rPr>
                <w:b w:val="0"/>
                <w:sz w:val="22"/>
                <w:szCs w:val="22"/>
              </w:rPr>
              <w:t>Partners Healthcare</w:t>
            </w:r>
          </w:p>
        </w:tc>
        <w:tc>
          <w:tcPr>
            <w:tcW w:w="1170" w:type="dxa"/>
          </w:tcPr>
          <w:p w:rsidR="000244DB" w:rsidRPr="00C13006" w:rsidRDefault="00221B42" w:rsidP="00C13006">
            <w:pPr>
              <w:pStyle w:val="AMIAHeading"/>
              <w:spacing w:line="276" w:lineRule="auto"/>
              <w:rPr>
                <w:b w:val="0"/>
                <w:sz w:val="22"/>
                <w:szCs w:val="22"/>
              </w:rPr>
            </w:pPr>
            <w:r w:rsidRPr="00C13006">
              <w:rPr>
                <w:b w:val="0"/>
                <w:sz w:val="22"/>
                <w:szCs w:val="22"/>
              </w:rPr>
              <w:t>63</w:t>
            </w:r>
            <w:r w:rsidR="00B00D52">
              <w:rPr>
                <w:b w:val="0"/>
                <w:sz w:val="22"/>
                <w:szCs w:val="22"/>
              </w:rPr>
              <w:t>.</w:t>
            </w:r>
            <w:r w:rsidRPr="00C13006">
              <w:rPr>
                <w:b w:val="0"/>
                <w:sz w:val="22"/>
                <w:szCs w:val="22"/>
              </w:rPr>
              <w:t>3</w:t>
            </w:r>
            <w:r w:rsidR="00B00D52">
              <w:rPr>
                <w:b w:val="0"/>
                <w:sz w:val="22"/>
                <w:szCs w:val="22"/>
              </w:rPr>
              <w:t>%</w:t>
            </w:r>
          </w:p>
        </w:tc>
        <w:tc>
          <w:tcPr>
            <w:tcW w:w="1170" w:type="dxa"/>
          </w:tcPr>
          <w:p w:rsidR="000244DB" w:rsidRPr="00C13006" w:rsidRDefault="00221B42" w:rsidP="00C13006">
            <w:pPr>
              <w:pStyle w:val="AMIAHeading"/>
              <w:spacing w:line="276" w:lineRule="auto"/>
              <w:rPr>
                <w:b w:val="0"/>
                <w:sz w:val="22"/>
                <w:szCs w:val="22"/>
              </w:rPr>
            </w:pPr>
            <w:r w:rsidRPr="00C13006">
              <w:rPr>
                <w:b w:val="0"/>
                <w:sz w:val="22"/>
                <w:szCs w:val="22"/>
              </w:rPr>
              <w:t>20.7</w:t>
            </w:r>
            <w:r w:rsidR="00B00D52">
              <w:rPr>
                <w:b w:val="0"/>
                <w:sz w:val="22"/>
                <w:szCs w:val="22"/>
              </w:rPr>
              <w:t>%</w:t>
            </w:r>
          </w:p>
        </w:tc>
        <w:tc>
          <w:tcPr>
            <w:tcW w:w="1260" w:type="dxa"/>
          </w:tcPr>
          <w:p w:rsidR="000244DB" w:rsidRPr="00C13006" w:rsidRDefault="00221B42" w:rsidP="00C13006">
            <w:pPr>
              <w:pStyle w:val="AMIAHeading"/>
              <w:spacing w:line="276" w:lineRule="auto"/>
              <w:rPr>
                <w:b w:val="0"/>
                <w:sz w:val="22"/>
                <w:szCs w:val="22"/>
              </w:rPr>
            </w:pPr>
            <w:r w:rsidRPr="00C13006">
              <w:rPr>
                <w:b w:val="0"/>
                <w:sz w:val="22"/>
                <w:szCs w:val="22"/>
              </w:rPr>
              <w:t>3.4</w:t>
            </w:r>
            <w:r w:rsidR="00B00D52">
              <w:rPr>
                <w:b w:val="0"/>
                <w:sz w:val="22"/>
                <w:szCs w:val="22"/>
              </w:rPr>
              <w:t>%</w:t>
            </w:r>
          </w:p>
        </w:tc>
        <w:tc>
          <w:tcPr>
            <w:tcW w:w="1170" w:type="dxa"/>
          </w:tcPr>
          <w:p w:rsidR="000244DB" w:rsidRPr="00C13006" w:rsidRDefault="00221B42" w:rsidP="00C13006">
            <w:pPr>
              <w:pStyle w:val="AMIAHeading"/>
              <w:spacing w:line="276" w:lineRule="auto"/>
              <w:rPr>
                <w:b w:val="0"/>
                <w:sz w:val="22"/>
                <w:szCs w:val="22"/>
              </w:rPr>
            </w:pPr>
            <w:r w:rsidRPr="00C13006">
              <w:rPr>
                <w:b w:val="0"/>
                <w:sz w:val="22"/>
                <w:szCs w:val="22"/>
              </w:rPr>
              <w:t>5.3</w:t>
            </w:r>
            <w:r w:rsidR="00B00D52">
              <w:rPr>
                <w:b w:val="0"/>
                <w:sz w:val="22"/>
                <w:szCs w:val="22"/>
              </w:rPr>
              <w:t>%</w:t>
            </w:r>
          </w:p>
        </w:tc>
        <w:tc>
          <w:tcPr>
            <w:tcW w:w="1260" w:type="dxa"/>
          </w:tcPr>
          <w:p w:rsidR="000244DB" w:rsidRPr="00C13006" w:rsidRDefault="00221B42" w:rsidP="00C13006">
            <w:pPr>
              <w:pStyle w:val="AMIAHeading"/>
              <w:spacing w:line="276" w:lineRule="auto"/>
              <w:rPr>
                <w:b w:val="0"/>
                <w:sz w:val="22"/>
                <w:szCs w:val="22"/>
              </w:rPr>
            </w:pPr>
            <w:r w:rsidRPr="00C13006">
              <w:rPr>
                <w:b w:val="0"/>
                <w:sz w:val="22"/>
                <w:szCs w:val="22"/>
              </w:rPr>
              <w:t>8.4</w:t>
            </w:r>
            <w:r w:rsidR="00B00D52">
              <w:rPr>
                <w:b w:val="0"/>
                <w:sz w:val="22"/>
                <w:szCs w:val="22"/>
              </w:rPr>
              <w:t>%</w:t>
            </w:r>
          </w:p>
        </w:tc>
        <w:tc>
          <w:tcPr>
            <w:tcW w:w="1350" w:type="dxa"/>
          </w:tcPr>
          <w:p w:rsidR="000244DB" w:rsidRPr="00C13006" w:rsidRDefault="000244DB" w:rsidP="00C13006">
            <w:pPr>
              <w:pStyle w:val="AMIAHeading"/>
              <w:spacing w:line="276" w:lineRule="auto"/>
              <w:rPr>
                <w:b w:val="0"/>
                <w:sz w:val="22"/>
                <w:szCs w:val="22"/>
              </w:rPr>
            </w:pPr>
            <w:r w:rsidRPr="00C13006">
              <w:rPr>
                <w:b w:val="0"/>
                <w:sz w:val="22"/>
                <w:szCs w:val="22"/>
              </w:rPr>
              <w:t>N/A</w:t>
            </w:r>
          </w:p>
        </w:tc>
      </w:tr>
      <w:tr w:rsidR="000244DB" w:rsidRPr="00C13006" w:rsidTr="00C13006">
        <w:tc>
          <w:tcPr>
            <w:tcW w:w="1980" w:type="dxa"/>
          </w:tcPr>
          <w:p w:rsidR="000244DB" w:rsidRPr="00C13006" w:rsidRDefault="000244DB" w:rsidP="00C13006">
            <w:pPr>
              <w:pStyle w:val="AMIAHeading"/>
              <w:spacing w:line="276" w:lineRule="auto"/>
              <w:rPr>
                <w:b w:val="0"/>
                <w:sz w:val="22"/>
                <w:szCs w:val="22"/>
              </w:rPr>
            </w:pPr>
            <w:r w:rsidRPr="00C13006">
              <w:rPr>
                <w:b w:val="0"/>
                <w:sz w:val="22"/>
                <w:szCs w:val="22"/>
              </w:rPr>
              <w:t>Mayo Clinic</w:t>
            </w:r>
          </w:p>
        </w:tc>
        <w:tc>
          <w:tcPr>
            <w:tcW w:w="1170" w:type="dxa"/>
          </w:tcPr>
          <w:p w:rsidR="000244DB" w:rsidRPr="00C13006" w:rsidRDefault="001B7876" w:rsidP="00C13006">
            <w:pPr>
              <w:pStyle w:val="AMIAHeading"/>
              <w:spacing w:line="276" w:lineRule="auto"/>
              <w:rPr>
                <w:b w:val="0"/>
                <w:sz w:val="22"/>
                <w:szCs w:val="22"/>
              </w:rPr>
            </w:pPr>
            <w:r>
              <w:rPr>
                <w:b w:val="0"/>
                <w:sz w:val="22"/>
                <w:szCs w:val="22"/>
              </w:rPr>
              <w:t>43.6%</w:t>
            </w:r>
          </w:p>
        </w:tc>
        <w:tc>
          <w:tcPr>
            <w:tcW w:w="1170" w:type="dxa"/>
          </w:tcPr>
          <w:p w:rsidR="000244DB" w:rsidRPr="00C13006" w:rsidRDefault="001B7876" w:rsidP="00C13006">
            <w:pPr>
              <w:pStyle w:val="AMIAHeading"/>
              <w:spacing w:line="276" w:lineRule="auto"/>
              <w:rPr>
                <w:b w:val="0"/>
                <w:sz w:val="22"/>
                <w:szCs w:val="22"/>
              </w:rPr>
            </w:pPr>
            <w:r>
              <w:rPr>
                <w:b w:val="0"/>
                <w:sz w:val="22"/>
                <w:szCs w:val="22"/>
              </w:rPr>
              <w:t>0.69%</w:t>
            </w:r>
          </w:p>
        </w:tc>
        <w:tc>
          <w:tcPr>
            <w:tcW w:w="1260" w:type="dxa"/>
          </w:tcPr>
          <w:p w:rsidR="000244DB" w:rsidRPr="00C13006" w:rsidRDefault="001B7876" w:rsidP="00C13006">
            <w:pPr>
              <w:pStyle w:val="AMIAHeading"/>
              <w:spacing w:line="276" w:lineRule="auto"/>
              <w:rPr>
                <w:b w:val="0"/>
                <w:sz w:val="22"/>
                <w:szCs w:val="22"/>
              </w:rPr>
            </w:pPr>
            <w:r>
              <w:rPr>
                <w:b w:val="0"/>
                <w:sz w:val="22"/>
                <w:szCs w:val="22"/>
              </w:rPr>
              <w:t>0%</w:t>
            </w:r>
          </w:p>
        </w:tc>
        <w:tc>
          <w:tcPr>
            <w:tcW w:w="1170" w:type="dxa"/>
          </w:tcPr>
          <w:p w:rsidR="000244DB" w:rsidRPr="00C13006" w:rsidRDefault="003C259C" w:rsidP="00C13006">
            <w:pPr>
              <w:pStyle w:val="AMIAHeading"/>
              <w:spacing w:line="276" w:lineRule="auto"/>
              <w:rPr>
                <w:b w:val="0"/>
                <w:sz w:val="22"/>
                <w:szCs w:val="22"/>
              </w:rPr>
            </w:pPr>
            <w:r>
              <w:rPr>
                <w:b w:val="0"/>
                <w:sz w:val="22"/>
                <w:szCs w:val="22"/>
              </w:rPr>
              <w:t>N/A</w:t>
            </w:r>
          </w:p>
        </w:tc>
        <w:tc>
          <w:tcPr>
            <w:tcW w:w="1260" w:type="dxa"/>
          </w:tcPr>
          <w:p w:rsidR="000244DB" w:rsidRPr="00C13006" w:rsidRDefault="001B7876" w:rsidP="00C13006">
            <w:pPr>
              <w:pStyle w:val="AMIAHeading"/>
              <w:spacing w:line="276" w:lineRule="auto"/>
              <w:rPr>
                <w:b w:val="0"/>
                <w:sz w:val="22"/>
                <w:szCs w:val="22"/>
              </w:rPr>
            </w:pPr>
            <w:r>
              <w:rPr>
                <w:b w:val="0"/>
                <w:sz w:val="22"/>
                <w:szCs w:val="22"/>
              </w:rPr>
              <w:t>0%</w:t>
            </w:r>
          </w:p>
        </w:tc>
        <w:tc>
          <w:tcPr>
            <w:tcW w:w="1350" w:type="dxa"/>
          </w:tcPr>
          <w:p w:rsidR="000244DB" w:rsidRPr="00C13006" w:rsidRDefault="001B7876" w:rsidP="00C13006">
            <w:pPr>
              <w:pStyle w:val="AMIAHeading"/>
              <w:spacing w:line="276" w:lineRule="auto"/>
              <w:rPr>
                <w:b w:val="0"/>
                <w:sz w:val="22"/>
                <w:szCs w:val="22"/>
              </w:rPr>
            </w:pPr>
            <w:r>
              <w:rPr>
                <w:b w:val="0"/>
                <w:sz w:val="22"/>
                <w:szCs w:val="22"/>
              </w:rPr>
              <w:t>0%</w:t>
            </w:r>
          </w:p>
        </w:tc>
      </w:tr>
    </w:tbl>
    <w:p w:rsidR="007029E9" w:rsidRDefault="000244DB" w:rsidP="000244DB">
      <w:pPr>
        <w:pStyle w:val="AMIAHeading"/>
        <w:spacing w:line="276" w:lineRule="auto"/>
        <w:rPr>
          <w:b w:val="0"/>
          <w:sz w:val="18"/>
          <w:szCs w:val="18"/>
        </w:rPr>
      </w:pPr>
      <w:proofErr w:type="gramStart"/>
      <w:r>
        <w:rPr>
          <w:sz w:val="18"/>
          <w:szCs w:val="18"/>
        </w:rPr>
        <w:t>Table</w:t>
      </w:r>
      <w:r w:rsidRPr="00F45E8A">
        <w:rPr>
          <w:sz w:val="18"/>
          <w:szCs w:val="18"/>
        </w:rPr>
        <w:t xml:space="preserve"> </w:t>
      </w:r>
      <w:r>
        <w:rPr>
          <w:sz w:val="18"/>
          <w:szCs w:val="18"/>
        </w:rPr>
        <w:t>2</w:t>
      </w:r>
      <w:r w:rsidRPr="006757E8">
        <w:rPr>
          <w:b w:val="0"/>
          <w:sz w:val="18"/>
          <w:szCs w:val="18"/>
        </w:rPr>
        <w:t>.</w:t>
      </w:r>
      <w:proofErr w:type="gramEnd"/>
      <w:r w:rsidRPr="006757E8">
        <w:rPr>
          <w:b w:val="0"/>
          <w:sz w:val="18"/>
          <w:szCs w:val="18"/>
        </w:rPr>
        <w:t xml:space="preserve"> </w:t>
      </w:r>
      <w:proofErr w:type="gramStart"/>
      <w:r>
        <w:rPr>
          <w:b w:val="0"/>
          <w:sz w:val="18"/>
          <w:szCs w:val="18"/>
        </w:rPr>
        <w:t>Stanford</w:t>
      </w:r>
      <w:r w:rsidRPr="006757E8">
        <w:rPr>
          <w:b w:val="0"/>
          <w:sz w:val="18"/>
          <w:szCs w:val="18"/>
        </w:rPr>
        <w:t xml:space="preserve"> performance results</w:t>
      </w:r>
      <w:r>
        <w:rPr>
          <w:b w:val="0"/>
          <w:sz w:val="18"/>
          <w:szCs w:val="18"/>
        </w:rPr>
        <w:t>.</w:t>
      </w:r>
      <w:proofErr w:type="gramEnd"/>
      <w:r>
        <w:rPr>
          <w:b w:val="0"/>
          <w:sz w:val="18"/>
          <w:szCs w:val="18"/>
        </w:rPr>
        <w:t xml:space="preserve">  The overall column is the </w:t>
      </w:r>
      <w:proofErr w:type="spellStart"/>
      <w:r>
        <w:rPr>
          <w:b w:val="0"/>
          <w:sz w:val="18"/>
          <w:szCs w:val="18"/>
        </w:rPr>
        <w:t>unweighted</w:t>
      </w:r>
      <w:proofErr w:type="spellEnd"/>
      <w:r>
        <w:rPr>
          <w:b w:val="0"/>
          <w:sz w:val="18"/>
          <w:szCs w:val="18"/>
        </w:rPr>
        <w:t xml:space="preserve"> average of the four </w:t>
      </w:r>
      <w:r w:rsidR="006F0823">
        <w:rPr>
          <w:b w:val="0"/>
          <w:sz w:val="18"/>
          <w:szCs w:val="18"/>
        </w:rPr>
        <w:t>metrics provided by I2B2</w:t>
      </w:r>
      <w:r>
        <w:rPr>
          <w:b w:val="0"/>
          <w:sz w:val="18"/>
          <w:szCs w:val="18"/>
        </w:rPr>
        <w:t>.  The other columns are the f1 performance score of the individual concept mention categories evaluated using the first method described above in “Evaluation Methods”.</w:t>
      </w:r>
    </w:p>
    <w:p w:rsidR="007F343A" w:rsidRDefault="007F343A" w:rsidP="000244DB">
      <w:pPr>
        <w:pStyle w:val="AMIAHeading"/>
        <w:spacing w:line="276" w:lineRule="auto"/>
        <w:rPr>
          <w:b w:val="0"/>
          <w:sz w:val="18"/>
          <w:szCs w:val="18"/>
        </w:rPr>
      </w:pPr>
    </w:p>
    <w:p w:rsidR="000244DB" w:rsidRDefault="00221B42" w:rsidP="000D4031">
      <w:pPr>
        <w:pStyle w:val="AMIAHeading"/>
        <w:spacing w:line="276" w:lineRule="auto"/>
        <w:rPr>
          <w:sz w:val="22"/>
          <w:szCs w:val="22"/>
        </w:rPr>
      </w:pPr>
      <w:r w:rsidRPr="00221B42">
        <w:rPr>
          <w:sz w:val="22"/>
          <w:szCs w:val="22"/>
        </w:rPr>
        <w:t>LingPipe</w:t>
      </w:r>
    </w:p>
    <w:p w:rsidR="00221B42" w:rsidRDefault="00221B42" w:rsidP="000D4031">
      <w:pPr>
        <w:pStyle w:val="AMIAHeading"/>
        <w:spacing w:line="276" w:lineRule="auto"/>
        <w:rPr>
          <w:b w:val="0"/>
          <w:sz w:val="22"/>
          <w:szCs w:val="22"/>
        </w:rPr>
      </w:pPr>
      <w:r>
        <w:rPr>
          <w:b w:val="0"/>
          <w:sz w:val="22"/>
          <w:szCs w:val="22"/>
        </w:rPr>
        <w:t xml:space="preserve">LingPipe is a suite of natural </w:t>
      </w:r>
      <w:r w:rsidR="00AC3FA8">
        <w:rPr>
          <w:b w:val="0"/>
          <w:sz w:val="22"/>
          <w:szCs w:val="22"/>
        </w:rPr>
        <w:t>language processing tools</w:t>
      </w:r>
      <w:r w:rsidR="00E1189F">
        <w:rPr>
          <w:b w:val="0"/>
          <w:sz w:val="22"/>
          <w:szCs w:val="22"/>
        </w:rPr>
        <w:t xml:space="preserve"> provided by the Alias-</w:t>
      </w:r>
      <w:proofErr w:type="spellStart"/>
      <w:r w:rsidR="00E1189F">
        <w:rPr>
          <w:b w:val="0"/>
          <w:sz w:val="22"/>
          <w:szCs w:val="22"/>
        </w:rPr>
        <w:t>i</w:t>
      </w:r>
      <w:proofErr w:type="spellEnd"/>
      <w:r w:rsidR="00E1189F">
        <w:rPr>
          <w:b w:val="0"/>
          <w:sz w:val="22"/>
          <w:szCs w:val="22"/>
        </w:rPr>
        <w:t xml:space="preserve"> company as a commercial NLP product</w:t>
      </w:r>
      <w:r w:rsidR="00AC3FA8">
        <w:rPr>
          <w:b w:val="0"/>
          <w:sz w:val="22"/>
          <w:szCs w:val="22"/>
        </w:rPr>
        <w:t>.</w:t>
      </w:r>
      <w:r w:rsidR="00E1189F">
        <w:rPr>
          <w:b w:val="0"/>
          <w:sz w:val="22"/>
          <w:szCs w:val="22"/>
        </w:rPr>
        <w:t xml:space="preserve">  It is available at no cost for research pur</w:t>
      </w:r>
      <w:r w:rsidR="00651148">
        <w:rPr>
          <w:b w:val="0"/>
          <w:sz w:val="22"/>
          <w:szCs w:val="22"/>
        </w:rPr>
        <w:t>poses</w:t>
      </w:r>
      <w:r w:rsidR="00CB26FD">
        <w:rPr>
          <w:b w:val="0"/>
          <w:sz w:val="22"/>
          <w:szCs w:val="22"/>
        </w:rPr>
        <w:t xml:space="preserve"> at the Alias-</w:t>
      </w:r>
      <w:proofErr w:type="spellStart"/>
      <w:r w:rsidR="00CB26FD">
        <w:rPr>
          <w:b w:val="0"/>
          <w:sz w:val="22"/>
          <w:szCs w:val="22"/>
        </w:rPr>
        <w:t>i</w:t>
      </w:r>
      <w:proofErr w:type="spellEnd"/>
      <w:r w:rsidR="00CB26FD">
        <w:rPr>
          <w:b w:val="0"/>
          <w:sz w:val="22"/>
          <w:szCs w:val="22"/>
        </w:rPr>
        <w:t xml:space="preserve"> website: </w:t>
      </w:r>
      <w:hyperlink r:id="rId11" w:history="1">
        <w:r w:rsidR="00CB26FD" w:rsidRPr="000F4811">
          <w:rPr>
            <w:rStyle w:val="Hyperlink"/>
            <w:b w:val="0"/>
            <w:sz w:val="22"/>
            <w:szCs w:val="22"/>
          </w:rPr>
          <w:t>http://alias-i.com/lingpipe</w:t>
        </w:r>
      </w:hyperlink>
      <w:r w:rsidR="00E1189F">
        <w:rPr>
          <w:b w:val="0"/>
          <w:sz w:val="22"/>
          <w:szCs w:val="22"/>
        </w:rPr>
        <w:t xml:space="preserve">. </w:t>
      </w:r>
      <w:r w:rsidR="00651148">
        <w:rPr>
          <w:b w:val="0"/>
          <w:sz w:val="22"/>
          <w:szCs w:val="22"/>
        </w:rPr>
        <w:t>LingPipe performs Co-reference resolution through a set of heuristic algorithms which link together mentions found by internal functions</w:t>
      </w:r>
      <w:r w:rsidR="00651148">
        <w:rPr>
          <w:rStyle w:val="AMIASuperscriptChar"/>
        </w:rPr>
        <w:t>4</w:t>
      </w:r>
      <w:r w:rsidR="00651148">
        <w:rPr>
          <w:b w:val="0"/>
          <w:sz w:val="22"/>
          <w:szCs w:val="22"/>
        </w:rPr>
        <w:t xml:space="preserve">.  </w:t>
      </w:r>
      <w:r w:rsidR="00E1189F">
        <w:rPr>
          <w:b w:val="0"/>
          <w:sz w:val="22"/>
          <w:szCs w:val="22"/>
        </w:rPr>
        <w:t xml:space="preserve"> </w:t>
      </w:r>
      <w:r w:rsidR="00651148">
        <w:rPr>
          <w:b w:val="0"/>
          <w:sz w:val="22"/>
          <w:szCs w:val="22"/>
        </w:rPr>
        <w:t xml:space="preserve">Execution time for </w:t>
      </w:r>
      <w:proofErr w:type="spellStart"/>
      <w:r w:rsidR="00651148">
        <w:rPr>
          <w:b w:val="0"/>
          <w:sz w:val="22"/>
          <w:szCs w:val="22"/>
        </w:rPr>
        <w:t>LingPipe</w:t>
      </w:r>
      <w:r w:rsidR="009B225E">
        <w:rPr>
          <w:b w:val="0"/>
          <w:sz w:val="22"/>
          <w:szCs w:val="22"/>
        </w:rPr>
        <w:t>’</w:t>
      </w:r>
      <w:r w:rsidR="00651148">
        <w:rPr>
          <w:b w:val="0"/>
          <w:sz w:val="22"/>
          <w:szCs w:val="22"/>
        </w:rPr>
        <w:t>s</w:t>
      </w:r>
      <w:proofErr w:type="spellEnd"/>
      <w:r w:rsidR="00651148">
        <w:rPr>
          <w:b w:val="0"/>
          <w:sz w:val="22"/>
          <w:szCs w:val="22"/>
        </w:rPr>
        <w:t xml:space="preserve"> co-reference function per document is between 1 and 5 seconds, making it the fastest of the three systems tested.  </w:t>
      </w:r>
      <w:r w:rsidR="009B225E">
        <w:rPr>
          <w:b w:val="0"/>
          <w:sz w:val="22"/>
          <w:szCs w:val="22"/>
        </w:rPr>
        <w:t>Input for the system was through command line functions specifying the location of the input text documents, and output was a text document containing xml tags surrounding discovered concept mentions and a chain identifier if the mention was found to be co-referent.  A translator similar to the one used to map the BART system output was constructed to make the data useable in this study.  After filtering out concept mentions not annotated in the I2B2 data</w:t>
      </w:r>
      <w:r w:rsidR="00BB05DA">
        <w:rPr>
          <w:b w:val="0"/>
          <w:sz w:val="22"/>
          <w:szCs w:val="22"/>
        </w:rPr>
        <w:t>, the following performance results were obtained (Table 3).</w:t>
      </w:r>
    </w:p>
    <w:p w:rsidR="00CB26FD" w:rsidRDefault="00CB26FD" w:rsidP="000D4031">
      <w:pPr>
        <w:pStyle w:val="AMIAHeading"/>
        <w:spacing w:line="276" w:lineRule="auto"/>
        <w:rPr>
          <w:b w:val="0"/>
          <w:sz w:val="22"/>
          <w:szCs w:val="22"/>
        </w:rPr>
      </w:pPr>
    </w:p>
    <w:p w:rsidR="00CB26FD" w:rsidRDefault="00CB26FD" w:rsidP="000D4031">
      <w:pPr>
        <w:pStyle w:val="AMIAHeading"/>
        <w:spacing w:line="276" w:lineRule="auto"/>
        <w:rPr>
          <w:b w:val="0"/>
          <w:sz w:val="22"/>
          <w:szCs w:val="22"/>
        </w:rPr>
      </w:pPr>
    </w:p>
    <w:p w:rsidR="00CB26FD" w:rsidRDefault="00CB26FD" w:rsidP="000D4031">
      <w:pPr>
        <w:pStyle w:val="AMIAHeading"/>
        <w:spacing w:line="276" w:lineRule="auto"/>
        <w:rPr>
          <w:b w:val="0"/>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0"/>
        <w:gridCol w:w="1170"/>
        <w:gridCol w:w="1170"/>
        <w:gridCol w:w="1260"/>
        <w:gridCol w:w="1170"/>
        <w:gridCol w:w="1260"/>
        <w:gridCol w:w="1350"/>
      </w:tblGrid>
      <w:tr w:rsidR="00BB05DA" w:rsidRPr="00C13006" w:rsidTr="00516647">
        <w:tc>
          <w:tcPr>
            <w:tcW w:w="1980" w:type="dxa"/>
          </w:tcPr>
          <w:p w:rsidR="00BB05DA" w:rsidRPr="00C13006" w:rsidRDefault="00BB05DA" w:rsidP="00516647">
            <w:pPr>
              <w:pStyle w:val="AMIAHeading"/>
              <w:spacing w:line="276" w:lineRule="auto"/>
              <w:rPr>
                <w:b w:val="0"/>
                <w:sz w:val="22"/>
                <w:szCs w:val="22"/>
              </w:rPr>
            </w:pPr>
            <w:r w:rsidRPr="00C13006">
              <w:rPr>
                <w:b w:val="0"/>
                <w:sz w:val="22"/>
                <w:szCs w:val="22"/>
              </w:rPr>
              <w:t>Data Set</w:t>
            </w:r>
          </w:p>
        </w:tc>
        <w:tc>
          <w:tcPr>
            <w:tcW w:w="1170" w:type="dxa"/>
          </w:tcPr>
          <w:p w:rsidR="00BB05DA" w:rsidRPr="00C13006" w:rsidRDefault="00BB05DA" w:rsidP="00516647">
            <w:pPr>
              <w:pStyle w:val="AMIAHeading"/>
              <w:spacing w:line="276" w:lineRule="auto"/>
              <w:rPr>
                <w:b w:val="0"/>
                <w:sz w:val="22"/>
                <w:szCs w:val="22"/>
              </w:rPr>
            </w:pPr>
            <w:r w:rsidRPr="00C13006">
              <w:rPr>
                <w:b w:val="0"/>
                <w:sz w:val="22"/>
                <w:szCs w:val="22"/>
              </w:rPr>
              <w:t>Overall</w:t>
            </w:r>
          </w:p>
        </w:tc>
        <w:tc>
          <w:tcPr>
            <w:tcW w:w="1170" w:type="dxa"/>
          </w:tcPr>
          <w:p w:rsidR="00BB05DA" w:rsidRPr="00C13006" w:rsidRDefault="00BB05DA" w:rsidP="00516647">
            <w:pPr>
              <w:pStyle w:val="AMIAHeading"/>
              <w:spacing w:line="276" w:lineRule="auto"/>
              <w:rPr>
                <w:b w:val="0"/>
                <w:sz w:val="22"/>
                <w:szCs w:val="22"/>
              </w:rPr>
            </w:pPr>
            <w:r w:rsidRPr="00C13006">
              <w:rPr>
                <w:b w:val="0"/>
                <w:sz w:val="22"/>
                <w:szCs w:val="22"/>
              </w:rPr>
              <w:t>People</w:t>
            </w:r>
          </w:p>
        </w:tc>
        <w:tc>
          <w:tcPr>
            <w:tcW w:w="1260" w:type="dxa"/>
          </w:tcPr>
          <w:p w:rsidR="00BB05DA" w:rsidRPr="00C13006" w:rsidRDefault="00BB05DA" w:rsidP="00516647">
            <w:pPr>
              <w:pStyle w:val="AMIAHeading"/>
              <w:spacing w:line="276" w:lineRule="auto"/>
              <w:rPr>
                <w:b w:val="0"/>
                <w:sz w:val="22"/>
                <w:szCs w:val="22"/>
              </w:rPr>
            </w:pPr>
            <w:r w:rsidRPr="00C13006">
              <w:rPr>
                <w:b w:val="0"/>
                <w:sz w:val="22"/>
                <w:szCs w:val="22"/>
              </w:rPr>
              <w:t>Problems</w:t>
            </w:r>
          </w:p>
        </w:tc>
        <w:tc>
          <w:tcPr>
            <w:tcW w:w="1170" w:type="dxa"/>
          </w:tcPr>
          <w:p w:rsidR="00BB05DA" w:rsidRPr="00C13006" w:rsidRDefault="00BB05DA" w:rsidP="00516647">
            <w:pPr>
              <w:pStyle w:val="AMIAHeading"/>
              <w:spacing w:line="276" w:lineRule="auto"/>
              <w:rPr>
                <w:b w:val="0"/>
                <w:sz w:val="22"/>
                <w:szCs w:val="22"/>
              </w:rPr>
            </w:pPr>
            <w:r w:rsidRPr="00C13006">
              <w:rPr>
                <w:b w:val="0"/>
                <w:sz w:val="22"/>
                <w:szCs w:val="22"/>
              </w:rPr>
              <w:t>Tests</w:t>
            </w:r>
          </w:p>
        </w:tc>
        <w:tc>
          <w:tcPr>
            <w:tcW w:w="1260" w:type="dxa"/>
          </w:tcPr>
          <w:p w:rsidR="00BB05DA" w:rsidRPr="00C13006" w:rsidRDefault="00BB05DA" w:rsidP="00516647">
            <w:pPr>
              <w:pStyle w:val="AMIAHeading"/>
              <w:spacing w:line="276" w:lineRule="auto"/>
              <w:rPr>
                <w:b w:val="0"/>
                <w:sz w:val="22"/>
                <w:szCs w:val="22"/>
              </w:rPr>
            </w:pPr>
            <w:r w:rsidRPr="00C13006">
              <w:rPr>
                <w:b w:val="0"/>
                <w:sz w:val="22"/>
                <w:szCs w:val="22"/>
              </w:rPr>
              <w:t>Treatments</w:t>
            </w:r>
          </w:p>
        </w:tc>
        <w:tc>
          <w:tcPr>
            <w:tcW w:w="1350" w:type="dxa"/>
          </w:tcPr>
          <w:p w:rsidR="00BB05DA" w:rsidRPr="00C13006" w:rsidRDefault="00BB05DA" w:rsidP="00516647">
            <w:pPr>
              <w:pStyle w:val="AMIAHeading"/>
              <w:spacing w:line="276" w:lineRule="auto"/>
              <w:rPr>
                <w:b w:val="0"/>
                <w:sz w:val="22"/>
                <w:szCs w:val="22"/>
              </w:rPr>
            </w:pPr>
            <w:r w:rsidRPr="00C13006">
              <w:rPr>
                <w:b w:val="0"/>
                <w:sz w:val="22"/>
                <w:szCs w:val="22"/>
              </w:rPr>
              <w:t>All Others</w:t>
            </w:r>
          </w:p>
        </w:tc>
      </w:tr>
      <w:tr w:rsidR="00BB05DA" w:rsidRPr="00C13006" w:rsidTr="00516647">
        <w:tc>
          <w:tcPr>
            <w:tcW w:w="1980" w:type="dxa"/>
          </w:tcPr>
          <w:p w:rsidR="00BB05DA" w:rsidRPr="00C13006" w:rsidRDefault="00BB05DA" w:rsidP="00516647">
            <w:pPr>
              <w:pStyle w:val="AMIAHeading"/>
              <w:spacing w:line="276" w:lineRule="auto"/>
              <w:rPr>
                <w:b w:val="0"/>
                <w:sz w:val="22"/>
                <w:szCs w:val="22"/>
              </w:rPr>
            </w:pPr>
            <w:r w:rsidRPr="00C13006">
              <w:rPr>
                <w:b w:val="0"/>
                <w:sz w:val="22"/>
                <w:szCs w:val="22"/>
              </w:rPr>
              <w:t>Beth Israel</w:t>
            </w:r>
          </w:p>
        </w:tc>
        <w:tc>
          <w:tcPr>
            <w:tcW w:w="1170" w:type="dxa"/>
          </w:tcPr>
          <w:p w:rsidR="00BB05DA" w:rsidRPr="00C13006" w:rsidRDefault="00BB05DA" w:rsidP="00516647">
            <w:pPr>
              <w:pStyle w:val="AMIAHeading"/>
              <w:spacing w:line="276" w:lineRule="auto"/>
              <w:rPr>
                <w:b w:val="0"/>
                <w:sz w:val="22"/>
                <w:szCs w:val="22"/>
              </w:rPr>
            </w:pPr>
            <w:r w:rsidRPr="00C13006">
              <w:rPr>
                <w:b w:val="0"/>
                <w:sz w:val="22"/>
                <w:szCs w:val="22"/>
              </w:rPr>
              <w:t>62</w:t>
            </w:r>
            <w:r>
              <w:rPr>
                <w:b w:val="0"/>
                <w:sz w:val="22"/>
                <w:szCs w:val="22"/>
              </w:rPr>
              <w:t>.</w:t>
            </w:r>
            <w:r w:rsidRPr="00C13006">
              <w:rPr>
                <w:b w:val="0"/>
                <w:sz w:val="22"/>
                <w:szCs w:val="22"/>
              </w:rPr>
              <w:t>7</w:t>
            </w:r>
            <w:r>
              <w:rPr>
                <w:b w:val="0"/>
                <w:sz w:val="22"/>
                <w:szCs w:val="22"/>
              </w:rPr>
              <w:t>%</w:t>
            </w:r>
          </w:p>
        </w:tc>
        <w:tc>
          <w:tcPr>
            <w:tcW w:w="1170" w:type="dxa"/>
          </w:tcPr>
          <w:p w:rsidR="00BB05DA" w:rsidRPr="00C13006" w:rsidRDefault="00BB05DA" w:rsidP="00516647">
            <w:pPr>
              <w:pStyle w:val="AMIAHeading"/>
              <w:spacing w:line="276" w:lineRule="auto"/>
              <w:rPr>
                <w:b w:val="0"/>
                <w:sz w:val="22"/>
                <w:szCs w:val="22"/>
              </w:rPr>
            </w:pPr>
            <w:r w:rsidRPr="00C13006">
              <w:rPr>
                <w:b w:val="0"/>
                <w:sz w:val="22"/>
                <w:szCs w:val="22"/>
              </w:rPr>
              <w:t>24.4</w:t>
            </w:r>
            <w:r>
              <w:rPr>
                <w:b w:val="0"/>
                <w:sz w:val="22"/>
                <w:szCs w:val="22"/>
              </w:rPr>
              <w:t>%</w:t>
            </w:r>
          </w:p>
        </w:tc>
        <w:tc>
          <w:tcPr>
            <w:tcW w:w="1260" w:type="dxa"/>
          </w:tcPr>
          <w:p w:rsidR="00BB05DA" w:rsidRPr="00C13006" w:rsidRDefault="00BB05DA" w:rsidP="00516647">
            <w:pPr>
              <w:pStyle w:val="AMIAHeading"/>
              <w:spacing w:line="276" w:lineRule="auto"/>
              <w:rPr>
                <w:b w:val="0"/>
                <w:sz w:val="22"/>
                <w:szCs w:val="22"/>
              </w:rPr>
            </w:pPr>
            <w:r w:rsidRPr="00C13006">
              <w:rPr>
                <w:b w:val="0"/>
                <w:sz w:val="22"/>
                <w:szCs w:val="22"/>
              </w:rPr>
              <w:t>1.5</w:t>
            </w:r>
            <w:r>
              <w:rPr>
                <w:b w:val="0"/>
                <w:sz w:val="22"/>
                <w:szCs w:val="22"/>
              </w:rPr>
              <w:t>%</w:t>
            </w:r>
          </w:p>
        </w:tc>
        <w:tc>
          <w:tcPr>
            <w:tcW w:w="1170" w:type="dxa"/>
          </w:tcPr>
          <w:p w:rsidR="00BB05DA" w:rsidRPr="00C13006" w:rsidRDefault="00BB05DA" w:rsidP="00516647">
            <w:pPr>
              <w:pStyle w:val="AMIAHeading"/>
              <w:spacing w:line="276" w:lineRule="auto"/>
              <w:rPr>
                <w:b w:val="0"/>
                <w:sz w:val="22"/>
                <w:szCs w:val="22"/>
              </w:rPr>
            </w:pPr>
            <w:r w:rsidRPr="00C13006">
              <w:rPr>
                <w:b w:val="0"/>
                <w:sz w:val="22"/>
                <w:szCs w:val="22"/>
              </w:rPr>
              <w:t>2.9</w:t>
            </w:r>
            <w:r>
              <w:rPr>
                <w:b w:val="0"/>
                <w:sz w:val="22"/>
                <w:szCs w:val="22"/>
              </w:rPr>
              <w:t>%</w:t>
            </w:r>
          </w:p>
        </w:tc>
        <w:tc>
          <w:tcPr>
            <w:tcW w:w="1260" w:type="dxa"/>
          </w:tcPr>
          <w:p w:rsidR="00BB05DA" w:rsidRPr="00C13006" w:rsidRDefault="00BB05DA" w:rsidP="00516647">
            <w:pPr>
              <w:pStyle w:val="AMIAHeading"/>
              <w:spacing w:line="276" w:lineRule="auto"/>
              <w:rPr>
                <w:b w:val="0"/>
                <w:sz w:val="22"/>
                <w:szCs w:val="22"/>
              </w:rPr>
            </w:pPr>
            <w:r w:rsidRPr="00C13006">
              <w:rPr>
                <w:b w:val="0"/>
                <w:sz w:val="22"/>
                <w:szCs w:val="22"/>
              </w:rPr>
              <w:t>9.2</w:t>
            </w:r>
            <w:r>
              <w:rPr>
                <w:b w:val="0"/>
                <w:sz w:val="22"/>
                <w:szCs w:val="22"/>
              </w:rPr>
              <w:t>%</w:t>
            </w:r>
          </w:p>
        </w:tc>
        <w:tc>
          <w:tcPr>
            <w:tcW w:w="1350" w:type="dxa"/>
          </w:tcPr>
          <w:p w:rsidR="00BB05DA" w:rsidRPr="00C13006" w:rsidRDefault="00BB05DA" w:rsidP="00516647">
            <w:pPr>
              <w:pStyle w:val="AMIAHeading"/>
              <w:spacing w:line="276" w:lineRule="auto"/>
              <w:rPr>
                <w:b w:val="0"/>
                <w:sz w:val="22"/>
                <w:szCs w:val="22"/>
              </w:rPr>
            </w:pPr>
            <w:r w:rsidRPr="00C13006">
              <w:rPr>
                <w:b w:val="0"/>
                <w:sz w:val="22"/>
                <w:szCs w:val="22"/>
              </w:rPr>
              <w:t>N/A</w:t>
            </w:r>
          </w:p>
        </w:tc>
      </w:tr>
      <w:tr w:rsidR="00BB05DA" w:rsidRPr="00C13006" w:rsidTr="00516647">
        <w:tc>
          <w:tcPr>
            <w:tcW w:w="1980" w:type="dxa"/>
          </w:tcPr>
          <w:p w:rsidR="00BB05DA" w:rsidRPr="00C13006" w:rsidRDefault="00BB05DA" w:rsidP="00516647">
            <w:pPr>
              <w:pStyle w:val="AMIAHeading"/>
              <w:spacing w:line="276" w:lineRule="auto"/>
              <w:rPr>
                <w:b w:val="0"/>
                <w:sz w:val="22"/>
                <w:szCs w:val="22"/>
              </w:rPr>
            </w:pPr>
            <w:r w:rsidRPr="00C13006">
              <w:rPr>
                <w:b w:val="0"/>
                <w:sz w:val="22"/>
                <w:szCs w:val="22"/>
              </w:rPr>
              <w:t>Partners Healthcare</w:t>
            </w:r>
          </w:p>
        </w:tc>
        <w:tc>
          <w:tcPr>
            <w:tcW w:w="1170" w:type="dxa"/>
          </w:tcPr>
          <w:p w:rsidR="00BB05DA" w:rsidRPr="00C13006" w:rsidRDefault="00BB05DA" w:rsidP="00516647">
            <w:pPr>
              <w:pStyle w:val="AMIAHeading"/>
              <w:spacing w:line="276" w:lineRule="auto"/>
              <w:rPr>
                <w:b w:val="0"/>
                <w:sz w:val="22"/>
                <w:szCs w:val="22"/>
              </w:rPr>
            </w:pPr>
            <w:r w:rsidRPr="00C13006">
              <w:rPr>
                <w:b w:val="0"/>
                <w:sz w:val="22"/>
                <w:szCs w:val="22"/>
              </w:rPr>
              <w:t>63</w:t>
            </w:r>
            <w:r>
              <w:rPr>
                <w:b w:val="0"/>
                <w:sz w:val="22"/>
                <w:szCs w:val="22"/>
              </w:rPr>
              <w:t>.</w:t>
            </w:r>
            <w:r w:rsidRPr="00C13006">
              <w:rPr>
                <w:b w:val="0"/>
                <w:sz w:val="22"/>
                <w:szCs w:val="22"/>
              </w:rPr>
              <w:t>3</w:t>
            </w:r>
            <w:r>
              <w:rPr>
                <w:b w:val="0"/>
                <w:sz w:val="22"/>
                <w:szCs w:val="22"/>
              </w:rPr>
              <w:t>%</w:t>
            </w:r>
          </w:p>
        </w:tc>
        <w:tc>
          <w:tcPr>
            <w:tcW w:w="1170" w:type="dxa"/>
          </w:tcPr>
          <w:p w:rsidR="00BB05DA" w:rsidRPr="00C13006" w:rsidRDefault="00BB05DA" w:rsidP="00516647">
            <w:pPr>
              <w:pStyle w:val="AMIAHeading"/>
              <w:spacing w:line="276" w:lineRule="auto"/>
              <w:rPr>
                <w:b w:val="0"/>
                <w:sz w:val="22"/>
                <w:szCs w:val="22"/>
              </w:rPr>
            </w:pPr>
            <w:r w:rsidRPr="00C13006">
              <w:rPr>
                <w:b w:val="0"/>
                <w:sz w:val="22"/>
                <w:szCs w:val="22"/>
              </w:rPr>
              <w:t>20.7</w:t>
            </w:r>
            <w:r>
              <w:rPr>
                <w:b w:val="0"/>
                <w:sz w:val="22"/>
                <w:szCs w:val="22"/>
              </w:rPr>
              <w:t>%</w:t>
            </w:r>
          </w:p>
        </w:tc>
        <w:tc>
          <w:tcPr>
            <w:tcW w:w="1260" w:type="dxa"/>
          </w:tcPr>
          <w:p w:rsidR="00BB05DA" w:rsidRPr="00C13006" w:rsidRDefault="00BB05DA" w:rsidP="00516647">
            <w:pPr>
              <w:pStyle w:val="AMIAHeading"/>
              <w:spacing w:line="276" w:lineRule="auto"/>
              <w:rPr>
                <w:b w:val="0"/>
                <w:sz w:val="22"/>
                <w:szCs w:val="22"/>
              </w:rPr>
            </w:pPr>
            <w:r w:rsidRPr="00C13006">
              <w:rPr>
                <w:b w:val="0"/>
                <w:sz w:val="22"/>
                <w:szCs w:val="22"/>
              </w:rPr>
              <w:t>3.4</w:t>
            </w:r>
            <w:r>
              <w:rPr>
                <w:b w:val="0"/>
                <w:sz w:val="22"/>
                <w:szCs w:val="22"/>
              </w:rPr>
              <w:t>%</w:t>
            </w:r>
          </w:p>
        </w:tc>
        <w:tc>
          <w:tcPr>
            <w:tcW w:w="1170" w:type="dxa"/>
          </w:tcPr>
          <w:p w:rsidR="00BB05DA" w:rsidRPr="00C13006" w:rsidRDefault="00BB05DA" w:rsidP="00516647">
            <w:pPr>
              <w:pStyle w:val="AMIAHeading"/>
              <w:spacing w:line="276" w:lineRule="auto"/>
              <w:rPr>
                <w:b w:val="0"/>
                <w:sz w:val="22"/>
                <w:szCs w:val="22"/>
              </w:rPr>
            </w:pPr>
            <w:r w:rsidRPr="00C13006">
              <w:rPr>
                <w:b w:val="0"/>
                <w:sz w:val="22"/>
                <w:szCs w:val="22"/>
              </w:rPr>
              <w:t>5.3</w:t>
            </w:r>
            <w:r>
              <w:rPr>
                <w:b w:val="0"/>
                <w:sz w:val="22"/>
                <w:szCs w:val="22"/>
              </w:rPr>
              <w:t>%</w:t>
            </w:r>
          </w:p>
        </w:tc>
        <w:tc>
          <w:tcPr>
            <w:tcW w:w="1260" w:type="dxa"/>
          </w:tcPr>
          <w:p w:rsidR="00BB05DA" w:rsidRPr="00C13006" w:rsidRDefault="00BB05DA" w:rsidP="00516647">
            <w:pPr>
              <w:pStyle w:val="AMIAHeading"/>
              <w:spacing w:line="276" w:lineRule="auto"/>
              <w:rPr>
                <w:b w:val="0"/>
                <w:sz w:val="22"/>
                <w:szCs w:val="22"/>
              </w:rPr>
            </w:pPr>
            <w:r w:rsidRPr="00C13006">
              <w:rPr>
                <w:b w:val="0"/>
                <w:sz w:val="22"/>
                <w:szCs w:val="22"/>
              </w:rPr>
              <w:t>8.4</w:t>
            </w:r>
            <w:r>
              <w:rPr>
                <w:b w:val="0"/>
                <w:sz w:val="22"/>
                <w:szCs w:val="22"/>
              </w:rPr>
              <w:t>%</w:t>
            </w:r>
          </w:p>
        </w:tc>
        <w:tc>
          <w:tcPr>
            <w:tcW w:w="1350" w:type="dxa"/>
          </w:tcPr>
          <w:p w:rsidR="00BB05DA" w:rsidRPr="00C13006" w:rsidRDefault="00BB05DA" w:rsidP="00516647">
            <w:pPr>
              <w:pStyle w:val="AMIAHeading"/>
              <w:spacing w:line="276" w:lineRule="auto"/>
              <w:rPr>
                <w:b w:val="0"/>
                <w:sz w:val="22"/>
                <w:szCs w:val="22"/>
              </w:rPr>
            </w:pPr>
            <w:r w:rsidRPr="00C13006">
              <w:rPr>
                <w:b w:val="0"/>
                <w:sz w:val="22"/>
                <w:szCs w:val="22"/>
              </w:rPr>
              <w:t>N/A</w:t>
            </w:r>
          </w:p>
        </w:tc>
      </w:tr>
      <w:tr w:rsidR="00BB05DA" w:rsidRPr="00C13006" w:rsidTr="00516647">
        <w:tc>
          <w:tcPr>
            <w:tcW w:w="1980" w:type="dxa"/>
          </w:tcPr>
          <w:p w:rsidR="00BB05DA" w:rsidRPr="00C13006" w:rsidRDefault="00BB05DA" w:rsidP="00516647">
            <w:pPr>
              <w:pStyle w:val="AMIAHeading"/>
              <w:spacing w:line="276" w:lineRule="auto"/>
              <w:rPr>
                <w:b w:val="0"/>
                <w:sz w:val="22"/>
                <w:szCs w:val="22"/>
              </w:rPr>
            </w:pPr>
            <w:r w:rsidRPr="00C13006">
              <w:rPr>
                <w:b w:val="0"/>
                <w:sz w:val="22"/>
                <w:szCs w:val="22"/>
              </w:rPr>
              <w:t>Mayo Clinic</w:t>
            </w:r>
          </w:p>
        </w:tc>
        <w:tc>
          <w:tcPr>
            <w:tcW w:w="1170" w:type="dxa"/>
          </w:tcPr>
          <w:p w:rsidR="00BB05DA" w:rsidRPr="00C13006" w:rsidRDefault="00757419" w:rsidP="00757419">
            <w:pPr>
              <w:pStyle w:val="AMIAHeading"/>
              <w:spacing w:line="276" w:lineRule="auto"/>
              <w:rPr>
                <w:b w:val="0"/>
                <w:sz w:val="22"/>
                <w:szCs w:val="22"/>
              </w:rPr>
            </w:pPr>
            <w:r>
              <w:rPr>
                <w:b w:val="0"/>
                <w:sz w:val="22"/>
                <w:szCs w:val="22"/>
              </w:rPr>
              <w:t>42.3</w:t>
            </w:r>
            <w:r w:rsidR="00BB05DA">
              <w:rPr>
                <w:b w:val="0"/>
                <w:sz w:val="22"/>
                <w:szCs w:val="22"/>
              </w:rPr>
              <w:t>%</w:t>
            </w:r>
          </w:p>
        </w:tc>
        <w:tc>
          <w:tcPr>
            <w:tcW w:w="1170" w:type="dxa"/>
          </w:tcPr>
          <w:p w:rsidR="00BB05DA" w:rsidRPr="00C13006" w:rsidRDefault="00BB05DA" w:rsidP="001B7876">
            <w:pPr>
              <w:pStyle w:val="AMIAHeading"/>
              <w:spacing w:line="276" w:lineRule="auto"/>
              <w:rPr>
                <w:b w:val="0"/>
                <w:sz w:val="22"/>
                <w:szCs w:val="22"/>
              </w:rPr>
            </w:pPr>
            <w:r>
              <w:rPr>
                <w:b w:val="0"/>
                <w:sz w:val="22"/>
                <w:szCs w:val="22"/>
              </w:rPr>
              <w:t>0</w:t>
            </w:r>
            <w:r w:rsidR="00757419">
              <w:rPr>
                <w:b w:val="0"/>
                <w:sz w:val="22"/>
                <w:szCs w:val="22"/>
              </w:rPr>
              <w:t>.7</w:t>
            </w:r>
            <w:r w:rsidR="001B7876">
              <w:rPr>
                <w:b w:val="0"/>
                <w:sz w:val="22"/>
                <w:szCs w:val="22"/>
              </w:rPr>
              <w:t>1</w:t>
            </w:r>
            <w:r>
              <w:rPr>
                <w:b w:val="0"/>
                <w:sz w:val="22"/>
                <w:szCs w:val="22"/>
              </w:rPr>
              <w:t>%</w:t>
            </w:r>
          </w:p>
        </w:tc>
        <w:tc>
          <w:tcPr>
            <w:tcW w:w="1260" w:type="dxa"/>
          </w:tcPr>
          <w:p w:rsidR="00BB05DA" w:rsidRPr="00C13006" w:rsidRDefault="003C259C" w:rsidP="00516647">
            <w:pPr>
              <w:pStyle w:val="AMIAHeading"/>
              <w:spacing w:line="276" w:lineRule="auto"/>
              <w:rPr>
                <w:b w:val="0"/>
                <w:sz w:val="22"/>
                <w:szCs w:val="22"/>
              </w:rPr>
            </w:pPr>
            <w:r>
              <w:rPr>
                <w:b w:val="0"/>
                <w:sz w:val="22"/>
                <w:szCs w:val="22"/>
              </w:rPr>
              <w:t>0%</w:t>
            </w:r>
          </w:p>
        </w:tc>
        <w:tc>
          <w:tcPr>
            <w:tcW w:w="1170" w:type="dxa"/>
          </w:tcPr>
          <w:p w:rsidR="00BB05DA" w:rsidRPr="00C13006" w:rsidRDefault="003C259C" w:rsidP="00516647">
            <w:pPr>
              <w:pStyle w:val="AMIAHeading"/>
              <w:spacing w:line="276" w:lineRule="auto"/>
              <w:rPr>
                <w:b w:val="0"/>
                <w:sz w:val="22"/>
                <w:szCs w:val="22"/>
              </w:rPr>
            </w:pPr>
            <w:r>
              <w:rPr>
                <w:b w:val="0"/>
                <w:sz w:val="22"/>
                <w:szCs w:val="22"/>
              </w:rPr>
              <w:t>N/A</w:t>
            </w:r>
          </w:p>
        </w:tc>
        <w:tc>
          <w:tcPr>
            <w:tcW w:w="1260" w:type="dxa"/>
          </w:tcPr>
          <w:p w:rsidR="00BB05DA" w:rsidRPr="00C13006" w:rsidRDefault="00BB05DA" w:rsidP="00516647">
            <w:pPr>
              <w:pStyle w:val="AMIAHeading"/>
              <w:spacing w:line="276" w:lineRule="auto"/>
              <w:rPr>
                <w:b w:val="0"/>
                <w:sz w:val="22"/>
                <w:szCs w:val="22"/>
              </w:rPr>
            </w:pPr>
            <w:r>
              <w:rPr>
                <w:b w:val="0"/>
                <w:sz w:val="22"/>
                <w:szCs w:val="22"/>
              </w:rPr>
              <w:t>0%</w:t>
            </w:r>
          </w:p>
        </w:tc>
        <w:tc>
          <w:tcPr>
            <w:tcW w:w="1350" w:type="dxa"/>
          </w:tcPr>
          <w:p w:rsidR="00BB05DA" w:rsidRPr="00C13006" w:rsidRDefault="00BB05DA" w:rsidP="00516647">
            <w:pPr>
              <w:pStyle w:val="AMIAHeading"/>
              <w:spacing w:line="276" w:lineRule="auto"/>
              <w:rPr>
                <w:b w:val="0"/>
                <w:sz w:val="22"/>
                <w:szCs w:val="22"/>
              </w:rPr>
            </w:pPr>
            <w:r>
              <w:rPr>
                <w:b w:val="0"/>
                <w:sz w:val="22"/>
                <w:szCs w:val="22"/>
              </w:rPr>
              <w:t>0%</w:t>
            </w:r>
          </w:p>
        </w:tc>
      </w:tr>
    </w:tbl>
    <w:p w:rsidR="00BB05DA" w:rsidRDefault="00BB05DA" w:rsidP="00BB05DA">
      <w:pPr>
        <w:pStyle w:val="AMIAHeading"/>
        <w:spacing w:line="276" w:lineRule="auto"/>
        <w:rPr>
          <w:b w:val="0"/>
          <w:sz w:val="18"/>
          <w:szCs w:val="18"/>
        </w:rPr>
      </w:pPr>
      <w:proofErr w:type="gramStart"/>
      <w:r>
        <w:rPr>
          <w:sz w:val="18"/>
          <w:szCs w:val="18"/>
        </w:rPr>
        <w:t>Table</w:t>
      </w:r>
      <w:r w:rsidRPr="00F45E8A">
        <w:rPr>
          <w:sz w:val="18"/>
          <w:szCs w:val="18"/>
        </w:rPr>
        <w:t xml:space="preserve"> </w:t>
      </w:r>
      <w:r>
        <w:rPr>
          <w:sz w:val="18"/>
          <w:szCs w:val="18"/>
        </w:rPr>
        <w:t>3</w:t>
      </w:r>
      <w:r w:rsidRPr="006757E8">
        <w:rPr>
          <w:b w:val="0"/>
          <w:sz w:val="18"/>
          <w:szCs w:val="18"/>
        </w:rPr>
        <w:t>.</w:t>
      </w:r>
      <w:proofErr w:type="gramEnd"/>
      <w:r w:rsidRPr="006757E8">
        <w:rPr>
          <w:b w:val="0"/>
          <w:sz w:val="18"/>
          <w:szCs w:val="18"/>
        </w:rPr>
        <w:t xml:space="preserve"> </w:t>
      </w:r>
      <w:proofErr w:type="gramStart"/>
      <w:r>
        <w:rPr>
          <w:b w:val="0"/>
          <w:sz w:val="18"/>
          <w:szCs w:val="18"/>
        </w:rPr>
        <w:t>LingPipe</w:t>
      </w:r>
      <w:r w:rsidRPr="006757E8">
        <w:rPr>
          <w:b w:val="0"/>
          <w:sz w:val="18"/>
          <w:szCs w:val="18"/>
        </w:rPr>
        <w:t xml:space="preserve"> performance results</w:t>
      </w:r>
      <w:r>
        <w:rPr>
          <w:b w:val="0"/>
          <w:sz w:val="18"/>
          <w:szCs w:val="18"/>
        </w:rPr>
        <w:t>.</w:t>
      </w:r>
      <w:proofErr w:type="gramEnd"/>
      <w:r>
        <w:rPr>
          <w:b w:val="0"/>
          <w:sz w:val="18"/>
          <w:szCs w:val="18"/>
        </w:rPr>
        <w:t xml:space="preserve">  The overall column is the </w:t>
      </w:r>
      <w:proofErr w:type="spellStart"/>
      <w:r>
        <w:rPr>
          <w:b w:val="0"/>
          <w:sz w:val="18"/>
          <w:szCs w:val="18"/>
        </w:rPr>
        <w:t>unweighted</w:t>
      </w:r>
      <w:proofErr w:type="spellEnd"/>
      <w:r>
        <w:rPr>
          <w:b w:val="0"/>
          <w:sz w:val="18"/>
          <w:szCs w:val="18"/>
        </w:rPr>
        <w:t xml:space="preserve"> average of the four </w:t>
      </w:r>
      <w:r w:rsidR="006F0823">
        <w:rPr>
          <w:b w:val="0"/>
          <w:sz w:val="18"/>
          <w:szCs w:val="18"/>
        </w:rPr>
        <w:t>metrics provided by I2B2</w:t>
      </w:r>
      <w:r>
        <w:rPr>
          <w:b w:val="0"/>
          <w:sz w:val="18"/>
          <w:szCs w:val="18"/>
        </w:rPr>
        <w:t>.  The other columns are the f1 performance score of the individual concept mention categories evaluated using the first method described above in “Evaluation Methods”.</w:t>
      </w:r>
    </w:p>
    <w:p w:rsidR="00BB05DA" w:rsidRDefault="00BB05DA" w:rsidP="000D4031">
      <w:pPr>
        <w:pStyle w:val="AMIAHeading"/>
        <w:spacing w:line="276" w:lineRule="auto"/>
        <w:rPr>
          <w:b w:val="0"/>
          <w:sz w:val="22"/>
          <w:szCs w:val="22"/>
        </w:rPr>
      </w:pPr>
    </w:p>
    <w:p w:rsidR="007F343A" w:rsidRDefault="00757419" w:rsidP="000D4031">
      <w:pPr>
        <w:pStyle w:val="AMIAHeading"/>
        <w:spacing w:line="276" w:lineRule="auto"/>
        <w:rPr>
          <w:sz w:val="22"/>
          <w:szCs w:val="22"/>
        </w:rPr>
      </w:pPr>
      <w:r>
        <w:rPr>
          <w:sz w:val="22"/>
          <w:szCs w:val="22"/>
        </w:rPr>
        <w:t>Rule Based Co-reference Algorithm</w:t>
      </w:r>
    </w:p>
    <w:p w:rsidR="007029E9" w:rsidRDefault="00D42A14" w:rsidP="000D4031">
      <w:pPr>
        <w:pStyle w:val="AMIAHeading"/>
        <w:spacing w:line="276" w:lineRule="auto"/>
        <w:rPr>
          <w:b w:val="0"/>
          <w:sz w:val="22"/>
          <w:szCs w:val="22"/>
        </w:rPr>
      </w:pPr>
      <w:r>
        <w:rPr>
          <w:b w:val="0"/>
          <w:sz w:val="22"/>
          <w:szCs w:val="22"/>
        </w:rPr>
        <w:t>Because the specifications for co-reference for the i2b2 challenge were well defined</w:t>
      </w:r>
      <w:r w:rsidR="00B921A7">
        <w:rPr>
          <w:b w:val="0"/>
          <w:sz w:val="22"/>
          <w:szCs w:val="22"/>
        </w:rPr>
        <w:t xml:space="preserve">, </w:t>
      </w:r>
      <w:r>
        <w:rPr>
          <w:b w:val="0"/>
          <w:sz w:val="22"/>
          <w:szCs w:val="22"/>
        </w:rPr>
        <w:t xml:space="preserve">and </w:t>
      </w:r>
      <w:r w:rsidR="00B921A7">
        <w:rPr>
          <w:b w:val="0"/>
          <w:sz w:val="22"/>
          <w:szCs w:val="22"/>
        </w:rPr>
        <w:t xml:space="preserve">the type of data provided is specific </w:t>
      </w:r>
      <w:r w:rsidR="00361ACE">
        <w:rPr>
          <w:b w:val="0"/>
          <w:sz w:val="22"/>
          <w:szCs w:val="22"/>
        </w:rPr>
        <w:t>kind</w:t>
      </w:r>
      <w:r w:rsidR="00B921A7">
        <w:rPr>
          <w:b w:val="0"/>
          <w:sz w:val="22"/>
          <w:szCs w:val="22"/>
        </w:rPr>
        <w:t xml:space="preserve"> of document</w:t>
      </w:r>
      <w:r w:rsidR="00B921A7">
        <w:rPr>
          <w:rStyle w:val="AMIASuperscriptChar"/>
        </w:rPr>
        <w:t>1</w:t>
      </w:r>
      <w:r w:rsidR="00B921A7">
        <w:rPr>
          <w:b w:val="0"/>
          <w:sz w:val="22"/>
          <w:szCs w:val="22"/>
        </w:rPr>
        <w:t xml:space="preserve">, </w:t>
      </w:r>
      <w:r w:rsidR="001E0A99">
        <w:rPr>
          <w:b w:val="0"/>
          <w:sz w:val="22"/>
          <w:szCs w:val="22"/>
        </w:rPr>
        <w:t>the type of algorithm to be built for this study</w:t>
      </w:r>
      <w:r w:rsidR="00757419">
        <w:rPr>
          <w:b w:val="0"/>
          <w:sz w:val="22"/>
          <w:szCs w:val="22"/>
        </w:rPr>
        <w:t xml:space="preserve"> </w:t>
      </w:r>
      <w:r w:rsidR="00B921A7">
        <w:rPr>
          <w:b w:val="0"/>
          <w:sz w:val="22"/>
          <w:szCs w:val="22"/>
        </w:rPr>
        <w:t xml:space="preserve">is rule based.  </w:t>
      </w:r>
      <w:r w:rsidR="00F50EA4">
        <w:rPr>
          <w:b w:val="0"/>
          <w:sz w:val="22"/>
          <w:szCs w:val="22"/>
        </w:rPr>
        <w:t>This</w:t>
      </w:r>
      <w:r w:rsidR="001E0A99">
        <w:rPr>
          <w:b w:val="0"/>
          <w:sz w:val="22"/>
          <w:szCs w:val="22"/>
        </w:rPr>
        <w:t xml:space="preserve"> algorithm was developed as</w:t>
      </w:r>
      <w:r>
        <w:rPr>
          <w:b w:val="0"/>
          <w:sz w:val="22"/>
          <w:szCs w:val="22"/>
        </w:rPr>
        <w:t xml:space="preserve"> an additional </w:t>
      </w:r>
      <w:r w:rsidR="004E5673">
        <w:rPr>
          <w:b w:val="0"/>
          <w:sz w:val="22"/>
          <w:szCs w:val="22"/>
        </w:rPr>
        <w:t>system to test on the I2B2 data</w:t>
      </w:r>
      <w:r w:rsidR="00F50EA4">
        <w:rPr>
          <w:b w:val="0"/>
          <w:sz w:val="22"/>
          <w:szCs w:val="22"/>
        </w:rPr>
        <w:t xml:space="preserve">, and to test various ideas for </w:t>
      </w:r>
      <w:r w:rsidR="00F50EA4">
        <w:rPr>
          <w:b w:val="0"/>
          <w:sz w:val="22"/>
          <w:szCs w:val="22"/>
        </w:rPr>
        <w:lastRenderedPageBreak/>
        <w:t>accomplishing the task given by the 2011 I2B2 challenge</w:t>
      </w:r>
      <w:r w:rsidR="00757419">
        <w:rPr>
          <w:b w:val="0"/>
          <w:sz w:val="22"/>
          <w:szCs w:val="22"/>
        </w:rPr>
        <w:t>.  The a</w:t>
      </w:r>
      <w:r w:rsidR="001E0A99">
        <w:rPr>
          <w:b w:val="0"/>
          <w:sz w:val="22"/>
          <w:szCs w:val="22"/>
        </w:rPr>
        <w:t>lgorithm was developed by examining</w:t>
      </w:r>
      <w:r w:rsidR="000B221D">
        <w:rPr>
          <w:b w:val="0"/>
          <w:sz w:val="22"/>
          <w:szCs w:val="22"/>
        </w:rPr>
        <w:t xml:space="preserve"> a</w:t>
      </w:r>
      <w:r w:rsidR="00757419">
        <w:rPr>
          <w:b w:val="0"/>
          <w:sz w:val="22"/>
          <w:szCs w:val="22"/>
        </w:rPr>
        <w:t xml:space="preserve"> sample of files from the pool of data</w:t>
      </w:r>
      <w:r w:rsidR="001E0A99">
        <w:rPr>
          <w:b w:val="0"/>
          <w:sz w:val="22"/>
          <w:szCs w:val="22"/>
        </w:rPr>
        <w:t xml:space="preserve"> and writing linking functions, or rules, based on observation.  The linking functions were</w:t>
      </w:r>
      <w:r w:rsidR="00757419">
        <w:rPr>
          <w:b w:val="0"/>
          <w:sz w:val="22"/>
          <w:szCs w:val="22"/>
        </w:rPr>
        <w:t xml:space="preserve"> checked across the entire data set to get an idea of which rules worked</w:t>
      </w:r>
      <w:r w:rsidR="000B221D">
        <w:rPr>
          <w:b w:val="0"/>
          <w:sz w:val="22"/>
          <w:szCs w:val="22"/>
        </w:rPr>
        <w:t>, and which</w:t>
      </w:r>
      <w:r w:rsidR="00F50EA4">
        <w:rPr>
          <w:b w:val="0"/>
          <w:sz w:val="22"/>
          <w:szCs w:val="22"/>
        </w:rPr>
        <w:t xml:space="preserve"> did not.  In addition to knowledge-poor string matching rules, the</w:t>
      </w:r>
      <w:r w:rsidR="00A43CFD">
        <w:rPr>
          <w:b w:val="0"/>
          <w:sz w:val="22"/>
          <w:szCs w:val="22"/>
        </w:rPr>
        <w:t xml:space="preserve"> final</w:t>
      </w:r>
      <w:r w:rsidR="00F50EA4">
        <w:rPr>
          <w:b w:val="0"/>
          <w:sz w:val="22"/>
          <w:szCs w:val="22"/>
        </w:rPr>
        <w:t xml:space="preserve"> algorithm uses Wordnet</w:t>
      </w:r>
      <w:r w:rsidR="000D7E34">
        <w:rPr>
          <w:rStyle w:val="AMIASuperscriptChar"/>
        </w:rPr>
        <w:t>9</w:t>
      </w:r>
      <w:r w:rsidR="00F50EA4">
        <w:rPr>
          <w:b w:val="0"/>
          <w:sz w:val="22"/>
          <w:szCs w:val="22"/>
        </w:rPr>
        <w:t>, the UMLS database</w:t>
      </w:r>
      <w:r w:rsidR="000D7E34">
        <w:rPr>
          <w:rStyle w:val="AMIASuperscriptChar"/>
        </w:rPr>
        <w:t>10</w:t>
      </w:r>
      <w:r w:rsidR="00F50EA4">
        <w:rPr>
          <w:b w:val="0"/>
          <w:sz w:val="22"/>
          <w:szCs w:val="22"/>
        </w:rPr>
        <w:t>, and</w:t>
      </w:r>
      <w:r w:rsidR="00C90EFA">
        <w:rPr>
          <w:b w:val="0"/>
          <w:sz w:val="22"/>
          <w:szCs w:val="22"/>
        </w:rPr>
        <w:t xml:space="preserve"> automatic</w:t>
      </w:r>
      <w:r w:rsidR="00F50EA4">
        <w:rPr>
          <w:b w:val="0"/>
          <w:sz w:val="22"/>
          <w:szCs w:val="22"/>
        </w:rPr>
        <w:t xml:space="preserve"> internet searches to help classify concept mentions in order to link them.</w:t>
      </w:r>
      <w:r w:rsidR="004E5673">
        <w:rPr>
          <w:b w:val="0"/>
          <w:sz w:val="22"/>
          <w:szCs w:val="22"/>
        </w:rPr>
        <w:t xml:space="preserve"> </w:t>
      </w:r>
    </w:p>
    <w:p w:rsidR="007F343A" w:rsidRDefault="007F343A" w:rsidP="000D4031">
      <w:pPr>
        <w:pStyle w:val="AMIAHeading"/>
        <w:spacing w:line="276" w:lineRule="auto"/>
        <w:rPr>
          <w:b w:val="0"/>
          <w:sz w:val="22"/>
          <w:szCs w:val="22"/>
        </w:rPr>
      </w:pPr>
    </w:p>
    <w:p w:rsidR="00433DDD" w:rsidRPr="007029E9" w:rsidRDefault="007029E9" w:rsidP="000D4031">
      <w:pPr>
        <w:pStyle w:val="AMIAHeading"/>
        <w:spacing w:line="276" w:lineRule="auto"/>
        <w:rPr>
          <w:sz w:val="22"/>
          <w:szCs w:val="22"/>
        </w:rPr>
      </w:pPr>
      <w:r w:rsidRPr="007029E9">
        <w:rPr>
          <w:sz w:val="22"/>
          <w:szCs w:val="22"/>
        </w:rPr>
        <w:t>Concept Handling</w:t>
      </w:r>
    </w:p>
    <w:p w:rsidR="00C8440E" w:rsidRPr="004E5673" w:rsidRDefault="00093DA4" w:rsidP="000D4031">
      <w:pPr>
        <w:pStyle w:val="AMIAHeading"/>
        <w:spacing w:line="276" w:lineRule="auto"/>
        <w:rPr>
          <w:b w:val="0"/>
          <w:sz w:val="22"/>
          <w:szCs w:val="22"/>
        </w:rPr>
      </w:pPr>
      <w:r>
        <w:rPr>
          <w:b w:val="0"/>
          <w:sz w:val="22"/>
          <w:szCs w:val="22"/>
        </w:rPr>
        <w:t xml:space="preserve">All concept types </w:t>
      </w:r>
      <w:r w:rsidR="005277F5">
        <w:rPr>
          <w:b w:val="0"/>
          <w:sz w:val="22"/>
          <w:szCs w:val="22"/>
        </w:rPr>
        <w:t>a</w:t>
      </w:r>
      <w:r>
        <w:rPr>
          <w:b w:val="0"/>
          <w:sz w:val="22"/>
          <w:szCs w:val="22"/>
        </w:rPr>
        <w:t xml:space="preserve">re processed though the same pipeline in the algorithm except for the mentions that have to do with people.  These </w:t>
      </w:r>
      <w:r w:rsidR="00C75E18">
        <w:rPr>
          <w:b w:val="0"/>
          <w:sz w:val="22"/>
          <w:szCs w:val="22"/>
        </w:rPr>
        <w:t xml:space="preserve">“people” </w:t>
      </w:r>
      <w:r>
        <w:rPr>
          <w:b w:val="0"/>
          <w:sz w:val="22"/>
          <w:szCs w:val="22"/>
        </w:rPr>
        <w:t xml:space="preserve">mentions </w:t>
      </w:r>
      <w:r w:rsidR="00C75E18">
        <w:rPr>
          <w:b w:val="0"/>
          <w:sz w:val="22"/>
          <w:szCs w:val="22"/>
        </w:rPr>
        <w:t xml:space="preserve">which </w:t>
      </w:r>
      <w:r>
        <w:rPr>
          <w:b w:val="0"/>
          <w:sz w:val="22"/>
          <w:szCs w:val="22"/>
        </w:rPr>
        <w:t xml:space="preserve">are </w:t>
      </w:r>
      <w:r w:rsidR="00C75E18">
        <w:rPr>
          <w:b w:val="0"/>
          <w:sz w:val="22"/>
          <w:szCs w:val="22"/>
        </w:rPr>
        <w:t xml:space="preserve">not pronouns are </w:t>
      </w:r>
      <w:r>
        <w:rPr>
          <w:b w:val="0"/>
          <w:sz w:val="22"/>
          <w:szCs w:val="22"/>
        </w:rPr>
        <w:t>categorized as being either the subject of the document, or a third party. In order to make this determination, it was found that internet searches could be used to determine if a mention is of medical personnel or not.  That along with coded rule</w:t>
      </w:r>
      <w:r w:rsidR="00433DDD">
        <w:rPr>
          <w:b w:val="0"/>
          <w:sz w:val="22"/>
          <w:szCs w:val="22"/>
        </w:rPr>
        <w:t>s for identifying other third party mentions</w:t>
      </w:r>
      <w:r w:rsidR="007029E9">
        <w:rPr>
          <w:b w:val="0"/>
          <w:sz w:val="22"/>
          <w:szCs w:val="22"/>
        </w:rPr>
        <w:t>, such as family,</w:t>
      </w:r>
      <w:r w:rsidR="00433DDD">
        <w:rPr>
          <w:b w:val="0"/>
          <w:sz w:val="22"/>
          <w:szCs w:val="22"/>
        </w:rPr>
        <w:t xml:space="preserve"> and </w:t>
      </w:r>
      <w:r w:rsidR="007029E9">
        <w:rPr>
          <w:b w:val="0"/>
          <w:sz w:val="22"/>
          <w:szCs w:val="22"/>
        </w:rPr>
        <w:t>connecting</w:t>
      </w:r>
      <w:r>
        <w:rPr>
          <w:b w:val="0"/>
          <w:sz w:val="22"/>
          <w:szCs w:val="22"/>
        </w:rPr>
        <w:t xml:space="preserve"> pronouns</w:t>
      </w:r>
      <w:r w:rsidR="00C75E18">
        <w:rPr>
          <w:b w:val="0"/>
          <w:sz w:val="22"/>
          <w:szCs w:val="22"/>
        </w:rPr>
        <w:t xml:space="preserve"> to the appropriate names</w:t>
      </w:r>
      <w:r w:rsidR="00433DDD">
        <w:rPr>
          <w:b w:val="0"/>
          <w:sz w:val="22"/>
          <w:szCs w:val="22"/>
        </w:rPr>
        <w:t xml:space="preserve"> comprises the section of the algorithm that links the mentions having to do with people. </w:t>
      </w:r>
      <w:r w:rsidR="007029E9">
        <w:rPr>
          <w:b w:val="0"/>
          <w:sz w:val="22"/>
          <w:szCs w:val="22"/>
        </w:rPr>
        <w:t>All other c</w:t>
      </w:r>
      <w:r w:rsidR="009711D8">
        <w:rPr>
          <w:b w:val="0"/>
          <w:sz w:val="22"/>
          <w:szCs w:val="22"/>
        </w:rPr>
        <w:t>oncept mentions were</w:t>
      </w:r>
      <w:r w:rsidR="004E5673">
        <w:rPr>
          <w:b w:val="0"/>
          <w:sz w:val="22"/>
          <w:szCs w:val="22"/>
        </w:rPr>
        <w:t xml:space="preserve"> examined and linked</w:t>
      </w:r>
      <w:r w:rsidR="00C75E18">
        <w:rPr>
          <w:b w:val="0"/>
          <w:sz w:val="22"/>
          <w:szCs w:val="22"/>
        </w:rPr>
        <w:t xml:space="preserve"> based on semantic similarity.  This similarity i</w:t>
      </w:r>
      <w:r w:rsidR="004E5673">
        <w:rPr>
          <w:b w:val="0"/>
          <w:sz w:val="22"/>
          <w:szCs w:val="22"/>
        </w:rPr>
        <w:t>s determined using</w:t>
      </w:r>
      <w:r w:rsidR="009711D8">
        <w:rPr>
          <w:b w:val="0"/>
          <w:sz w:val="22"/>
          <w:szCs w:val="22"/>
        </w:rPr>
        <w:t xml:space="preserve"> several methods.  The first method is using</w:t>
      </w:r>
      <w:r w:rsidR="004E5673">
        <w:rPr>
          <w:b w:val="0"/>
          <w:sz w:val="22"/>
          <w:szCs w:val="22"/>
        </w:rPr>
        <w:t xml:space="preserve"> string matching functions to match mentions spelled exactly </w:t>
      </w:r>
      <w:r w:rsidR="007029E9">
        <w:rPr>
          <w:b w:val="0"/>
          <w:sz w:val="22"/>
          <w:szCs w:val="22"/>
        </w:rPr>
        <w:t>or almost the same</w:t>
      </w:r>
      <w:r w:rsidR="009711D8">
        <w:rPr>
          <w:b w:val="0"/>
          <w:sz w:val="22"/>
          <w:szCs w:val="22"/>
        </w:rPr>
        <w:t xml:space="preserve"> and examine phrases between mentions of the same types which would indicate similarity.</w:t>
      </w:r>
      <w:r w:rsidR="004E5673">
        <w:rPr>
          <w:b w:val="0"/>
          <w:sz w:val="22"/>
          <w:szCs w:val="22"/>
        </w:rPr>
        <w:t xml:space="preserve"> </w:t>
      </w:r>
      <w:r w:rsidR="002717D9">
        <w:rPr>
          <w:b w:val="0"/>
          <w:sz w:val="22"/>
          <w:szCs w:val="22"/>
        </w:rPr>
        <w:t xml:space="preserve">Another method uses </w:t>
      </w:r>
      <w:proofErr w:type="spellStart"/>
      <w:r w:rsidR="004E5673">
        <w:rPr>
          <w:b w:val="0"/>
          <w:sz w:val="22"/>
          <w:szCs w:val="22"/>
        </w:rPr>
        <w:t>Wordnet</w:t>
      </w:r>
      <w:proofErr w:type="spellEnd"/>
      <w:r w:rsidR="004E5673">
        <w:rPr>
          <w:b w:val="0"/>
          <w:sz w:val="22"/>
          <w:szCs w:val="22"/>
        </w:rPr>
        <w:t xml:space="preserve"> synonyms to match words within the mentions</w:t>
      </w:r>
      <w:r w:rsidR="002717D9">
        <w:rPr>
          <w:b w:val="0"/>
          <w:sz w:val="22"/>
          <w:szCs w:val="22"/>
        </w:rPr>
        <w:t xml:space="preserve">.  </w:t>
      </w:r>
      <w:r w:rsidR="00960606">
        <w:rPr>
          <w:b w:val="0"/>
          <w:sz w:val="22"/>
          <w:szCs w:val="22"/>
        </w:rPr>
        <w:t xml:space="preserve">For medical terminology, </w:t>
      </w:r>
      <w:r w:rsidR="002717D9">
        <w:rPr>
          <w:b w:val="0"/>
          <w:sz w:val="22"/>
          <w:szCs w:val="22"/>
        </w:rPr>
        <w:t>the</w:t>
      </w:r>
      <w:r w:rsidR="00C75E18">
        <w:rPr>
          <w:b w:val="0"/>
          <w:sz w:val="22"/>
          <w:szCs w:val="22"/>
        </w:rPr>
        <w:t xml:space="preserve"> </w:t>
      </w:r>
      <w:r w:rsidR="004E5673">
        <w:rPr>
          <w:b w:val="0"/>
          <w:sz w:val="22"/>
          <w:szCs w:val="22"/>
        </w:rPr>
        <w:t xml:space="preserve">UMLS </w:t>
      </w:r>
      <w:r w:rsidR="00C75E18">
        <w:rPr>
          <w:b w:val="0"/>
          <w:sz w:val="22"/>
          <w:szCs w:val="22"/>
        </w:rPr>
        <w:t xml:space="preserve">database </w:t>
      </w:r>
      <w:r w:rsidR="002717D9">
        <w:rPr>
          <w:b w:val="0"/>
          <w:sz w:val="22"/>
          <w:szCs w:val="22"/>
        </w:rPr>
        <w:t>i</w:t>
      </w:r>
      <w:r w:rsidR="004E5673">
        <w:rPr>
          <w:b w:val="0"/>
          <w:sz w:val="22"/>
          <w:szCs w:val="22"/>
        </w:rPr>
        <w:t xml:space="preserve">s used to determine closely related </w:t>
      </w:r>
      <w:r w:rsidR="00960606">
        <w:rPr>
          <w:b w:val="0"/>
          <w:sz w:val="22"/>
          <w:szCs w:val="22"/>
        </w:rPr>
        <w:t xml:space="preserve">medical </w:t>
      </w:r>
      <w:r w:rsidR="004E5673">
        <w:rPr>
          <w:b w:val="0"/>
          <w:sz w:val="22"/>
          <w:szCs w:val="22"/>
        </w:rPr>
        <w:t>mentions</w:t>
      </w:r>
      <w:r w:rsidR="00C75E18">
        <w:rPr>
          <w:b w:val="0"/>
          <w:sz w:val="22"/>
          <w:szCs w:val="22"/>
        </w:rPr>
        <w:t xml:space="preserve">.  After the semantic links are made, they are passed over to filters to eliminate links that </w:t>
      </w:r>
      <w:r w:rsidR="00050E41">
        <w:rPr>
          <w:b w:val="0"/>
          <w:sz w:val="22"/>
          <w:szCs w:val="22"/>
        </w:rPr>
        <w:t>actually refer to two different things based on clues found in the sentences surrounding the mentions in question</w:t>
      </w:r>
      <w:r w:rsidR="00C8440E">
        <w:rPr>
          <w:b w:val="0"/>
          <w:sz w:val="22"/>
          <w:szCs w:val="22"/>
        </w:rPr>
        <w:t>.  These clues can include things such as dates, locations, or descriptive modifiers not included in the span of the mention</w:t>
      </w:r>
      <w:r w:rsidR="00A43CFD">
        <w:rPr>
          <w:b w:val="0"/>
          <w:sz w:val="22"/>
          <w:szCs w:val="22"/>
        </w:rPr>
        <w:t>. These c</w:t>
      </w:r>
      <w:r w:rsidR="003C6B11">
        <w:rPr>
          <w:b w:val="0"/>
          <w:sz w:val="22"/>
          <w:szCs w:val="22"/>
        </w:rPr>
        <w:t>lues are compared through string matching as well as automatic internet searches</w:t>
      </w:r>
      <w:r w:rsidR="00050E41">
        <w:rPr>
          <w:b w:val="0"/>
          <w:sz w:val="22"/>
          <w:szCs w:val="22"/>
        </w:rPr>
        <w:t>.</w:t>
      </w:r>
      <w:r w:rsidR="002717D9">
        <w:rPr>
          <w:b w:val="0"/>
          <w:sz w:val="22"/>
          <w:szCs w:val="22"/>
        </w:rPr>
        <w:t xml:space="preserve">  </w:t>
      </w:r>
      <w:r w:rsidR="00CC0CA0">
        <w:rPr>
          <w:b w:val="0"/>
          <w:sz w:val="22"/>
          <w:szCs w:val="22"/>
        </w:rPr>
        <w:t xml:space="preserve">The filter portion of the algorithm also eliminates links using </w:t>
      </w:r>
      <w:proofErr w:type="spellStart"/>
      <w:r w:rsidR="00CC0CA0">
        <w:rPr>
          <w:b w:val="0"/>
          <w:sz w:val="22"/>
          <w:szCs w:val="22"/>
        </w:rPr>
        <w:t>Wordnet</w:t>
      </w:r>
      <w:proofErr w:type="spellEnd"/>
      <w:r w:rsidR="00CC0CA0">
        <w:rPr>
          <w:b w:val="0"/>
          <w:sz w:val="22"/>
          <w:szCs w:val="22"/>
        </w:rPr>
        <w:t xml:space="preserve"> to determine what kind of word or phrase the mention is, </w:t>
      </w:r>
      <w:r w:rsidR="005277F5">
        <w:rPr>
          <w:b w:val="0"/>
          <w:sz w:val="22"/>
          <w:szCs w:val="22"/>
        </w:rPr>
        <w:t xml:space="preserve">such as removing all adjectives from chains.  </w:t>
      </w:r>
      <w:r w:rsidR="00C8440E">
        <w:rPr>
          <w:b w:val="0"/>
          <w:sz w:val="22"/>
          <w:szCs w:val="22"/>
        </w:rPr>
        <w:t>The entire flow of data for the algorithm can be seen in Figure 1.</w:t>
      </w:r>
    </w:p>
    <w:p w:rsidR="00CC0CA0" w:rsidRDefault="00CB26FD" w:rsidP="00940944">
      <w:pPr>
        <w:pStyle w:val="AMIABodyText"/>
        <w:rPr>
          <w:b/>
          <w:sz w:val="22"/>
          <w:szCs w:val="22"/>
        </w:rPr>
      </w:pPr>
      <w:r>
        <w:rPr>
          <w:b/>
          <w:noProof/>
        </w:rPr>
        <w:drawing>
          <wp:anchor distT="0" distB="0" distL="114300" distR="114300" simplePos="0" relativeHeight="251657216" behindDoc="0" locked="0" layoutInCell="1" allowOverlap="1">
            <wp:simplePos x="0" y="0"/>
            <wp:positionH relativeFrom="column">
              <wp:posOffset>518795</wp:posOffset>
            </wp:positionH>
            <wp:positionV relativeFrom="paragraph">
              <wp:posOffset>-362585</wp:posOffset>
            </wp:positionV>
            <wp:extent cx="4796790" cy="2717165"/>
            <wp:effectExtent l="19050" t="0" r="3810" b="0"/>
            <wp:wrapTopAndBottom/>
            <wp:docPr id="5" name="Picture 5"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owchart"/>
                    <pic:cNvPicPr>
                      <a:picLocks noChangeAspect="1" noChangeArrowheads="1"/>
                    </pic:cNvPicPr>
                  </pic:nvPicPr>
                  <pic:blipFill>
                    <a:blip r:embed="rId12"/>
                    <a:srcRect/>
                    <a:stretch>
                      <a:fillRect/>
                    </a:stretch>
                  </pic:blipFill>
                  <pic:spPr bwMode="auto">
                    <a:xfrm>
                      <a:off x="0" y="0"/>
                      <a:ext cx="4796790" cy="2717165"/>
                    </a:xfrm>
                    <a:prstGeom prst="rect">
                      <a:avLst/>
                    </a:prstGeom>
                    <a:noFill/>
                    <a:ln w="9525">
                      <a:noFill/>
                      <a:miter lim="800000"/>
                      <a:headEnd/>
                      <a:tailEnd/>
                    </a:ln>
                  </pic:spPr>
                </pic:pic>
              </a:graphicData>
            </a:graphic>
          </wp:anchor>
        </w:drawing>
      </w:r>
      <w:r w:rsidR="00141E95" w:rsidRPr="00141E95">
        <w:rPr>
          <w:b/>
          <w:noProof/>
          <w:lang w:eastAsia="zh-TW"/>
        </w:rPr>
        <w:pict>
          <v:shapetype id="_x0000_t202" coordsize="21600,21600" o:spt="202" path="m,l,21600r21600,l21600,xe">
            <v:stroke joinstyle="miter"/>
            <v:path gradientshapeok="t" o:connecttype="rect"/>
          </v:shapetype>
          <v:shape id="_x0000_s1031" type="#_x0000_t202" style="position:absolute;left:0;text-align:left;margin-left:56.45pt;margin-top:178.65pt;width:249.2pt;height:19.45pt;z-index:251658240;mso-height-percent:200;mso-position-horizontal-relative:text;mso-position-vertical-relative:text;mso-height-percent:200;mso-width-relative:margin;mso-height-relative:margin" strokecolor="white">
            <v:textbox style="mso-next-textbox:#_x0000_s1031;mso-fit-shape-to-text:t">
              <w:txbxContent>
                <w:p w:rsidR="00956B9E" w:rsidRPr="00956B9E" w:rsidRDefault="00956B9E">
                  <w:pPr>
                    <w:rPr>
                      <w:b/>
                    </w:rPr>
                  </w:pPr>
                  <w:proofErr w:type="gramStart"/>
                  <w:r w:rsidRPr="00956B9E">
                    <w:rPr>
                      <w:b/>
                    </w:rPr>
                    <w:t>Figure 1</w:t>
                  </w:r>
                  <w:r>
                    <w:rPr>
                      <w:b/>
                    </w:rPr>
                    <w:t>.</w:t>
                  </w:r>
                  <w:proofErr w:type="gramEnd"/>
                  <w:r>
                    <w:rPr>
                      <w:b/>
                    </w:rPr>
                    <w:t xml:space="preserve">  </w:t>
                  </w:r>
                  <w:r>
                    <w:t>Data flow chart for the rule based algorithm</w:t>
                  </w:r>
                </w:p>
              </w:txbxContent>
            </v:textbox>
          </v:shape>
        </w:pict>
      </w:r>
    </w:p>
    <w:p w:rsidR="00CB26FD" w:rsidRDefault="00CB26FD" w:rsidP="00940944">
      <w:pPr>
        <w:pStyle w:val="AMIABodyText"/>
        <w:rPr>
          <w:b/>
          <w:sz w:val="22"/>
          <w:szCs w:val="22"/>
        </w:rPr>
      </w:pPr>
    </w:p>
    <w:p w:rsidR="00956B9E" w:rsidRPr="0096139A" w:rsidRDefault="0096139A" w:rsidP="00940944">
      <w:pPr>
        <w:pStyle w:val="AMIABodyText"/>
        <w:rPr>
          <w:b/>
          <w:sz w:val="22"/>
          <w:szCs w:val="22"/>
        </w:rPr>
      </w:pPr>
      <w:r w:rsidRPr="0096139A">
        <w:rPr>
          <w:b/>
          <w:sz w:val="22"/>
          <w:szCs w:val="22"/>
        </w:rPr>
        <w:lastRenderedPageBreak/>
        <w:t xml:space="preserve">Rule Based </w:t>
      </w:r>
      <w:r w:rsidR="00CC0CA0">
        <w:rPr>
          <w:b/>
          <w:sz w:val="22"/>
          <w:szCs w:val="22"/>
        </w:rPr>
        <w:t xml:space="preserve">Algorithm </w:t>
      </w:r>
      <w:r w:rsidRPr="0096139A">
        <w:rPr>
          <w:b/>
          <w:sz w:val="22"/>
          <w:szCs w:val="22"/>
        </w:rPr>
        <w:t>Performance</w:t>
      </w:r>
    </w:p>
    <w:p w:rsidR="00AC45CC" w:rsidRDefault="0096139A" w:rsidP="00AC45CC">
      <w:pPr>
        <w:pStyle w:val="AMIABodyText"/>
        <w:rPr>
          <w:sz w:val="22"/>
          <w:szCs w:val="22"/>
        </w:rPr>
      </w:pPr>
      <w:r>
        <w:rPr>
          <w:sz w:val="22"/>
          <w:szCs w:val="22"/>
        </w:rPr>
        <w:t>The final form of the rule based system developed for this challenge was cross-checked with the I2B2 files provided and had the following performance results (Table 4).</w:t>
      </w:r>
      <w:r w:rsidR="00CC0CA0">
        <w:rPr>
          <w:sz w:val="22"/>
          <w:szCs w:val="22"/>
        </w:rPr>
        <w:t xml:space="preserve">  Execution time per document ranges from 1 to 10 seconds, and depends on the length of the document.</w:t>
      </w:r>
    </w:p>
    <w:p w:rsidR="00CB26FD" w:rsidRPr="00AC45CC" w:rsidRDefault="00CB26FD" w:rsidP="00AC45CC">
      <w:pPr>
        <w:pStyle w:val="AMIABodyText"/>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0"/>
        <w:gridCol w:w="1170"/>
        <w:gridCol w:w="1170"/>
        <w:gridCol w:w="1260"/>
        <w:gridCol w:w="1170"/>
        <w:gridCol w:w="1260"/>
        <w:gridCol w:w="1350"/>
      </w:tblGrid>
      <w:tr w:rsidR="00AC45CC" w:rsidRPr="00C13006" w:rsidTr="00516647">
        <w:tc>
          <w:tcPr>
            <w:tcW w:w="1980" w:type="dxa"/>
          </w:tcPr>
          <w:p w:rsidR="00AC45CC" w:rsidRPr="00C13006" w:rsidRDefault="00AC45CC" w:rsidP="00516647">
            <w:pPr>
              <w:pStyle w:val="AMIAHeading"/>
              <w:spacing w:line="276" w:lineRule="auto"/>
              <w:rPr>
                <w:b w:val="0"/>
                <w:sz w:val="22"/>
                <w:szCs w:val="22"/>
              </w:rPr>
            </w:pPr>
            <w:r w:rsidRPr="00C13006">
              <w:rPr>
                <w:b w:val="0"/>
                <w:sz w:val="22"/>
                <w:szCs w:val="22"/>
              </w:rPr>
              <w:t>Data Set</w:t>
            </w:r>
          </w:p>
        </w:tc>
        <w:tc>
          <w:tcPr>
            <w:tcW w:w="1170" w:type="dxa"/>
          </w:tcPr>
          <w:p w:rsidR="00AC45CC" w:rsidRPr="00C13006" w:rsidRDefault="00AC45CC" w:rsidP="00516647">
            <w:pPr>
              <w:pStyle w:val="AMIAHeading"/>
              <w:spacing w:line="276" w:lineRule="auto"/>
              <w:rPr>
                <w:b w:val="0"/>
                <w:sz w:val="22"/>
                <w:szCs w:val="22"/>
              </w:rPr>
            </w:pPr>
            <w:r w:rsidRPr="00C13006">
              <w:rPr>
                <w:b w:val="0"/>
                <w:sz w:val="22"/>
                <w:szCs w:val="22"/>
              </w:rPr>
              <w:t>Overall</w:t>
            </w:r>
          </w:p>
        </w:tc>
        <w:tc>
          <w:tcPr>
            <w:tcW w:w="1170" w:type="dxa"/>
          </w:tcPr>
          <w:p w:rsidR="00AC45CC" w:rsidRPr="00C13006" w:rsidRDefault="00AC45CC" w:rsidP="00516647">
            <w:pPr>
              <w:pStyle w:val="AMIAHeading"/>
              <w:spacing w:line="276" w:lineRule="auto"/>
              <w:rPr>
                <w:b w:val="0"/>
                <w:sz w:val="22"/>
                <w:szCs w:val="22"/>
              </w:rPr>
            </w:pPr>
            <w:r w:rsidRPr="00C13006">
              <w:rPr>
                <w:b w:val="0"/>
                <w:sz w:val="22"/>
                <w:szCs w:val="22"/>
              </w:rPr>
              <w:t>People</w:t>
            </w:r>
          </w:p>
        </w:tc>
        <w:tc>
          <w:tcPr>
            <w:tcW w:w="1260" w:type="dxa"/>
          </w:tcPr>
          <w:p w:rsidR="00AC45CC" w:rsidRPr="00C13006" w:rsidRDefault="00AC45CC" w:rsidP="00516647">
            <w:pPr>
              <w:pStyle w:val="AMIAHeading"/>
              <w:spacing w:line="276" w:lineRule="auto"/>
              <w:rPr>
                <w:b w:val="0"/>
                <w:sz w:val="22"/>
                <w:szCs w:val="22"/>
              </w:rPr>
            </w:pPr>
            <w:r w:rsidRPr="00C13006">
              <w:rPr>
                <w:b w:val="0"/>
                <w:sz w:val="22"/>
                <w:szCs w:val="22"/>
              </w:rPr>
              <w:t>Problems</w:t>
            </w:r>
          </w:p>
        </w:tc>
        <w:tc>
          <w:tcPr>
            <w:tcW w:w="1170" w:type="dxa"/>
          </w:tcPr>
          <w:p w:rsidR="00AC45CC" w:rsidRPr="00C13006" w:rsidRDefault="00AC45CC" w:rsidP="00516647">
            <w:pPr>
              <w:pStyle w:val="AMIAHeading"/>
              <w:spacing w:line="276" w:lineRule="auto"/>
              <w:rPr>
                <w:b w:val="0"/>
                <w:sz w:val="22"/>
                <w:szCs w:val="22"/>
              </w:rPr>
            </w:pPr>
            <w:r w:rsidRPr="00C13006">
              <w:rPr>
                <w:b w:val="0"/>
                <w:sz w:val="22"/>
                <w:szCs w:val="22"/>
              </w:rPr>
              <w:t>Tests</w:t>
            </w:r>
          </w:p>
        </w:tc>
        <w:tc>
          <w:tcPr>
            <w:tcW w:w="1260" w:type="dxa"/>
          </w:tcPr>
          <w:p w:rsidR="00AC45CC" w:rsidRPr="00C13006" w:rsidRDefault="00AC45CC" w:rsidP="00516647">
            <w:pPr>
              <w:pStyle w:val="AMIAHeading"/>
              <w:spacing w:line="276" w:lineRule="auto"/>
              <w:rPr>
                <w:b w:val="0"/>
                <w:sz w:val="22"/>
                <w:szCs w:val="22"/>
              </w:rPr>
            </w:pPr>
            <w:r w:rsidRPr="00C13006">
              <w:rPr>
                <w:b w:val="0"/>
                <w:sz w:val="22"/>
                <w:szCs w:val="22"/>
              </w:rPr>
              <w:t>Treatments</w:t>
            </w:r>
          </w:p>
        </w:tc>
        <w:tc>
          <w:tcPr>
            <w:tcW w:w="1350" w:type="dxa"/>
          </w:tcPr>
          <w:p w:rsidR="00AC45CC" w:rsidRPr="00C13006" w:rsidRDefault="00AC45CC" w:rsidP="00516647">
            <w:pPr>
              <w:pStyle w:val="AMIAHeading"/>
              <w:spacing w:line="276" w:lineRule="auto"/>
              <w:rPr>
                <w:b w:val="0"/>
                <w:sz w:val="22"/>
                <w:szCs w:val="22"/>
              </w:rPr>
            </w:pPr>
            <w:r w:rsidRPr="00C13006">
              <w:rPr>
                <w:b w:val="0"/>
                <w:sz w:val="22"/>
                <w:szCs w:val="22"/>
              </w:rPr>
              <w:t>All Others</w:t>
            </w:r>
          </w:p>
        </w:tc>
      </w:tr>
      <w:tr w:rsidR="00AC45CC" w:rsidRPr="00C13006" w:rsidTr="00516647">
        <w:tc>
          <w:tcPr>
            <w:tcW w:w="1980" w:type="dxa"/>
          </w:tcPr>
          <w:p w:rsidR="00AC45CC" w:rsidRPr="00C13006" w:rsidRDefault="00AC45CC" w:rsidP="00516647">
            <w:pPr>
              <w:pStyle w:val="AMIAHeading"/>
              <w:spacing w:line="276" w:lineRule="auto"/>
              <w:rPr>
                <w:b w:val="0"/>
                <w:sz w:val="22"/>
                <w:szCs w:val="22"/>
              </w:rPr>
            </w:pPr>
            <w:r w:rsidRPr="00C13006">
              <w:rPr>
                <w:b w:val="0"/>
                <w:sz w:val="22"/>
                <w:szCs w:val="22"/>
              </w:rPr>
              <w:t>Beth Israel</w:t>
            </w:r>
          </w:p>
        </w:tc>
        <w:tc>
          <w:tcPr>
            <w:tcW w:w="1170" w:type="dxa"/>
          </w:tcPr>
          <w:p w:rsidR="00AC45CC" w:rsidRPr="00C13006" w:rsidRDefault="00AC45CC" w:rsidP="00516647">
            <w:pPr>
              <w:pStyle w:val="AMIAHeading"/>
              <w:spacing w:line="276" w:lineRule="auto"/>
              <w:rPr>
                <w:b w:val="0"/>
                <w:sz w:val="22"/>
                <w:szCs w:val="22"/>
              </w:rPr>
            </w:pPr>
            <w:r>
              <w:rPr>
                <w:b w:val="0"/>
                <w:sz w:val="22"/>
                <w:szCs w:val="22"/>
              </w:rPr>
              <w:t>89.1%</w:t>
            </w:r>
          </w:p>
        </w:tc>
        <w:tc>
          <w:tcPr>
            <w:tcW w:w="1170" w:type="dxa"/>
          </w:tcPr>
          <w:p w:rsidR="00AC45CC" w:rsidRPr="00C13006" w:rsidRDefault="005836AF" w:rsidP="00516647">
            <w:pPr>
              <w:pStyle w:val="AMIAHeading"/>
              <w:spacing w:line="276" w:lineRule="auto"/>
              <w:rPr>
                <w:b w:val="0"/>
                <w:sz w:val="22"/>
                <w:szCs w:val="22"/>
              </w:rPr>
            </w:pPr>
            <w:r>
              <w:rPr>
                <w:b w:val="0"/>
                <w:sz w:val="22"/>
                <w:szCs w:val="22"/>
              </w:rPr>
              <w:t>95.8</w:t>
            </w:r>
            <w:r w:rsidR="00AC45CC">
              <w:rPr>
                <w:b w:val="0"/>
                <w:sz w:val="22"/>
                <w:szCs w:val="22"/>
              </w:rPr>
              <w:t>%</w:t>
            </w:r>
          </w:p>
        </w:tc>
        <w:tc>
          <w:tcPr>
            <w:tcW w:w="1260" w:type="dxa"/>
          </w:tcPr>
          <w:p w:rsidR="00AC45CC" w:rsidRPr="00C13006" w:rsidRDefault="005836AF" w:rsidP="00516647">
            <w:pPr>
              <w:pStyle w:val="AMIAHeading"/>
              <w:spacing w:line="276" w:lineRule="auto"/>
              <w:rPr>
                <w:b w:val="0"/>
                <w:sz w:val="22"/>
                <w:szCs w:val="22"/>
              </w:rPr>
            </w:pPr>
            <w:r>
              <w:rPr>
                <w:b w:val="0"/>
                <w:sz w:val="22"/>
                <w:szCs w:val="22"/>
              </w:rPr>
              <w:t>69%</w:t>
            </w:r>
          </w:p>
        </w:tc>
        <w:tc>
          <w:tcPr>
            <w:tcW w:w="1170" w:type="dxa"/>
          </w:tcPr>
          <w:p w:rsidR="00AC45CC" w:rsidRPr="00C13006" w:rsidRDefault="005836AF" w:rsidP="00516647">
            <w:pPr>
              <w:pStyle w:val="AMIAHeading"/>
              <w:spacing w:line="276" w:lineRule="auto"/>
              <w:rPr>
                <w:b w:val="0"/>
                <w:sz w:val="22"/>
                <w:szCs w:val="22"/>
              </w:rPr>
            </w:pPr>
            <w:r>
              <w:rPr>
                <w:b w:val="0"/>
                <w:sz w:val="22"/>
                <w:szCs w:val="22"/>
              </w:rPr>
              <w:t>38.9%</w:t>
            </w:r>
          </w:p>
        </w:tc>
        <w:tc>
          <w:tcPr>
            <w:tcW w:w="1260" w:type="dxa"/>
          </w:tcPr>
          <w:p w:rsidR="00AC45CC" w:rsidRPr="00C13006" w:rsidRDefault="005836AF" w:rsidP="00516647">
            <w:pPr>
              <w:pStyle w:val="AMIAHeading"/>
              <w:spacing w:line="276" w:lineRule="auto"/>
              <w:rPr>
                <w:b w:val="0"/>
                <w:sz w:val="22"/>
                <w:szCs w:val="22"/>
              </w:rPr>
            </w:pPr>
            <w:r>
              <w:rPr>
                <w:b w:val="0"/>
                <w:sz w:val="22"/>
                <w:szCs w:val="22"/>
              </w:rPr>
              <w:t>59.7%</w:t>
            </w:r>
          </w:p>
        </w:tc>
        <w:tc>
          <w:tcPr>
            <w:tcW w:w="1350" w:type="dxa"/>
          </w:tcPr>
          <w:p w:rsidR="00AC45CC" w:rsidRPr="00C13006" w:rsidRDefault="00AC45CC" w:rsidP="00516647">
            <w:pPr>
              <w:pStyle w:val="AMIAHeading"/>
              <w:spacing w:line="276" w:lineRule="auto"/>
              <w:rPr>
                <w:b w:val="0"/>
                <w:sz w:val="22"/>
                <w:szCs w:val="22"/>
              </w:rPr>
            </w:pPr>
            <w:r w:rsidRPr="00C13006">
              <w:rPr>
                <w:b w:val="0"/>
                <w:sz w:val="22"/>
                <w:szCs w:val="22"/>
              </w:rPr>
              <w:t>N/A</w:t>
            </w:r>
          </w:p>
        </w:tc>
      </w:tr>
      <w:tr w:rsidR="00AC45CC" w:rsidRPr="00C13006" w:rsidTr="00516647">
        <w:tc>
          <w:tcPr>
            <w:tcW w:w="1980" w:type="dxa"/>
          </w:tcPr>
          <w:p w:rsidR="00AC45CC" w:rsidRPr="00C13006" w:rsidRDefault="00AC45CC" w:rsidP="00516647">
            <w:pPr>
              <w:pStyle w:val="AMIAHeading"/>
              <w:spacing w:line="276" w:lineRule="auto"/>
              <w:rPr>
                <w:b w:val="0"/>
                <w:sz w:val="22"/>
                <w:szCs w:val="22"/>
              </w:rPr>
            </w:pPr>
            <w:r w:rsidRPr="00C13006">
              <w:rPr>
                <w:b w:val="0"/>
                <w:sz w:val="22"/>
                <w:szCs w:val="22"/>
              </w:rPr>
              <w:t>Partners Healthcare</w:t>
            </w:r>
          </w:p>
        </w:tc>
        <w:tc>
          <w:tcPr>
            <w:tcW w:w="1170" w:type="dxa"/>
          </w:tcPr>
          <w:p w:rsidR="00AC45CC" w:rsidRPr="00C13006" w:rsidRDefault="00AC45CC" w:rsidP="00516647">
            <w:pPr>
              <w:pStyle w:val="AMIAHeading"/>
              <w:spacing w:line="276" w:lineRule="auto"/>
              <w:rPr>
                <w:b w:val="0"/>
                <w:sz w:val="22"/>
                <w:szCs w:val="22"/>
              </w:rPr>
            </w:pPr>
            <w:r>
              <w:rPr>
                <w:b w:val="0"/>
                <w:sz w:val="22"/>
                <w:szCs w:val="22"/>
              </w:rPr>
              <w:t>91.2%</w:t>
            </w:r>
          </w:p>
        </w:tc>
        <w:tc>
          <w:tcPr>
            <w:tcW w:w="1170" w:type="dxa"/>
          </w:tcPr>
          <w:p w:rsidR="00AC45CC" w:rsidRPr="00C13006" w:rsidRDefault="005836AF" w:rsidP="00516647">
            <w:pPr>
              <w:pStyle w:val="AMIAHeading"/>
              <w:spacing w:line="276" w:lineRule="auto"/>
              <w:rPr>
                <w:b w:val="0"/>
                <w:sz w:val="22"/>
                <w:szCs w:val="22"/>
              </w:rPr>
            </w:pPr>
            <w:r>
              <w:rPr>
                <w:b w:val="0"/>
                <w:sz w:val="22"/>
                <w:szCs w:val="22"/>
              </w:rPr>
              <w:t>95.3%</w:t>
            </w:r>
          </w:p>
        </w:tc>
        <w:tc>
          <w:tcPr>
            <w:tcW w:w="1260" w:type="dxa"/>
          </w:tcPr>
          <w:p w:rsidR="00AC45CC" w:rsidRPr="00C13006" w:rsidRDefault="005836AF" w:rsidP="00516647">
            <w:pPr>
              <w:pStyle w:val="AMIAHeading"/>
              <w:spacing w:line="276" w:lineRule="auto"/>
              <w:rPr>
                <w:b w:val="0"/>
                <w:sz w:val="22"/>
                <w:szCs w:val="22"/>
              </w:rPr>
            </w:pPr>
            <w:r>
              <w:rPr>
                <w:b w:val="0"/>
                <w:sz w:val="22"/>
                <w:szCs w:val="22"/>
              </w:rPr>
              <w:t>69.6%</w:t>
            </w:r>
          </w:p>
        </w:tc>
        <w:tc>
          <w:tcPr>
            <w:tcW w:w="1170" w:type="dxa"/>
          </w:tcPr>
          <w:p w:rsidR="00AC45CC" w:rsidRPr="00C13006" w:rsidRDefault="005836AF" w:rsidP="00516647">
            <w:pPr>
              <w:pStyle w:val="AMIAHeading"/>
              <w:spacing w:line="276" w:lineRule="auto"/>
              <w:rPr>
                <w:b w:val="0"/>
                <w:sz w:val="22"/>
                <w:szCs w:val="22"/>
              </w:rPr>
            </w:pPr>
            <w:r>
              <w:rPr>
                <w:b w:val="0"/>
                <w:sz w:val="22"/>
                <w:szCs w:val="22"/>
              </w:rPr>
              <w:t>46.24%</w:t>
            </w:r>
          </w:p>
        </w:tc>
        <w:tc>
          <w:tcPr>
            <w:tcW w:w="1260" w:type="dxa"/>
          </w:tcPr>
          <w:p w:rsidR="00AC45CC" w:rsidRPr="00C13006" w:rsidRDefault="005836AF" w:rsidP="00516647">
            <w:pPr>
              <w:pStyle w:val="AMIAHeading"/>
              <w:spacing w:line="276" w:lineRule="auto"/>
              <w:rPr>
                <w:b w:val="0"/>
                <w:sz w:val="22"/>
                <w:szCs w:val="22"/>
              </w:rPr>
            </w:pPr>
            <w:r>
              <w:rPr>
                <w:b w:val="0"/>
                <w:sz w:val="22"/>
                <w:szCs w:val="22"/>
              </w:rPr>
              <w:t>62.4%</w:t>
            </w:r>
          </w:p>
        </w:tc>
        <w:tc>
          <w:tcPr>
            <w:tcW w:w="1350" w:type="dxa"/>
          </w:tcPr>
          <w:p w:rsidR="00AC45CC" w:rsidRPr="00C13006" w:rsidRDefault="00AC45CC" w:rsidP="00516647">
            <w:pPr>
              <w:pStyle w:val="AMIAHeading"/>
              <w:spacing w:line="276" w:lineRule="auto"/>
              <w:rPr>
                <w:b w:val="0"/>
                <w:sz w:val="22"/>
                <w:szCs w:val="22"/>
              </w:rPr>
            </w:pPr>
            <w:r w:rsidRPr="00C13006">
              <w:rPr>
                <w:b w:val="0"/>
                <w:sz w:val="22"/>
                <w:szCs w:val="22"/>
              </w:rPr>
              <w:t>N/A</w:t>
            </w:r>
          </w:p>
        </w:tc>
      </w:tr>
      <w:tr w:rsidR="00AC45CC" w:rsidRPr="00C13006" w:rsidTr="00516647">
        <w:tc>
          <w:tcPr>
            <w:tcW w:w="1980" w:type="dxa"/>
          </w:tcPr>
          <w:p w:rsidR="00AC45CC" w:rsidRPr="00C13006" w:rsidRDefault="00AC45CC" w:rsidP="00516647">
            <w:pPr>
              <w:pStyle w:val="AMIAHeading"/>
              <w:spacing w:line="276" w:lineRule="auto"/>
              <w:rPr>
                <w:b w:val="0"/>
                <w:sz w:val="22"/>
                <w:szCs w:val="22"/>
              </w:rPr>
            </w:pPr>
            <w:r w:rsidRPr="00C13006">
              <w:rPr>
                <w:b w:val="0"/>
                <w:sz w:val="22"/>
                <w:szCs w:val="22"/>
              </w:rPr>
              <w:t>Mayo Clinic</w:t>
            </w:r>
          </w:p>
        </w:tc>
        <w:tc>
          <w:tcPr>
            <w:tcW w:w="1170" w:type="dxa"/>
          </w:tcPr>
          <w:p w:rsidR="00AC45CC" w:rsidRPr="00C13006" w:rsidRDefault="003C259C" w:rsidP="00516647">
            <w:pPr>
              <w:pStyle w:val="AMIAHeading"/>
              <w:spacing w:line="276" w:lineRule="auto"/>
              <w:rPr>
                <w:b w:val="0"/>
                <w:sz w:val="22"/>
                <w:szCs w:val="22"/>
              </w:rPr>
            </w:pPr>
            <w:r>
              <w:rPr>
                <w:b w:val="0"/>
                <w:sz w:val="22"/>
                <w:szCs w:val="22"/>
              </w:rPr>
              <w:t>78.9</w:t>
            </w:r>
            <w:r w:rsidR="00AC45CC">
              <w:rPr>
                <w:b w:val="0"/>
                <w:sz w:val="22"/>
                <w:szCs w:val="22"/>
              </w:rPr>
              <w:t>%</w:t>
            </w:r>
          </w:p>
        </w:tc>
        <w:tc>
          <w:tcPr>
            <w:tcW w:w="1170" w:type="dxa"/>
          </w:tcPr>
          <w:p w:rsidR="00AC45CC" w:rsidRPr="00C13006" w:rsidRDefault="00AC45CC" w:rsidP="00516647">
            <w:pPr>
              <w:pStyle w:val="AMIAHeading"/>
              <w:spacing w:line="276" w:lineRule="auto"/>
              <w:rPr>
                <w:b w:val="0"/>
                <w:sz w:val="22"/>
                <w:szCs w:val="22"/>
              </w:rPr>
            </w:pPr>
            <w:r>
              <w:rPr>
                <w:b w:val="0"/>
                <w:sz w:val="22"/>
                <w:szCs w:val="22"/>
              </w:rPr>
              <w:t>59.3%</w:t>
            </w:r>
          </w:p>
        </w:tc>
        <w:tc>
          <w:tcPr>
            <w:tcW w:w="1260" w:type="dxa"/>
          </w:tcPr>
          <w:p w:rsidR="00AC45CC" w:rsidRPr="00C13006" w:rsidRDefault="00AC45CC" w:rsidP="00516647">
            <w:pPr>
              <w:pStyle w:val="AMIAHeading"/>
              <w:spacing w:line="276" w:lineRule="auto"/>
              <w:rPr>
                <w:b w:val="0"/>
                <w:sz w:val="22"/>
                <w:szCs w:val="22"/>
              </w:rPr>
            </w:pPr>
            <w:r>
              <w:rPr>
                <w:b w:val="0"/>
                <w:sz w:val="22"/>
                <w:szCs w:val="22"/>
              </w:rPr>
              <w:t>66.7%</w:t>
            </w:r>
          </w:p>
        </w:tc>
        <w:tc>
          <w:tcPr>
            <w:tcW w:w="1170" w:type="dxa"/>
          </w:tcPr>
          <w:p w:rsidR="00AC45CC" w:rsidRPr="00C13006" w:rsidRDefault="00AC45CC" w:rsidP="00516647">
            <w:pPr>
              <w:pStyle w:val="AMIAHeading"/>
              <w:spacing w:line="276" w:lineRule="auto"/>
              <w:rPr>
                <w:b w:val="0"/>
                <w:sz w:val="22"/>
                <w:szCs w:val="22"/>
              </w:rPr>
            </w:pPr>
            <w:r>
              <w:rPr>
                <w:b w:val="0"/>
                <w:sz w:val="22"/>
                <w:szCs w:val="22"/>
              </w:rPr>
              <w:t>N/A</w:t>
            </w:r>
          </w:p>
        </w:tc>
        <w:tc>
          <w:tcPr>
            <w:tcW w:w="1260" w:type="dxa"/>
          </w:tcPr>
          <w:p w:rsidR="00AC45CC" w:rsidRPr="00C13006" w:rsidRDefault="00AC45CC" w:rsidP="00516647">
            <w:pPr>
              <w:pStyle w:val="AMIAHeading"/>
              <w:spacing w:line="276" w:lineRule="auto"/>
              <w:rPr>
                <w:b w:val="0"/>
                <w:sz w:val="22"/>
                <w:szCs w:val="22"/>
              </w:rPr>
            </w:pPr>
            <w:r>
              <w:rPr>
                <w:b w:val="0"/>
                <w:sz w:val="22"/>
                <w:szCs w:val="22"/>
              </w:rPr>
              <w:t>50%</w:t>
            </w:r>
          </w:p>
        </w:tc>
        <w:tc>
          <w:tcPr>
            <w:tcW w:w="1350" w:type="dxa"/>
          </w:tcPr>
          <w:p w:rsidR="00AC45CC" w:rsidRPr="00C13006" w:rsidRDefault="003C259C" w:rsidP="00516647">
            <w:pPr>
              <w:pStyle w:val="AMIAHeading"/>
              <w:spacing w:line="276" w:lineRule="auto"/>
              <w:rPr>
                <w:b w:val="0"/>
                <w:sz w:val="22"/>
                <w:szCs w:val="22"/>
              </w:rPr>
            </w:pPr>
            <w:r>
              <w:rPr>
                <w:b w:val="0"/>
                <w:sz w:val="22"/>
                <w:szCs w:val="22"/>
              </w:rPr>
              <w:t>45.3</w:t>
            </w:r>
            <w:r w:rsidR="00AC45CC">
              <w:rPr>
                <w:b w:val="0"/>
                <w:sz w:val="22"/>
                <w:szCs w:val="22"/>
              </w:rPr>
              <w:t>%</w:t>
            </w:r>
          </w:p>
        </w:tc>
      </w:tr>
    </w:tbl>
    <w:p w:rsidR="00AC45CC" w:rsidRDefault="00AC45CC" w:rsidP="00AC45CC">
      <w:pPr>
        <w:pStyle w:val="AMIAHeading"/>
        <w:spacing w:line="276" w:lineRule="auto"/>
        <w:rPr>
          <w:b w:val="0"/>
          <w:sz w:val="18"/>
          <w:szCs w:val="18"/>
        </w:rPr>
      </w:pPr>
      <w:proofErr w:type="gramStart"/>
      <w:r>
        <w:rPr>
          <w:sz w:val="18"/>
          <w:szCs w:val="18"/>
        </w:rPr>
        <w:t>Table</w:t>
      </w:r>
      <w:r w:rsidRPr="00F45E8A">
        <w:rPr>
          <w:sz w:val="18"/>
          <w:szCs w:val="18"/>
        </w:rPr>
        <w:t xml:space="preserve"> </w:t>
      </w:r>
      <w:r>
        <w:rPr>
          <w:sz w:val="18"/>
          <w:szCs w:val="18"/>
        </w:rPr>
        <w:t>4</w:t>
      </w:r>
      <w:r w:rsidRPr="006757E8">
        <w:rPr>
          <w:b w:val="0"/>
          <w:sz w:val="18"/>
          <w:szCs w:val="18"/>
        </w:rPr>
        <w:t>.</w:t>
      </w:r>
      <w:proofErr w:type="gramEnd"/>
      <w:r w:rsidRPr="006757E8">
        <w:rPr>
          <w:b w:val="0"/>
          <w:sz w:val="18"/>
          <w:szCs w:val="18"/>
        </w:rPr>
        <w:t xml:space="preserve"> </w:t>
      </w:r>
      <w:r>
        <w:rPr>
          <w:b w:val="0"/>
          <w:sz w:val="18"/>
          <w:szCs w:val="18"/>
        </w:rPr>
        <w:t>Rule based algorithm</w:t>
      </w:r>
      <w:r w:rsidRPr="006757E8">
        <w:rPr>
          <w:b w:val="0"/>
          <w:sz w:val="18"/>
          <w:szCs w:val="18"/>
        </w:rPr>
        <w:t xml:space="preserve"> performance results</w:t>
      </w:r>
      <w:r>
        <w:rPr>
          <w:b w:val="0"/>
          <w:sz w:val="18"/>
          <w:szCs w:val="18"/>
        </w:rPr>
        <w:t xml:space="preserve">.  The overall column is the </w:t>
      </w:r>
      <w:proofErr w:type="spellStart"/>
      <w:r>
        <w:rPr>
          <w:b w:val="0"/>
          <w:sz w:val="18"/>
          <w:szCs w:val="18"/>
        </w:rPr>
        <w:t>unweighted</w:t>
      </w:r>
      <w:proofErr w:type="spellEnd"/>
      <w:r>
        <w:rPr>
          <w:b w:val="0"/>
          <w:sz w:val="18"/>
          <w:szCs w:val="18"/>
        </w:rPr>
        <w:t xml:space="preserve"> average of the four </w:t>
      </w:r>
      <w:r w:rsidR="006F0823">
        <w:rPr>
          <w:b w:val="0"/>
          <w:sz w:val="18"/>
          <w:szCs w:val="18"/>
        </w:rPr>
        <w:t>metrics provided by I2B2</w:t>
      </w:r>
      <w:r>
        <w:rPr>
          <w:b w:val="0"/>
          <w:sz w:val="18"/>
          <w:szCs w:val="18"/>
        </w:rPr>
        <w:t>.  The other columns are the f1 performance score of the individual concept mention categories evaluated using the first method described above in “Evaluation Methods”.</w:t>
      </w:r>
    </w:p>
    <w:p w:rsidR="00AC45CC" w:rsidRDefault="00AC45CC" w:rsidP="00940944">
      <w:pPr>
        <w:pStyle w:val="AMIABodyText"/>
        <w:rPr>
          <w:sz w:val="22"/>
          <w:szCs w:val="22"/>
        </w:rPr>
      </w:pPr>
    </w:p>
    <w:p w:rsidR="00D16B56" w:rsidRPr="00D16D21" w:rsidRDefault="00D16B56" w:rsidP="00940944">
      <w:pPr>
        <w:pStyle w:val="AMIABodyText"/>
        <w:rPr>
          <w:b/>
          <w:sz w:val="22"/>
          <w:szCs w:val="22"/>
        </w:rPr>
      </w:pPr>
      <w:r w:rsidRPr="00D16D21">
        <w:rPr>
          <w:b/>
          <w:sz w:val="22"/>
          <w:szCs w:val="22"/>
        </w:rPr>
        <w:t>C</w:t>
      </w:r>
      <w:r w:rsidR="00D16D21" w:rsidRPr="00D16D21">
        <w:rPr>
          <w:b/>
          <w:sz w:val="22"/>
          <w:szCs w:val="22"/>
        </w:rPr>
        <w:t>ombining Results</w:t>
      </w:r>
    </w:p>
    <w:p w:rsidR="0099663F" w:rsidRDefault="00D16D21" w:rsidP="00940944">
      <w:pPr>
        <w:pStyle w:val="AMIABodyText"/>
        <w:rPr>
          <w:sz w:val="22"/>
          <w:szCs w:val="22"/>
        </w:rPr>
      </w:pPr>
      <w:r>
        <w:rPr>
          <w:sz w:val="22"/>
          <w:szCs w:val="22"/>
        </w:rPr>
        <w:t>Once result data was collected, combinations of link results from the rule based system and the BART system were examined since the BART system showed the highest amount of correct link predictions.  After combining the results</w:t>
      </w:r>
      <w:r w:rsidR="0099663F">
        <w:rPr>
          <w:sz w:val="22"/>
          <w:szCs w:val="22"/>
        </w:rPr>
        <w:t xml:space="preserve"> from the two systems as a union of the sets, the statistics showed an increase of about 1% in recall but a decline of about 15% in precision, bringing the f1 score down overall</w:t>
      </w:r>
      <w:r w:rsidR="006F0823">
        <w:rPr>
          <w:sz w:val="22"/>
          <w:szCs w:val="22"/>
        </w:rPr>
        <w:t>.</w:t>
      </w:r>
    </w:p>
    <w:p w:rsidR="006F0823" w:rsidRDefault="006F0823" w:rsidP="00940944">
      <w:pPr>
        <w:pStyle w:val="AMIABodyText"/>
        <w:rPr>
          <w:sz w:val="22"/>
          <w:szCs w:val="22"/>
        </w:rPr>
      </w:pPr>
    </w:p>
    <w:p w:rsidR="006F0823" w:rsidRDefault="006F0823" w:rsidP="00940944">
      <w:pPr>
        <w:pStyle w:val="AMIABodyText"/>
        <w:rPr>
          <w:b/>
          <w:sz w:val="22"/>
          <w:szCs w:val="22"/>
        </w:rPr>
      </w:pPr>
      <w:r w:rsidRPr="006F0823">
        <w:rPr>
          <w:b/>
          <w:sz w:val="22"/>
          <w:szCs w:val="22"/>
        </w:rPr>
        <w:t>Conclusion</w:t>
      </w:r>
    </w:p>
    <w:p w:rsidR="0099663F" w:rsidRDefault="006F0823" w:rsidP="00940944">
      <w:pPr>
        <w:pStyle w:val="AMIABodyText"/>
        <w:rPr>
          <w:sz w:val="22"/>
          <w:szCs w:val="22"/>
        </w:rPr>
      </w:pPr>
      <w:r>
        <w:rPr>
          <w:sz w:val="22"/>
          <w:szCs w:val="22"/>
        </w:rPr>
        <w:t xml:space="preserve">Since the goal of the 2011 I2B2 shared task was to mark concept mentions as co-referent </w:t>
      </w:r>
      <w:r w:rsidR="00C90EFA">
        <w:rPr>
          <w:sz w:val="22"/>
          <w:szCs w:val="22"/>
        </w:rPr>
        <w:t>or not,</w:t>
      </w:r>
      <w:r>
        <w:rPr>
          <w:sz w:val="22"/>
          <w:szCs w:val="22"/>
        </w:rPr>
        <w:t xml:space="preserve"> </w:t>
      </w:r>
      <w:r w:rsidR="00C90EFA">
        <w:rPr>
          <w:sz w:val="22"/>
          <w:szCs w:val="22"/>
        </w:rPr>
        <w:t>t</w:t>
      </w:r>
      <w:r>
        <w:rPr>
          <w:sz w:val="22"/>
          <w:szCs w:val="22"/>
        </w:rPr>
        <w:t>he rule based system</w:t>
      </w:r>
      <w:r w:rsidR="00C90EFA">
        <w:rPr>
          <w:sz w:val="22"/>
          <w:szCs w:val="22"/>
        </w:rPr>
        <w:t xml:space="preserve"> </w:t>
      </w:r>
      <w:r w:rsidR="00166624">
        <w:rPr>
          <w:sz w:val="22"/>
          <w:szCs w:val="22"/>
        </w:rPr>
        <w:t xml:space="preserve">developed for this study </w:t>
      </w:r>
      <w:r w:rsidR="00C90EFA">
        <w:rPr>
          <w:sz w:val="22"/>
          <w:szCs w:val="22"/>
        </w:rPr>
        <w:t xml:space="preserve">was used to mark links in the test data released by the organization for the challenge.  This decision was made based on the results from cross-checking the performance of each system on the training data provided.  </w:t>
      </w:r>
      <w:r w:rsidR="004F1938">
        <w:rPr>
          <w:sz w:val="22"/>
          <w:szCs w:val="22"/>
        </w:rPr>
        <w:t xml:space="preserve">The results show the BART system performed the best out of the three publicly available co-reference systems </w:t>
      </w:r>
      <w:r w:rsidR="00997BAC">
        <w:rPr>
          <w:sz w:val="22"/>
          <w:szCs w:val="22"/>
        </w:rPr>
        <w:t xml:space="preserve">tested in this study </w:t>
      </w:r>
      <w:r w:rsidR="004F1938">
        <w:rPr>
          <w:sz w:val="22"/>
          <w:szCs w:val="22"/>
        </w:rPr>
        <w:t xml:space="preserve">on this specific collection of data.  </w:t>
      </w:r>
      <w:r w:rsidR="00FD0C22">
        <w:rPr>
          <w:sz w:val="22"/>
          <w:szCs w:val="22"/>
        </w:rPr>
        <w:t>The results also show</w:t>
      </w:r>
      <w:r w:rsidR="00AF0E32">
        <w:rPr>
          <w:sz w:val="22"/>
          <w:szCs w:val="22"/>
        </w:rPr>
        <w:t xml:space="preserve"> that manually creating rules for co-reference based on observation of training data is a valid way to accomplish th</w:t>
      </w:r>
      <w:r w:rsidR="007F343A">
        <w:rPr>
          <w:sz w:val="22"/>
          <w:szCs w:val="22"/>
        </w:rPr>
        <w:t>is</w:t>
      </w:r>
      <w:r w:rsidR="00AF0E32">
        <w:rPr>
          <w:sz w:val="22"/>
          <w:szCs w:val="22"/>
        </w:rPr>
        <w:t xml:space="preserve"> co-reference task, and in this case performed well using the guidelines laid out by the hosts of the competition.</w:t>
      </w:r>
    </w:p>
    <w:p w:rsidR="007F343A" w:rsidRDefault="007F343A" w:rsidP="007F343A">
      <w:pPr>
        <w:pStyle w:val="AMIABodyText"/>
        <w:rPr>
          <w:b/>
          <w:sz w:val="22"/>
          <w:szCs w:val="22"/>
        </w:rPr>
      </w:pPr>
    </w:p>
    <w:p w:rsidR="007F343A" w:rsidRPr="004022D1" w:rsidRDefault="007F343A" w:rsidP="007F343A">
      <w:pPr>
        <w:pStyle w:val="AMIABodyText"/>
        <w:rPr>
          <w:b/>
          <w:sz w:val="22"/>
          <w:szCs w:val="22"/>
        </w:rPr>
      </w:pPr>
      <w:r w:rsidRPr="004022D1">
        <w:rPr>
          <w:b/>
          <w:sz w:val="22"/>
          <w:szCs w:val="22"/>
        </w:rPr>
        <w:t>Acknowledgement</w:t>
      </w:r>
      <w:r w:rsidR="001B7876">
        <w:rPr>
          <w:b/>
          <w:sz w:val="22"/>
          <w:szCs w:val="22"/>
        </w:rPr>
        <w:t>s</w:t>
      </w:r>
    </w:p>
    <w:p w:rsidR="00FA36D2" w:rsidRDefault="007F343A" w:rsidP="007F343A">
      <w:pPr>
        <w:spacing w:before="120"/>
        <w:jc w:val="both"/>
        <w:rPr>
          <w:sz w:val="22"/>
          <w:szCs w:val="22"/>
        </w:rPr>
      </w:pPr>
      <w:r w:rsidRPr="004022D1">
        <w:rPr>
          <w:sz w:val="22"/>
          <w:szCs w:val="22"/>
        </w:rPr>
        <w:t>This work is funded by National Science Foundation grant CNS 0851984 and Department of Homeland Security grant 2009-ST-061-C10001.</w:t>
      </w:r>
    </w:p>
    <w:p w:rsidR="007F343A" w:rsidRDefault="007F343A" w:rsidP="007F343A">
      <w:pPr>
        <w:spacing w:before="120"/>
        <w:jc w:val="both"/>
        <w:rPr>
          <w:sz w:val="22"/>
          <w:szCs w:val="22"/>
        </w:rPr>
      </w:pPr>
    </w:p>
    <w:p w:rsidR="00781CE1" w:rsidRPr="00775663" w:rsidRDefault="000876BD" w:rsidP="00FA36D2">
      <w:pPr>
        <w:pStyle w:val="AMIAReferenceHeading"/>
        <w:rPr>
          <w:sz w:val="22"/>
          <w:szCs w:val="22"/>
        </w:rPr>
      </w:pPr>
      <w:r w:rsidRPr="00775663">
        <w:rPr>
          <w:sz w:val="22"/>
          <w:szCs w:val="22"/>
        </w:rPr>
        <w:t>References</w:t>
      </w:r>
    </w:p>
    <w:p w:rsidR="00781CE1" w:rsidRDefault="00434228" w:rsidP="00940944">
      <w:pPr>
        <w:pStyle w:val="AMIAReference"/>
        <w:rPr>
          <w:sz w:val="22"/>
          <w:szCs w:val="22"/>
        </w:rPr>
      </w:pPr>
      <w:proofErr w:type="spellStart"/>
      <w:r w:rsidRPr="00775663">
        <w:rPr>
          <w:sz w:val="22"/>
          <w:szCs w:val="22"/>
        </w:rPr>
        <w:t>Uzuner</w:t>
      </w:r>
      <w:proofErr w:type="spellEnd"/>
      <w:r w:rsidRPr="00775663">
        <w:rPr>
          <w:sz w:val="22"/>
          <w:szCs w:val="22"/>
        </w:rPr>
        <w:t>, O</w:t>
      </w:r>
      <w:r w:rsidR="00B579FA" w:rsidRPr="00775663">
        <w:rPr>
          <w:sz w:val="22"/>
          <w:szCs w:val="22"/>
        </w:rPr>
        <w:t>,</w:t>
      </w:r>
      <w:r w:rsidRPr="00775663">
        <w:rPr>
          <w:sz w:val="22"/>
          <w:szCs w:val="22"/>
        </w:rPr>
        <w:t xml:space="preserve"> et al. </w:t>
      </w:r>
      <w:r w:rsidRPr="00775663">
        <w:rPr>
          <w:rFonts w:ascii="TimesNewRomanPSMT" w:hAnsi="TimesNewRomanPSMT" w:cs="TimesNewRomanPSMT"/>
          <w:sz w:val="22"/>
          <w:szCs w:val="22"/>
        </w:rPr>
        <w:t>2011</w:t>
      </w:r>
      <w:r w:rsidRPr="00775663">
        <w:rPr>
          <w:sz w:val="22"/>
          <w:szCs w:val="22"/>
        </w:rPr>
        <w:t xml:space="preserve"> i2b2/VA </w:t>
      </w:r>
      <w:r w:rsidR="006F0823">
        <w:rPr>
          <w:sz w:val="22"/>
          <w:szCs w:val="22"/>
        </w:rPr>
        <w:t>c</w:t>
      </w:r>
      <w:r w:rsidRPr="00775663">
        <w:rPr>
          <w:sz w:val="22"/>
          <w:szCs w:val="22"/>
        </w:rPr>
        <w:t xml:space="preserve">o-reference </w:t>
      </w:r>
      <w:r w:rsidR="006F0823">
        <w:rPr>
          <w:sz w:val="22"/>
          <w:szCs w:val="22"/>
        </w:rPr>
        <w:t>a</w:t>
      </w:r>
      <w:r w:rsidRPr="00775663">
        <w:rPr>
          <w:sz w:val="22"/>
          <w:szCs w:val="22"/>
        </w:rPr>
        <w:t xml:space="preserve">nnotation </w:t>
      </w:r>
      <w:r w:rsidR="006F0823">
        <w:rPr>
          <w:sz w:val="22"/>
          <w:szCs w:val="22"/>
        </w:rPr>
        <w:t>g</w:t>
      </w:r>
      <w:r w:rsidRPr="00775663">
        <w:rPr>
          <w:sz w:val="22"/>
          <w:szCs w:val="22"/>
        </w:rPr>
        <w:t xml:space="preserve">uidelines for the </w:t>
      </w:r>
      <w:r w:rsidR="006F0823">
        <w:rPr>
          <w:sz w:val="22"/>
          <w:szCs w:val="22"/>
        </w:rPr>
        <w:t>c</w:t>
      </w:r>
      <w:r w:rsidRPr="00775663">
        <w:rPr>
          <w:sz w:val="22"/>
          <w:szCs w:val="22"/>
        </w:rPr>
        <w:t xml:space="preserve">linical </w:t>
      </w:r>
      <w:r w:rsidR="006F0823">
        <w:rPr>
          <w:sz w:val="22"/>
          <w:szCs w:val="22"/>
        </w:rPr>
        <w:t>d</w:t>
      </w:r>
      <w:r w:rsidRPr="00775663">
        <w:rPr>
          <w:sz w:val="22"/>
          <w:szCs w:val="22"/>
        </w:rPr>
        <w:t xml:space="preserve">omain. </w:t>
      </w:r>
      <w:hyperlink r:id="rId13" w:history="1">
        <w:r w:rsidR="00E1189F" w:rsidRPr="0004448F">
          <w:rPr>
            <w:rStyle w:val="Hyperlink"/>
            <w:sz w:val="22"/>
            <w:szCs w:val="22"/>
          </w:rPr>
          <w:t>https://www.i2b2.org/NLP/Coreference/assets/</w:t>
        </w:r>
      </w:hyperlink>
      <w:r w:rsidR="000876BD" w:rsidRPr="00775663">
        <w:rPr>
          <w:sz w:val="22"/>
          <w:szCs w:val="22"/>
        </w:rPr>
        <w:t>.</w:t>
      </w:r>
      <w:r w:rsidR="00C74759">
        <w:rPr>
          <w:sz w:val="22"/>
          <w:szCs w:val="22"/>
        </w:rPr>
        <w:t xml:space="preserve"> </w:t>
      </w:r>
      <w:r w:rsidR="00C74759" w:rsidRPr="00775663">
        <w:rPr>
          <w:rFonts w:ascii="TimesNewRomanPSMT" w:hAnsi="TimesNewRomanPSMT" w:cs="TimesNewRomanPSMT"/>
          <w:sz w:val="22"/>
          <w:szCs w:val="22"/>
        </w:rPr>
        <w:t>(2011).</w:t>
      </w:r>
    </w:p>
    <w:p w:rsidR="00E1189F" w:rsidRPr="00775663" w:rsidRDefault="00E1189F" w:rsidP="00E1189F">
      <w:pPr>
        <w:pStyle w:val="AMIAReference"/>
        <w:numPr>
          <w:ilvl w:val="0"/>
          <w:numId w:val="0"/>
        </w:numPr>
        <w:ind w:left="360"/>
        <w:rPr>
          <w:sz w:val="22"/>
          <w:szCs w:val="22"/>
        </w:rPr>
      </w:pPr>
    </w:p>
    <w:p w:rsidR="00781CE1" w:rsidRDefault="00480942" w:rsidP="00480942">
      <w:pPr>
        <w:pStyle w:val="AMIAReference"/>
        <w:rPr>
          <w:sz w:val="22"/>
          <w:szCs w:val="22"/>
        </w:rPr>
      </w:pPr>
      <w:proofErr w:type="spellStart"/>
      <w:r w:rsidRPr="00775663">
        <w:rPr>
          <w:sz w:val="22"/>
          <w:szCs w:val="22"/>
        </w:rPr>
        <w:t>Poesio</w:t>
      </w:r>
      <w:proofErr w:type="spellEnd"/>
      <w:r w:rsidRPr="00775663">
        <w:rPr>
          <w:sz w:val="22"/>
          <w:szCs w:val="22"/>
        </w:rPr>
        <w:t xml:space="preserve">, M., </w:t>
      </w:r>
      <w:proofErr w:type="spellStart"/>
      <w:r w:rsidRPr="00775663">
        <w:rPr>
          <w:sz w:val="22"/>
          <w:szCs w:val="22"/>
        </w:rPr>
        <w:t>Ponzetto</w:t>
      </w:r>
      <w:proofErr w:type="spellEnd"/>
      <w:r w:rsidRPr="00775663">
        <w:rPr>
          <w:sz w:val="22"/>
          <w:szCs w:val="22"/>
        </w:rPr>
        <w:t xml:space="preserve">, S., </w:t>
      </w:r>
      <w:proofErr w:type="spellStart"/>
      <w:r w:rsidRPr="00775663">
        <w:rPr>
          <w:sz w:val="22"/>
          <w:szCs w:val="22"/>
        </w:rPr>
        <w:t>Versley</w:t>
      </w:r>
      <w:proofErr w:type="spellEnd"/>
      <w:r w:rsidRPr="00775663">
        <w:rPr>
          <w:sz w:val="22"/>
          <w:szCs w:val="22"/>
        </w:rPr>
        <w:t xml:space="preserve">, Y., </w:t>
      </w:r>
      <w:proofErr w:type="spellStart"/>
      <w:r w:rsidRPr="00775663">
        <w:rPr>
          <w:sz w:val="22"/>
          <w:szCs w:val="22"/>
        </w:rPr>
        <w:t>Eidelman</w:t>
      </w:r>
      <w:proofErr w:type="spellEnd"/>
      <w:r w:rsidRPr="00775663">
        <w:rPr>
          <w:sz w:val="22"/>
          <w:szCs w:val="22"/>
        </w:rPr>
        <w:t xml:space="preserve">, V., </w:t>
      </w:r>
      <w:proofErr w:type="spellStart"/>
      <w:r w:rsidRPr="00775663">
        <w:rPr>
          <w:sz w:val="22"/>
          <w:szCs w:val="22"/>
        </w:rPr>
        <w:t>Jem</w:t>
      </w:r>
      <w:proofErr w:type="spellEnd"/>
      <w:r w:rsidRPr="00775663">
        <w:rPr>
          <w:sz w:val="22"/>
          <w:szCs w:val="22"/>
        </w:rPr>
        <w:t xml:space="preserve">, A., </w:t>
      </w:r>
      <w:proofErr w:type="spellStart"/>
      <w:r w:rsidRPr="00775663">
        <w:rPr>
          <w:sz w:val="22"/>
          <w:szCs w:val="22"/>
        </w:rPr>
        <w:t>Moschitti</w:t>
      </w:r>
      <w:proofErr w:type="spellEnd"/>
      <w:r w:rsidRPr="00775663">
        <w:rPr>
          <w:sz w:val="22"/>
          <w:szCs w:val="22"/>
        </w:rPr>
        <w:t xml:space="preserve">, A., Yang, X., Rodriguez, K., </w:t>
      </w:r>
      <w:proofErr w:type="spellStart"/>
      <w:r w:rsidRPr="00775663">
        <w:rPr>
          <w:sz w:val="22"/>
          <w:szCs w:val="22"/>
        </w:rPr>
        <w:t>Uryupina</w:t>
      </w:r>
      <w:proofErr w:type="spellEnd"/>
      <w:r w:rsidRPr="00775663">
        <w:rPr>
          <w:sz w:val="22"/>
          <w:szCs w:val="22"/>
        </w:rPr>
        <w:t xml:space="preserve">, O. BART </w:t>
      </w:r>
      <w:proofErr w:type="spellStart"/>
      <w:r w:rsidR="006F0823">
        <w:rPr>
          <w:sz w:val="22"/>
          <w:szCs w:val="22"/>
        </w:rPr>
        <w:t>c</w:t>
      </w:r>
      <w:r w:rsidRPr="00775663">
        <w:rPr>
          <w:sz w:val="22"/>
          <w:szCs w:val="22"/>
        </w:rPr>
        <w:t>oreference</w:t>
      </w:r>
      <w:proofErr w:type="spellEnd"/>
      <w:r w:rsidRPr="00775663">
        <w:rPr>
          <w:sz w:val="22"/>
          <w:szCs w:val="22"/>
        </w:rPr>
        <w:t xml:space="preserve"> </w:t>
      </w:r>
      <w:r w:rsidR="006F0823">
        <w:rPr>
          <w:sz w:val="22"/>
          <w:szCs w:val="22"/>
        </w:rPr>
        <w:t>s</w:t>
      </w:r>
      <w:r w:rsidRPr="00775663">
        <w:rPr>
          <w:sz w:val="22"/>
          <w:szCs w:val="22"/>
        </w:rPr>
        <w:t xml:space="preserve">ystem. </w:t>
      </w:r>
      <w:hyperlink r:id="rId14" w:history="1">
        <w:r w:rsidR="00614515" w:rsidRPr="00F5698A">
          <w:rPr>
            <w:rStyle w:val="Hyperlink"/>
            <w:sz w:val="22"/>
            <w:szCs w:val="22"/>
          </w:rPr>
          <w:t>http://www.bart-coref.org/</w:t>
        </w:r>
      </w:hyperlink>
      <w:r w:rsidRPr="00775663">
        <w:rPr>
          <w:sz w:val="22"/>
          <w:szCs w:val="22"/>
        </w:rPr>
        <w:t>.</w:t>
      </w:r>
      <w:r w:rsidR="00C74759">
        <w:rPr>
          <w:sz w:val="22"/>
          <w:szCs w:val="22"/>
        </w:rPr>
        <w:t xml:space="preserve"> </w:t>
      </w:r>
      <w:r w:rsidR="00C74759" w:rsidRPr="00775663">
        <w:rPr>
          <w:sz w:val="22"/>
          <w:szCs w:val="22"/>
        </w:rPr>
        <w:t>(2007).</w:t>
      </w:r>
    </w:p>
    <w:p w:rsidR="00614515" w:rsidRDefault="00614515" w:rsidP="00614515">
      <w:pPr>
        <w:pStyle w:val="AMIAReference"/>
        <w:numPr>
          <w:ilvl w:val="0"/>
          <w:numId w:val="0"/>
        </w:numPr>
        <w:ind w:left="360"/>
        <w:rPr>
          <w:sz w:val="22"/>
          <w:szCs w:val="22"/>
        </w:rPr>
      </w:pPr>
    </w:p>
    <w:p w:rsidR="00614515" w:rsidRPr="00614515" w:rsidRDefault="00614515" w:rsidP="00614515">
      <w:pPr>
        <w:pStyle w:val="AMIAReference"/>
        <w:jc w:val="left"/>
        <w:rPr>
          <w:sz w:val="22"/>
          <w:szCs w:val="22"/>
        </w:rPr>
      </w:pPr>
      <w:proofErr w:type="spellStart"/>
      <w:r w:rsidRPr="00614515">
        <w:rPr>
          <w:rStyle w:val="apple-style-span"/>
          <w:rFonts w:eastAsia="Malgun Gothic"/>
          <w:color w:val="000000"/>
          <w:sz w:val="22"/>
          <w:szCs w:val="22"/>
          <w:shd w:val="clear" w:color="auto" w:fill="FFFFFF"/>
        </w:rPr>
        <w:t>Karthik</w:t>
      </w:r>
      <w:proofErr w:type="spellEnd"/>
      <w:r w:rsidRPr="00614515">
        <w:rPr>
          <w:rStyle w:val="apple-style-span"/>
          <w:rFonts w:eastAsia="Malgun Gothic"/>
          <w:color w:val="000000"/>
          <w:sz w:val="22"/>
          <w:szCs w:val="22"/>
          <w:shd w:val="clear" w:color="auto" w:fill="FFFFFF"/>
        </w:rPr>
        <w:t xml:space="preserve"> </w:t>
      </w:r>
      <w:proofErr w:type="spellStart"/>
      <w:r w:rsidRPr="00614515">
        <w:rPr>
          <w:rStyle w:val="apple-style-span"/>
          <w:rFonts w:eastAsia="Malgun Gothic"/>
          <w:color w:val="000000"/>
          <w:sz w:val="22"/>
          <w:szCs w:val="22"/>
          <w:shd w:val="clear" w:color="auto" w:fill="FFFFFF"/>
        </w:rPr>
        <w:t>Raghunathan</w:t>
      </w:r>
      <w:proofErr w:type="spellEnd"/>
      <w:r w:rsidRPr="00614515">
        <w:rPr>
          <w:rStyle w:val="apple-style-span"/>
          <w:rFonts w:eastAsia="Malgun Gothic"/>
          <w:color w:val="000000"/>
          <w:sz w:val="22"/>
          <w:szCs w:val="22"/>
          <w:shd w:val="clear" w:color="auto" w:fill="FFFFFF"/>
        </w:rPr>
        <w:t xml:space="preserve">, </w:t>
      </w:r>
      <w:proofErr w:type="spellStart"/>
      <w:r w:rsidRPr="00614515">
        <w:rPr>
          <w:rStyle w:val="apple-style-span"/>
          <w:rFonts w:eastAsia="Malgun Gothic"/>
          <w:color w:val="000000"/>
          <w:sz w:val="22"/>
          <w:szCs w:val="22"/>
          <w:shd w:val="clear" w:color="auto" w:fill="FFFFFF"/>
        </w:rPr>
        <w:t>Heeyoung</w:t>
      </w:r>
      <w:proofErr w:type="spellEnd"/>
      <w:r w:rsidRPr="00614515">
        <w:rPr>
          <w:rStyle w:val="apple-style-span"/>
          <w:rFonts w:eastAsia="Malgun Gothic"/>
          <w:color w:val="000000"/>
          <w:sz w:val="22"/>
          <w:szCs w:val="22"/>
          <w:shd w:val="clear" w:color="auto" w:fill="FFFFFF"/>
        </w:rPr>
        <w:t xml:space="preserve"> Lee, </w:t>
      </w:r>
      <w:proofErr w:type="spellStart"/>
      <w:r w:rsidRPr="00614515">
        <w:rPr>
          <w:rStyle w:val="apple-style-span"/>
          <w:rFonts w:eastAsia="Malgun Gothic"/>
          <w:color w:val="000000"/>
          <w:sz w:val="22"/>
          <w:szCs w:val="22"/>
          <w:shd w:val="clear" w:color="auto" w:fill="FFFFFF"/>
        </w:rPr>
        <w:t>Sudarshan</w:t>
      </w:r>
      <w:proofErr w:type="spellEnd"/>
      <w:r w:rsidRPr="00614515">
        <w:rPr>
          <w:rStyle w:val="apple-style-span"/>
          <w:rFonts w:eastAsia="Malgun Gothic"/>
          <w:color w:val="000000"/>
          <w:sz w:val="22"/>
          <w:szCs w:val="22"/>
          <w:shd w:val="clear" w:color="auto" w:fill="FFFFFF"/>
        </w:rPr>
        <w:t xml:space="preserve"> </w:t>
      </w:r>
      <w:proofErr w:type="spellStart"/>
      <w:r w:rsidRPr="00614515">
        <w:rPr>
          <w:rStyle w:val="apple-style-span"/>
          <w:rFonts w:eastAsia="Malgun Gothic"/>
          <w:color w:val="000000"/>
          <w:sz w:val="22"/>
          <w:szCs w:val="22"/>
          <w:shd w:val="clear" w:color="auto" w:fill="FFFFFF"/>
        </w:rPr>
        <w:t>Rangarajan</w:t>
      </w:r>
      <w:proofErr w:type="spellEnd"/>
      <w:r w:rsidRPr="00614515">
        <w:rPr>
          <w:rStyle w:val="apple-style-span"/>
          <w:rFonts w:eastAsia="Malgun Gothic"/>
          <w:color w:val="000000"/>
          <w:sz w:val="22"/>
          <w:szCs w:val="22"/>
          <w:shd w:val="clear" w:color="auto" w:fill="FFFFFF"/>
        </w:rPr>
        <w:t>, Nathanae</w:t>
      </w:r>
      <w:r>
        <w:rPr>
          <w:rStyle w:val="apple-style-span"/>
          <w:rFonts w:eastAsia="Malgun Gothic"/>
          <w:color w:val="000000"/>
          <w:sz w:val="22"/>
          <w:szCs w:val="22"/>
          <w:shd w:val="clear" w:color="auto" w:fill="FFFFFF"/>
        </w:rPr>
        <w:t xml:space="preserve">l Chambers, </w:t>
      </w:r>
      <w:proofErr w:type="spellStart"/>
      <w:r>
        <w:rPr>
          <w:rStyle w:val="apple-style-span"/>
          <w:rFonts w:eastAsia="Malgun Gothic"/>
          <w:color w:val="000000"/>
          <w:sz w:val="22"/>
          <w:szCs w:val="22"/>
          <w:shd w:val="clear" w:color="auto" w:fill="FFFFFF"/>
        </w:rPr>
        <w:t>Mihai</w:t>
      </w:r>
      <w:proofErr w:type="spellEnd"/>
      <w:r>
        <w:rPr>
          <w:rStyle w:val="apple-style-span"/>
          <w:rFonts w:eastAsia="Malgun Gothic"/>
          <w:color w:val="000000"/>
          <w:sz w:val="22"/>
          <w:szCs w:val="22"/>
          <w:shd w:val="clear" w:color="auto" w:fill="FFFFFF"/>
        </w:rPr>
        <w:t xml:space="preserve"> </w:t>
      </w:r>
      <w:proofErr w:type="spellStart"/>
      <w:r>
        <w:rPr>
          <w:rStyle w:val="apple-style-span"/>
          <w:rFonts w:eastAsia="Malgun Gothic"/>
          <w:color w:val="000000"/>
          <w:sz w:val="22"/>
          <w:szCs w:val="22"/>
          <w:shd w:val="clear" w:color="auto" w:fill="FFFFFF"/>
        </w:rPr>
        <w:t>Surdeanu</w:t>
      </w:r>
      <w:proofErr w:type="spellEnd"/>
      <w:r>
        <w:rPr>
          <w:rStyle w:val="apple-style-span"/>
          <w:rFonts w:eastAsia="Malgun Gothic"/>
          <w:color w:val="000000"/>
          <w:sz w:val="22"/>
          <w:szCs w:val="22"/>
          <w:shd w:val="clear" w:color="auto" w:fill="FFFFFF"/>
        </w:rPr>
        <w:t xml:space="preserve">, Dan </w:t>
      </w:r>
      <w:proofErr w:type="spellStart"/>
      <w:r w:rsidRPr="00614515">
        <w:rPr>
          <w:rStyle w:val="apple-style-span"/>
          <w:rFonts w:eastAsia="Malgun Gothic"/>
          <w:color w:val="000000"/>
          <w:sz w:val="22"/>
          <w:szCs w:val="22"/>
          <w:shd w:val="clear" w:color="auto" w:fill="FFFFFF"/>
        </w:rPr>
        <w:t>Jurafsky</w:t>
      </w:r>
      <w:proofErr w:type="spellEnd"/>
      <w:r w:rsidRPr="00614515">
        <w:rPr>
          <w:rStyle w:val="apple-style-span"/>
          <w:rFonts w:eastAsia="Malgun Gothic"/>
          <w:color w:val="000000"/>
          <w:sz w:val="22"/>
          <w:szCs w:val="22"/>
          <w:shd w:val="clear" w:color="auto" w:fill="FFFFFF"/>
        </w:rPr>
        <w:t>, Christopher Manning</w:t>
      </w:r>
      <w:r>
        <w:rPr>
          <w:rStyle w:val="apple-style-span"/>
          <w:rFonts w:eastAsia="Malgun Gothic"/>
          <w:color w:val="000000"/>
          <w:sz w:val="22"/>
          <w:szCs w:val="22"/>
          <w:shd w:val="clear" w:color="auto" w:fill="FFFFFF"/>
        </w:rPr>
        <w:t xml:space="preserve">. </w:t>
      </w:r>
      <w:r w:rsidRPr="00614515">
        <w:rPr>
          <w:rStyle w:val="apple-style-span"/>
          <w:rFonts w:eastAsia="Malgun Gothic"/>
          <w:color w:val="000000"/>
          <w:sz w:val="22"/>
          <w:szCs w:val="22"/>
          <w:shd w:val="clear" w:color="auto" w:fill="FFFFFF"/>
        </w:rPr>
        <w:t xml:space="preserve">A </w:t>
      </w:r>
      <w:r w:rsidR="006F0823">
        <w:rPr>
          <w:rStyle w:val="apple-style-span"/>
          <w:rFonts w:eastAsia="Malgun Gothic"/>
          <w:color w:val="000000"/>
          <w:sz w:val="22"/>
          <w:szCs w:val="22"/>
          <w:shd w:val="clear" w:color="auto" w:fill="FFFFFF"/>
        </w:rPr>
        <w:t>m</w:t>
      </w:r>
      <w:r w:rsidRPr="00614515">
        <w:rPr>
          <w:rStyle w:val="apple-style-span"/>
          <w:rFonts w:eastAsia="Malgun Gothic"/>
          <w:color w:val="000000"/>
          <w:sz w:val="22"/>
          <w:szCs w:val="22"/>
          <w:shd w:val="clear" w:color="auto" w:fill="FFFFFF"/>
        </w:rPr>
        <w:t>ulti-</w:t>
      </w:r>
      <w:r w:rsidR="006F0823">
        <w:rPr>
          <w:rStyle w:val="apple-style-span"/>
          <w:rFonts w:eastAsia="Malgun Gothic"/>
          <w:color w:val="000000"/>
          <w:sz w:val="22"/>
          <w:szCs w:val="22"/>
          <w:shd w:val="clear" w:color="auto" w:fill="FFFFFF"/>
        </w:rPr>
        <w:t>p</w:t>
      </w:r>
      <w:r w:rsidRPr="00614515">
        <w:rPr>
          <w:rStyle w:val="apple-style-span"/>
          <w:rFonts w:eastAsia="Malgun Gothic"/>
          <w:color w:val="000000"/>
          <w:sz w:val="22"/>
          <w:szCs w:val="22"/>
          <w:shd w:val="clear" w:color="auto" w:fill="FFFFFF"/>
        </w:rPr>
        <w:t xml:space="preserve">ass </w:t>
      </w:r>
      <w:r w:rsidR="006F0823">
        <w:rPr>
          <w:rStyle w:val="apple-style-span"/>
          <w:rFonts w:eastAsia="Malgun Gothic"/>
          <w:color w:val="000000"/>
          <w:sz w:val="22"/>
          <w:szCs w:val="22"/>
          <w:shd w:val="clear" w:color="auto" w:fill="FFFFFF"/>
        </w:rPr>
        <w:t>s</w:t>
      </w:r>
      <w:r w:rsidRPr="00614515">
        <w:rPr>
          <w:rStyle w:val="apple-style-span"/>
          <w:rFonts w:eastAsia="Malgun Gothic"/>
          <w:color w:val="000000"/>
          <w:sz w:val="22"/>
          <w:szCs w:val="22"/>
          <w:shd w:val="clear" w:color="auto" w:fill="FFFFFF"/>
        </w:rPr>
        <w:t xml:space="preserve">ieve for </w:t>
      </w:r>
      <w:proofErr w:type="spellStart"/>
      <w:r w:rsidR="006F0823">
        <w:rPr>
          <w:rStyle w:val="apple-style-span"/>
          <w:rFonts w:eastAsia="Malgun Gothic"/>
          <w:color w:val="000000"/>
          <w:sz w:val="22"/>
          <w:szCs w:val="22"/>
          <w:shd w:val="clear" w:color="auto" w:fill="FFFFFF"/>
        </w:rPr>
        <w:t>co</w:t>
      </w:r>
      <w:r w:rsidRPr="00614515">
        <w:rPr>
          <w:rStyle w:val="apple-style-span"/>
          <w:rFonts w:eastAsia="Malgun Gothic"/>
          <w:color w:val="000000"/>
          <w:sz w:val="22"/>
          <w:szCs w:val="22"/>
          <w:shd w:val="clear" w:color="auto" w:fill="FFFFFF"/>
        </w:rPr>
        <w:t>reference</w:t>
      </w:r>
      <w:proofErr w:type="spellEnd"/>
      <w:r w:rsidRPr="00614515">
        <w:rPr>
          <w:rStyle w:val="apple-style-span"/>
          <w:rFonts w:eastAsia="Malgun Gothic"/>
          <w:color w:val="000000"/>
          <w:sz w:val="22"/>
          <w:szCs w:val="22"/>
          <w:shd w:val="clear" w:color="auto" w:fill="FFFFFF"/>
        </w:rPr>
        <w:t xml:space="preserve"> </w:t>
      </w:r>
      <w:r w:rsidR="006F0823">
        <w:rPr>
          <w:rStyle w:val="apple-style-span"/>
          <w:rFonts w:eastAsia="Malgun Gothic"/>
          <w:color w:val="000000"/>
          <w:sz w:val="22"/>
          <w:szCs w:val="22"/>
          <w:shd w:val="clear" w:color="auto" w:fill="FFFFFF"/>
        </w:rPr>
        <w:t>r</w:t>
      </w:r>
      <w:r w:rsidRPr="00614515">
        <w:rPr>
          <w:rStyle w:val="apple-style-span"/>
          <w:rFonts w:eastAsia="Malgun Gothic"/>
          <w:color w:val="000000"/>
          <w:sz w:val="22"/>
          <w:szCs w:val="22"/>
          <w:shd w:val="clear" w:color="auto" w:fill="FFFFFF"/>
        </w:rPr>
        <w:t>esolution</w:t>
      </w:r>
      <w:r>
        <w:rPr>
          <w:rStyle w:val="apple-converted-space"/>
          <w:rFonts w:eastAsia="Malgun Gothic"/>
          <w:color w:val="000000"/>
          <w:sz w:val="22"/>
          <w:szCs w:val="22"/>
          <w:shd w:val="clear" w:color="auto" w:fill="FFFFFF"/>
        </w:rPr>
        <w:t xml:space="preserve">. </w:t>
      </w:r>
      <w:r w:rsidRPr="00614515">
        <w:rPr>
          <w:rStyle w:val="apple-style-span"/>
          <w:rFonts w:eastAsia="Malgun Gothic"/>
          <w:color w:val="000000"/>
          <w:sz w:val="22"/>
          <w:szCs w:val="22"/>
          <w:shd w:val="clear" w:color="auto" w:fill="FFFFFF"/>
        </w:rPr>
        <w:t xml:space="preserve">EMNLP-2010, Boston, USA. </w:t>
      </w:r>
      <w:r w:rsidR="00C74759">
        <w:rPr>
          <w:rStyle w:val="apple-style-span"/>
          <w:rFonts w:eastAsia="Malgun Gothic"/>
          <w:color w:val="000000"/>
          <w:sz w:val="22"/>
          <w:szCs w:val="22"/>
          <w:shd w:val="clear" w:color="auto" w:fill="FFFFFF"/>
        </w:rPr>
        <w:t xml:space="preserve"> (</w:t>
      </w:r>
      <w:r w:rsidR="00C74759" w:rsidRPr="00614515">
        <w:rPr>
          <w:rStyle w:val="apple-style-span"/>
          <w:rFonts w:eastAsia="Malgun Gothic"/>
          <w:color w:val="000000"/>
          <w:sz w:val="22"/>
          <w:szCs w:val="22"/>
          <w:shd w:val="clear" w:color="auto" w:fill="FFFFFF"/>
        </w:rPr>
        <w:t>2010</w:t>
      </w:r>
      <w:r w:rsidR="00C74759">
        <w:rPr>
          <w:rStyle w:val="apple-style-span"/>
          <w:rFonts w:eastAsia="Malgun Gothic"/>
          <w:color w:val="000000"/>
          <w:sz w:val="22"/>
          <w:szCs w:val="22"/>
          <w:shd w:val="clear" w:color="auto" w:fill="FFFFFF"/>
        </w:rPr>
        <w:t>)</w:t>
      </w:r>
      <w:r w:rsidR="00C74759" w:rsidRPr="00614515">
        <w:rPr>
          <w:rStyle w:val="apple-style-span"/>
          <w:rFonts w:eastAsia="Malgun Gothic"/>
          <w:color w:val="000000"/>
          <w:sz w:val="22"/>
          <w:szCs w:val="22"/>
          <w:shd w:val="clear" w:color="auto" w:fill="FFFFFF"/>
        </w:rPr>
        <w:t>.</w:t>
      </w:r>
      <w:r w:rsidR="00C74759">
        <w:rPr>
          <w:rStyle w:val="apple-converted-space"/>
          <w:rFonts w:eastAsia="Malgun Gothic"/>
          <w:color w:val="000000"/>
          <w:sz w:val="22"/>
          <w:szCs w:val="22"/>
          <w:shd w:val="clear" w:color="auto" w:fill="FFFFFF"/>
        </w:rPr>
        <w:t xml:space="preserve"> </w:t>
      </w:r>
    </w:p>
    <w:p w:rsidR="00614515" w:rsidRDefault="00614515" w:rsidP="00614515">
      <w:pPr>
        <w:pStyle w:val="AMIAReference"/>
        <w:numPr>
          <w:ilvl w:val="0"/>
          <w:numId w:val="0"/>
        </w:numPr>
        <w:ind w:left="360" w:hanging="360"/>
        <w:rPr>
          <w:sz w:val="22"/>
          <w:szCs w:val="22"/>
        </w:rPr>
      </w:pPr>
    </w:p>
    <w:p w:rsidR="00614515" w:rsidRPr="00651148" w:rsidRDefault="00651148" w:rsidP="00E1189F">
      <w:pPr>
        <w:pStyle w:val="AMIAReference"/>
        <w:rPr>
          <w:sz w:val="22"/>
          <w:szCs w:val="22"/>
        </w:rPr>
      </w:pPr>
      <w:r w:rsidRPr="00651148">
        <w:rPr>
          <w:sz w:val="22"/>
          <w:szCs w:val="22"/>
        </w:rPr>
        <w:t>Alias-</w:t>
      </w:r>
      <w:proofErr w:type="spellStart"/>
      <w:r w:rsidRPr="00651148">
        <w:rPr>
          <w:sz w:val="22"/>
          <w:szCs w:val="22"/>
        </w:rPr>
        <w:t>i</w:t>
      </w:r>
      <w:proofErr w:type="spellEnd"/>
      <w:r w:rsidRPr="00651148">
        <w:rPr>
          <w:sz w:val="22"/>
          <w:szCs w:val="22"/>
        </w:rPr>
        <w:t xml:space="preserve">. LingPipe 4.1.0. </w:t>
      </w:r>
      <w:hyperlink r:id="rId15" w:history="1">
        <w:r w:rsidR="00C74759" w:rsidRPr="0004448F">
          <w:rPr>
            <w:rStyle w:val="Hyperlink"/>
            <w:sz w:val="22"/>
            <w:szCs w:val="22"/>
          </w:rPr>
          <w:t>http://alias-i.com/lingpipe</w:t>
        </w:r>
      </w:hyperlink>
      <w:r>
        <w:rPr>
          <w:sz w:val="22"/>
          <w:szCs w:val="22"/>
        </w:rPr>
        <w:t>.</w:t>
      </w:r>
      <w:r w:rsidR="00C74759">
        <w:rPr>
          <w:sz w:val="22"/>
          <w:szCs w:val="22"/>
        </w:rPr>
        <w:t xml:space="preserve"> (</w:t>
      </w:r>
      <w:r w:rsidR="00C74759" w:rsidRPr="00651148">
        <w:rPr>
          <w:sz w:val="22"/>
          <w:szCs w:val="22"/>
        </w:rPr>
        <w:t>2008</w:t>
      </w:r>
      <w:r w:rsidR="00C74759">
        <w:rPr>
          <w:sz w:val="22"/>
          <w:szCs w:val="22"/>
        </w:rPr>
        <w:t>)</w:t>
      </w:r>
      <w:r w:rsidR="00C74759" w:rsidRPr="00651148">
        <w:rPr>
          <w:sz w:val="22"/>
          <w:szCs w:val="22"/>
        </w:rPr>
        <w:t>.</w:t>
      </w:r>
    </w:p>
    <w:p w:rsidR="00614515" w:rsidRDefault="00614515" w:rsidP="00614515">
      <w:pPr>
        <w:pStyle w:val="AMIAReference"/>
        <w:numPr>
          <w:ilvl w:val="0"/>
          <w:numId w:val="0"/>
        </w:numPr>
        <w:ind w:left="360" w:hanging="360"/>
        <w:rPr>
          <w:sz w:val="22"/>
          <w:szCs w:val="22"/>
        </w:rPr>
      </w:pPr>
    </w:p>
    <w:p w:rsidR="00757419" w:rsidRPr="00C74759" w:rsidRDefault="00757419" w:rsidP="00C74759">
      <w:pPr>
        <w:pStyle w:val="AMIAReference"/>
        <w:rPr>
          <w:rStyle w:val="apple-style-span"/>
          <w:rFonts w:ascii="Times" w:eastAsia="Malgun Gothic" w:hAnsi="Times"/>
          <w:color w:val="000000"/>
          <w:sz w:val="22"/>
          <w:szCs w:val="22"/>
          <w:shd w:val="clear" w:color="auto" w:fill="FFFFFF"/>
        </w:rPr>
      </w:pPr>
      <w:proofErr w:type="spellStart"/>
      <w:r>
        <w:rPr>
          <w:rStyle w:val="apple-style-span"/>
          <w:rFonts w:ascii="Times" w:eastAsia="Malgun Gothic" w:hAnsi="Times"/>
          <w:color w:val="000000"/>
          <w:sz w:val="22"/>
          <w:szCs w:val="22"/>
          <w:shd w:val="clear" w:color="auto" w:fill="FFFFFF"/>
        </w:rPr>
        <w:t>Bagga</w:t>
      </w:r>
      <w:proofErr w:type="spellEnd"/>
      <w:r>
        <w:rPr>
          <w:rStyle w:val="apple-style-span"/>
          <w:rFonts w:ascii="Times" w:eastAsia="Malgun Gothic" w:hAnsi="Times"/>
          <w:color w:val="000000"/>
          <w:sz w:val="22"/>
          <w:szCs w:val="22"/>
          <w:shd w:val="clear" w:color="auto" w:fill="FFFFFF"/>
        </w:rPr>
        <w:t xml:space="preserve">, </w:t>
      </w:r>
      <w:proofErr w:type="spellStart"/>
      <w:r w:rsidRPr="00757419">
        <w:rPr>
          <w:rStyle w:val="apple-style-span"/>
          <w:rFonts w:ascii="Times" w:eastAsia="Malgun Gothic" w:hAnsi="Times"/>
          <w:color w:val="000000"/>
          <w:sz w:val="22"/>
          <w:szCs w:val="22"/>
          <w:shd w:val="clear" w:color="auto" w:fill="FFFFFF"/>
        </w:rPr>
        <w:t>Amit</w:t>
      </w:r>
      <w:proofErr w:type="spellEnd"/>
      <w:r>
        <w:rPr>
          <w:rStyle w:val="apple-style-span"/>
          <w:rFonts w:ascii="Times" w:eastAsia="Malgun Gothic" w:hAnsi="Times"/>
          <w:color w:val="000000"/>
          <w:sz w:val="22"/>
          <w:szCs w:val="22"/>
          <w:shd w:val="clear" w:color="auto" w:fill="FFFFFF"/>
        </w:rPr>
        <w:t xml:space="preserve">.  Baldwin, </w:t>
      </w:r>
      <w:proofErr w:type="spellStart"/>
      <w:r>
        <w:rPr>
          <w:rStyle w:val="apple-style-span"/>
          <w:rFonts w:ascii="Times" w:eastAsia="Malgun Gothic" w:hAnsi="Times"/>
          <w:color w:val="000000"/>
          <w:sz w:val="22"/>
          <w:szCs w:val="22"/>
          <w:shd w:val="clear" w:color="auto" w:fill="FFFFFF"/>
        </w:rPr>
        <w:t>Breck</w:t>
      </w:r>
      <w:proofErr w:type="spellEnd"/>
      <w:r>
        <w:rPr>
          <w:rStyle w:val="apple-style-span"/>
          <w:rFonts w:ascii="Times" w:eastAsia="Malgun Gothic" w:hAnsi="Times"/>
          <w:color w:val="000000"/>
          <w:sz w:val="22"/>
          <w:szCs w:val="22"/>
          <w:shd w:val="clear" w:color="auto" w:fill="FFFFFF"/>
        </w:rPr>
        <w:t xml:space="preserve">. </w:t>
      </w:r>
      <w:r w:rsidR="00C74759">
        <w:rPr>
          <w:rStyle w:val="apple-style-span"/>
          <w:rFonts w:ascii="Times" w:eastAsia="Malgun Gothic" w:hAnsi="Times"/>
          <w:color w:val="000000"/>
          <w:sz w:val="22"/>
          <w:szCs w:val="22"/>
          <w:shd w:val="clear" w:color="auto" w:fill="FFFFFF"/>
        </w:rPr>
        <w:t xml:space="preserve">Algorithms for </w:t>
      </w:r>
      <w:r w:rsidR="006F0823">
        <w:rPr>
          <w:rStyle w:val="apple-style-span"/>
          <w:rFonts w:ascii="Times" w:eastAsia="Malgun Gothic" w:hAnsi="Times"/>
          <w:color w:val="000000"/>
          <w:sz w:val="22"/>
          <w:szCs w:val="22"/>
          <w:shd w:val="clear" w:color="auto" w:fill="FFFFFF"/>
        </w:rPr>
        <w:t>s</w:t>
      </w:r>
      <w:r w:rsidR="00C74759">
        <w:rPr>
          <w:rStyle w:val="apple-style-span"/>
          <w:rFonts w:ascii="Times" w:eastAsia="Malgun Gothic" w:hAnsi="Times"/>
          <w:color w:val="000000"/>
          <w:sz w:val="22"/>
          <w:szCs w:val="22"/>
          <w:shd w:val="clear" w:color="auto" w:fill="FFFFFF"/>
        </w:rPr>
        <w:t xml:space="preserve">coring </w:t>
      </w:r>
      <w:proofErr w:type="spellStart"/>
      <w:r w:rsidR="006F0823">
        <w:rPr>
          <w:rStyle w:val="apple-style-span"/>
          <w:rFonts w:ascii="Times" w:eastAsia="Malgun Gothic" w:hAnsi="Times"/>
          <w:color w:val="000000"/>
          <w:sz w:val="22"/>
          <w:szCs w:val="22"/>
          <w:shd w:val="clear" w:color="auto" w:fill="FFFFFF"/>
        </w:rPr>
        <w:t>c</w:t>
      </w:r>
      <w:r w:rsidR="00C74759">
        <w:rPr>
          <w:rStyle w:val="apple-style-span"/>
          <w:rFonts w:ascii="Times" w:eastAsia="Malgun Gothic" w:hAnsi="Times"/>
          <w:color w:val="000000"/>
          <w:sz w:val="22"/>
          <w:szCs w:val="22"/>
          <w:shd w:val="clear" w:color="auto" w:fill="FFFFFF"/>
        </w:rPr>
        <w:t>oreference</w:t>
      </w:r>
      <w:proofErr w:type="spellEnd"/>
      <w:r w:rsidR="00C74759">
        <w:rPr>
          <w:rStyle w:val="apple-style-span"/>
          <w:rFonts w:ascii="Times" w:eastAsia="Malgun Gothic" w:hAnsi="Times"/>
          <w:color w:val="000000"/>
          <w:sz w:val="22"/>
          <w:szCs w:val="22"/>
          <w:shd w:val="clear" w:color="auto" w:fill="FFFFFF"/>
        </w:rPr>
        <w:t xml:space="preserve"> </w:t>
      </w:r>
      <w:r w:rsidR="006F0823">
        <w:rPr>
          <w:rStyle w:val="apple-style-span"/>
          <w:rFonts w:ascii="Times" w:eastAsia="Malgun Gothic" w:hAnsi="Times"/>
          <w:color w:val="000000"/>
          <w:sz w:val="22"/>
          <w:szCs w:val="22"/>
          <w:shd w:val="clear" w:color="auto" w:fill="FFFFFF"/>
        </w:rPr>
        <w:t>c</w:t>
      </w:r>
      <w:r w:rsidR="00C74759">
        <w:rPr>
          <w:rStyle w:val="apple-style-span"/>
          <w:rFonts w:ascii="Times" w:eastAsia="Malgun Gothic" w:hAnsi="Times"/>
          <w:color w:val="000000"/>
          <w:sz w:val="22"/>
          <w:szCs w:val="22"/>
          <w:shd w:val="clear" w:color="auto" w:fill="FFFFFF"/>
        </w:rPr>
        <w:t xml:space="preserve">hains. </w:t>
      </w:r>
      <w:r w:rsidR="00C74759" w:rsidRPr="00C74759">
        <w:rPr>
          <w:rStyle w:val="apple-style-span"/>
          <w:rFonts w:ascii="Times" w:eastAsia="Malgun Gothic" w:hAnsi="Times"/>
          <w:color w:val="000000"/>
          <w:sz w:val="22"/>
          <w:szCs w:val="22"/>
          <w:shd w:val="clear" w:color="auto" w:fill="FFFFFF"/>
        </w:rPr>
        <w:t xml:space="preserve">In Proceedings of the Linguistic </w:t>
      </w:r>
      <w:proofErr w:type="spellStart"/>
      <w:r w:rsidR="00C74759" w:rsidRPr="00C74759">
        <w:rPr>
          <w:rStyle w:val="apple-style-span"/>
          <w:rFonts w:ascii="Times" w:eastAsia="Malgun Gothic" w:hAnsi="Times"/>
          <w:color w:val="000000"/>
          <w:sz w:val="22"/>
          <w:szCs w:val="22"/>
          <w:shd w:val="clear" w:color="auto" w:fill="FFFFFF"/>
        </w:rPr>
        <w:t>Coreference</w:t>
      </w:r>
      <w:proofErr w:type="spellEnd"/>
      <w:r w:rsidR="00C74759" w:rsidRPr="00C74759">
        <w:rPr>
          <w:rStyle w:val="apple-style-span"/>
          <w:rFonts w:ascii="Times" w:eastAsia="Malgun Gothic" w:hAnsi="Times"/>
          <w:color w:val="000000"/>
          <w:sz w:val="22"/>
          <w:szCs w:val="22"/>
          <w:shd w:val="clear" w:color="auto" w:fill="FFFFFF"/>
        </w:rPr>
        <w:t xml:space="preserve"> Workshop at </w:t>
      </w:r>
      <w:proofErr w:type="gramStart"/>
      <w:r w:rsidR="00C74759" w:rsidRPr="00C74759">
        <w:rPr>
          <w:rStyle w:val="apple-style-span"/>
          <w:rFonts w:ascii="Times" w:eastAsia="Malgun Gothic" w:hAnsi="Times"/>
          <w:color w:val="000000"/>
          <w:sz w:val="22"/>
          <w:szCs w:val="22"/>
          <w:shd w:val="clear" w:color="auto" w:fill="FFFFFF"/>
        </w:rPr>
        <w:t>The</w:t>
      </w:r>
      <w:proofErr w:type="gramEnd"/>
      <w:r w:rsidR="00C74759" w:rsidRPr="00C74759">
        <w:rPr>
          <w:rStyle w:val="apple-style-span"/>
          <w:rFonts w:ascii="Times" w:eastAsia="Malgun Gothic" w:hAnsi="Times"/>
          <w:color w:val="000000"/>
          <w:sz w:val="22"/>
          <w:szCs w:val="22"/>
          <w:shd w:val="clear" w:color="auto" w:fill="FFFFFF"/>
        </w:rPr>
        <w:t xml:space="preserve"> First International Conference on Language Resources and Evaluation (LREC'98). </w:t>
      </w:r>
      <w:r w:rsidRPr="00C74759">
        <w:rPr>
          <w:rStyle w:val="apple-style-span"/>
          <w:rFonts w:ascii="Times" w:eastAsia="Malgun Gothic" w:hAnsi="Times"/>
          <w:color w:val="000000"/>
          <w:sz w:val="22"/>
          <w:szCs w:val="22"/>
          <w:shd w:val="clear" w:color="auto" w:fill="FFFFFF"/>
        </w:rPr>
        <w:t xml:space="preserve">(1998). </w:t>
      </w:r>
    </w:p>
    <w:p w:rsidR="00C74759" w:rsidRDefault="00C74759" w:rsidP="00C74759">
      <w:pPr>
        <w:pStyle w:val="ListParagraph"/>
        <w:rPr>
          <w:sz w:val="22"/>
          <w:szCs w:val="22"/>
        </w:rPr>
      </w:pPr>
    </w:p>
    <w:p w:rsidR="00D42A14" w:rsidRDefault="00C74759" w:rsidP="00D42A14">
      <w:pPr>
        <w:pStyle w:val="AMIAReference"/>
        <w:rPr>
          <w:sz w:val="22"/>
          <w:szCs w:val="22"/>
          <w:shd w:val="clear" w:color="auto" w:fill="FFFFFF"/>
        </w:rPr>
      </w:pPr>
      <w:proofErr w:type="spellStart"/>
      <w:r w:rsidRPr="00C74759">
        <w:rPr>
          <w:sz w:val="22"/>
          <w:szCs w:val="22"/>
          <w:shd w:val="clear" w:color="auto" w:fill="FFFFFF"/>
        </w:rPr>
        <w:t>Vilain</w:t>
      </w:r>
      <w:proofErr w:type="spellEnd"/>
      <w:r w:rsidRPr="00C74759">
        <w:rPr>
          <w:sz w:val="22"/>
          <w:szCs w:val="22"/>
          <w:shd w:val="clear" w:color="auto" w:fill="FFFFFF"/>
        </w:rPr>
        <w:t xml:space="preserve">, Marc, et al. A </w:t>
      </w:r>
      <w:r w:rsidR="006F0823">
        <w:rPr>
          <w:sz w:val="22"/>
          <w:szCs w:val="22"/>
          <w:shd w:val="clear" w:color="auto" w:fill="FFFFFF"/>
        </w:rPr>
        <w:t>m</w:t>
      </w:r>
      <w:r w:rsidRPr="00C74759">
        <w:rPr>
          <w:sz w:val="22"/>
          <w:szCs w:val="22"/>
          <w:shd w:val="clear" w:color="auto" w:fill="FFFFFF"/>
        </w:rPr>
        <w:t>odel-</w:t>
      </w:r>
      <w:r w:rsidR="006F0823">
        <w:rPr>
          <w:sz w:val="22"/>
          <w:szCs w:val="22"/>
          <w:shd w:val="clear" w:color="auto" w:fill="FFFFFF"/>
        </w:rPr>
        <w:t>t</w:t>
      </w:r>
      <w:r w:rsidRPr="00C74759">
        <w:rPr>
          <w:sz w:val="22"/>
          <w:szCs w:val="22"/>
          <w:shd w:val="clear" w:color="auto" w:fill="FFFFFF"/>
        </w:rPr>
        <w:t xml:space="preserve">heoretic </w:t>
      </w:r>
      <w:proofErr w:type="spellStart"/>
      <w:r w:rsidR="006F0823">
        <w:rPr>
          <w:sz w:val="22"/>
          <w:szCs w:val="22"/>
          <w:shd w:val="clear" w:color="auto" w:fill="FFFFFF"/>
        </w:rPr>
        <w:t>c</w:t>
      </w:r>
      <w:r w:rsidRPr="00C74759">
        <w:rPr>
          <w:sz w:val="22"/>
          <w:szCs w:val="22"/>
          <w:shd w:val="clear" w:color="auto" w:fill="FFFFFF"/>
        </w:rPr>
        <w:t>oreference</w:t>
      </w:r>
      <w:proofErr w:type="spellEnd"/>
      <w:r w:rsidRPr="00C74759">
        <w:rPr>
          <w:sz w:val="22"/>
          <w:szCs w:val="22"/>
          <w:shd w:val="clear" w:color="auto" w:fill="FFFFFF"/>
        </w:rPr>
        <w:t xml:space="preserve"> </w:t>
      </w:r>
      <w:r w:rsidR="006F0823">
        <w:rPr>
          <w:sz w:val="22"/>
          <w:szCs w:val="22"/>
          <w:shd w:val="clear" w:color="auto" w:fill="FFFFFF"/>
        </w:rPr>
        <w:t>s</w:t>
      </w:r>
      <w:r w:rsidRPr="00C74759">
        <w:rPr>
          <w:sz w:val="22"/>
          <w:szCs w:val="22"/>
          <w:shd w:val="clear" w:color="auto" w:fill="FFFFFF"/>
        </w:rPr>
        <w:t xml:space="preserve">coring </w:t>
      </w:r>
      <w:r w:rsidR="006F0823">
        <w:rPr>
          <w:sz w:val="22"/>
          <w:szCs w:val="22"/>
          <w:shd w:val="clear" w:color="auto" w:fill="FFFFFF"/>
        </w:rPr>
        <w:t>s</w:t>
      </w:r>
      <w:r w:rsidRPr="00C74759">
        <w:rPr>
          <w:sz w:val="22"/>
          <w:szCs w:val="22"/>
          <w:shd w:val="clear" w:color="auto" w:fill="FFFFFF"/>
        </w:rPr>
        <w:t>cheme.</w:t>
      </w:r>
      <w:r w:rsidRPr="00C74759">
        <w:rPr>
          <w:sz w:val="22"/>
          <w:szCs w:val="22"/>
        </w:rPr>
        <w:t> </w:t>
      </w:r>
      <w:r w:rsidRPr="00C74759">
        <w:rPr>
          <w:sz w:val="22"/>
          <w:szCs w:val="22"/>
          <w:shd w:val="clear" w:color="auto" w:fill="FFFFFF"/>
        </w:rPr>
        <w:t>Proceedings of the Sixth Message Understanding Conference (MUC-6). (1995).</w:t>
      </w:r>
    </w:p>
    <w:p w:rsidR="009877FE" w:rsidRDefault="009877FE" w:rsidP="009877FE">
      <w:pPr>
        <w:pStyle w:val="ListParagraph"/>
        <w:rPr>
          <w:sz w:val="22"/>
          <w:szCs w:val="22"/>
          <w:shd w:val="clear" w:color="auto" w:fill="FFFFFF"/>
        </w:rPr>
      </w:pPr>
    </w:p>
    <w:p w:rsidR="009877FE" w:rsidRPr="009877FE" w:rsidRDefault="009877FE" w:rsidP="009877FE">
      <w:pPr>
        <w:pStyle w:val="AMIAReference"/>
        <w:rPr>
          <w:sz w:val="22"/>
          <w:szCs w:val="22"/>
        </w:rPr>
      </w:pPr>
      <w:proofErr w:type="spellStart"/>
      <w:r w:rsidRPr="009877FE">
        <w:rPr>
          <w:sz w:val="22"/>
          <w:szCs w:val="22"/>
        </w:rPr>
        <w:t>Lita</w:t>
      </w:r>
      <w:proofErr w:type="spellEnd"/>
      <w:r w:rsidRPr="009877FE">
        <w:rPr>
          <w:sz w:val="22"/>
          <w:szCs w:val="22"/>
        </w:rPr>
        <w:t xml:space="preserve">, Lucian </w:t>
      </w:r>
      <w:proofErr w:type="spellStart"/>
      <w:r w:rsidRPr="009877FE">
        <w:rPr>
          <w:sz w:val="22"/>
          <w:szCs w:val="22"/>
        </w:rPr>
        <w:t>Vlad</w:t>
      </w:r>
      <w:proofErr w:type="spellEnd"/>
      <w:r w:rsidRPr="009877FE">
        <w:rPr>
          <w:sz w:val="22"/>
          <w:szCs w:val="22"/>
        </w:rPr>
        <w:t xml:space="preserve">. </w:t>
      </w:r>
      <w:proofErr w:type="spellStart"/>
      <w:r w:rsidRPr="009877FE">
        <w:rPr>
          <w:sz w:val="22"/>
          <w:szCs w:val="22"/>
        </w:rPr>
        <w:t>Rogati</w:t>
      </w:r>
      <w:proofErr w:type="spellEnd"/>
      <w:r w:rsidRPr="009877FE">
        <w:rPr>
          <w:sz w:val="22"/>
          <w:szCs w:val="22"/>
        </w:rPr>
        <w:t xml:space="preserve">, Monica. </w:t>
      </w:r>
      <w:proofErr w:type="spellStart"/>
      <w:r w:rsidRPr="009877FE">
        <w:rPr>
          <w:sz w:val="22"/>
          <w:szCs w:val="22"/>
        </w:rPr>
        <w:t>Lavie</w:t>
      </w:r>
      <w:proofErr w:type="spellEnd"/>
      <w:r w:rsidRPr="009877FE">
        <w:rPr>
          <w:sz w:val="22"/>
          <w:szCs w:val="22"/>
        </w:rPr>
        <w:t xml:space="preserve">, </w:t>
      </w:r>
      <w:proofErr w:type="spellStart"/>
      <w:r w:rsidRPr="009877FE">
        <w:rPr>
          <w:sz w:val="22"/>
          <w:szCs w:val="22"/>
        </w:rPr>
        <w:t>Alon</w:t>
      </w:r>
      <w:proofErr w:type="spellEnd"/>
      <w:r w:rsidRPr="009877FE">
        <w:rPr>
          <w:sz w:val="22"/>
          <w:szCs w:val="22"/>
        </w:rPr>
        <w:t xml:space="preserve">. Blanc: Learning evaluation metrics for </w:t>
      </w:r>
      <w:proofErr w:type="spellStart"/>
      <w:r w:rsidRPr="009877FE">
        <w:rPr>
          <w:sz w:val="22"/>
          <w:szCs w:val="22"/>
        </w:rPr>
        <w:t>mt</w:t>
      </w:r>
      <w:proofErr w:type="spellEnd"/>
      <w:r w:rsidRPr="009877FE">
        <w:rPr>
          <w:sz w:val="22"/>
          <w:szCs w:val="22"/>
        </w:rPr>
        <w:t>. In</w:t>
      </w:r>
    </w:p>
    <w:p w:rsidR="009877FE" w:rsidRPr="009877FE" w:rsidRDefault="009877FE" w:rsidP="009877FE">
      <w:pPr>
        <w:autoSpaceDE w:val="0"/>
        <w:autoSpaceDN w:val="0"/>
        <w:adjustRightInd w:val="0"/>
        <w:ind w:left="360"/>
        <w:rPr>
          <w:sz w:val="22"/>
          <w:szCs w:val="22"/>
        </w:rPr>
      </w:pPr>
      <w:r w:rsidRPr="009877FE">
        <w:rPr>
          <w:sz w:val="22"/>
          <w:szCs w:val="22"/>
        </w:rPr>
        <w:t>Proceedings of Human Language Technology Conference and Conference on Empirical Methods in</w:t>
      </w:r>
    </w:p>
    <w:p w:rsidR="009877FE" w:rsidRPr="009877FE" w:rsidRDefault="009877FE" w:rsidP="009877FE">
      <w:pPr>
        <w:autoSpaceDE w:val="0"/>
        <w:autoSpaceDN w:val="0"/>
        <w:adjustRightInd w:val="0"/>
        <w:ind w:left="360"/>
        <w:rPr>
          <w:sz w:val="22"/>
          <w:szCs w:val="22"/>
        </w:rPr>
      </w:pPr>
      <w:proofErr w:type="gramStart"/>
      <w:r w:rsidRPr="009877FE">
        <w:rPr>
          <w:sz w:val="22"/>
          <w:szCs w:val="22"/>
        </w:rPr>
        <w:t>Natural Language Processing.</w:t>
      </w:r>
      <w:proofErr w:type="gramEnd"/>
      <w:r w:rsidRPr="009877FE">
        <w:rPr>
          <w:sz w:val="22"/>
          <w:szCs w:val="22"/>
        </w:rPr>
        <w:t xml:space="preserve"> (2005).</w:t>
      </w:r>
    </w:p>
    <w:p w:rsidR="009877FE" w:rsidRDefault="009877FE" w:rsidP="009877FE">
      <w:pPr>
        <w:pStyle w:val="AMIAReference"/>
        <w:numPr>
          <w:ilvl w:val="0"/>
          <w:numId w:val="0"/>
        </w:numPr>
      </w:pPr>
    </w:p>
    <w:p w:rsidR="009877FE" w:rsidRDefault="009877FE" w:rsidP="009877FE">
      <w:pPr>
        <w:pStyle w:val="AMIAReference"/>
        <w:rPr>
          <w:sz w:val="22"/>
          <w:szCs w:val="22"/>
        </w:rPr>
      </w:pPr>
      <w:proofErr w:type="spellStart"/>
      <w:r w:rsidRPr="009877FE">
        <w:rPr>
          <w:sz w:val="22"/>
          <w:szCs w:val="22"/>
        </w:rPr>
        <w:t>Luo</w:t>
      </w:r>
      <w:proofErr w:type="spellEnd"/>
      <w:r w:rsidRPr="009877FE">
        <w:rPr>
          <w:sz w:val="22"/>
          <w:szCs w:val="22"/>
        </w:rPr>
        <w:t xml:space="preserve">, X. On </w:t>
      </w:r>
      <w:proofErr w:type="spellStart"/>
      <w:r w:rsidRPr="009877FE">
        <w:rPr>
          <w:sz w:val="22"/>
          <w:szCs w:val="22"/>
        </w:rPr>
        <w:t>coreference</w:t>
      </w:r>
      <w:proofErr w:type="spellEnd"/>
      <w:r w:rsidRPr="009877FE">
        <w:rPr>
          <w:sz w:val="22"/>
          <w:szCs w:val="22"/>
        </w:rPr>
        <w:t xml:space="preserve"> resolution performance metrics. In HTL-EMNLP. (2005)</w:t>
      </w:r>
      <w:r>
        <w:rPr>
          <w:sz w:val="22"/>
          <w:szCs w:val="22"/>
        </w:rPr>
        <w:t>.</w:t>
      </w:r>
    </w:p>
    <w:p w:rsidR="009877FE" w:rsidRPr="009877FE" w:rsidRDefault="009877FE" w:rsidP="009877FE">
      <w:pPr>
        <w:pStyle w:val="AMIAReference"/>
        <w:numPr>
          <w:ilvl w:val="0"/>
          <w:numId w:val="0"/>
        </w:numPr>
        <w:ind w:left="360"/>
        <w:rPr>
          <w:sz w:val="22"/>
          <w:szCs w:val="22"/>
        </w:rPr>
      </w:pPr>
    </w:p>
    <w:p w:rsidR="009877FE" w:rsidRPr="00CB26FD" w:rsidRDefault="00FA36D2" w:rsidP="009877FE">
      <w:pPr>
        <w:pStyle w:val="AMIAReference"/>
        <w:rPr>
          <w:sz w:val="22"/>
          <w:szCs w:val="22"/>
        </w:rPr>
      </w:pPr>
      <w:proofErr w:type="spellStart"/>
      <w:r w:rsidRPr="00CB26FD">
        <w:rPr>
          <w:sz w:val="22"/>
          <w:szCs w:val="22"/>
        </w:rPr>
        <w:t>Fellbaum</w:t>
      </w:r>
      <w:proofErr w:type="spellEnd"/>
      <w:r w:rsidRPr="00CB26FD">
        <w:rPr>
          <w:sz w:val="22"/>
          <w:szCs w:val="22"/>
        </w:rPr>
        <w:t xml:space="preserve">, </w:t>
      </w:r>
      <w:proofErr w:type="spellStart"/>
      <w:r w:rsidRPr="00CB26FD">
        <w:rPr>
          <w:sz w:val="22"/>
          <w:szCs w:val="22"/>
        </w:rPr>
        <w:t>Christiane</w:t>
      </w:r>
      <w:proofErr w:type="spellEnd"/>
      <w:r w:rsidRPr="00CB26FD">
        <w:rPr>
          <w:sz w:val="22"/>
          <w:szCs w:val="22"/>
        </w:rPr>
        <w:t xml:space="preserve">. </w:t>
      </w:r>
      <w:proofErr w:type="spellStart"/>
      <w:r w:rsidR="009877FE" w:rsidRPr="00CB26FD">
        <w:rPr>
          <w:sz w:val="22"/>
          <w:szCs w:val="22"/>
        </w:rPr>
        <w:t>WordNet</w:t>
      </w:r>
      <w:proofErr w:type="spellEnd"/>
      <w:r w:rsidR="009877FE" w:rsidRPr="00CB26FD">
        <w:rPr>
          <w:sz w:val="22"/>
          <w:szCs w:val="22"/>
        </w:rPr>
        <w:t>: An Electronic Lexical Database. Cambridge, MA: MIT Press</w:t>
      </w:r>
      <w:r w:rsidRPr="00CB26FD">
        <w:rPr>
          <w:sz w:val="22"/>
          <w:szCs w:val="22"/>
        </w:rPr>
        <w:t>. (1998)</w:t>
      </w:r>
    </w:p>
    <w:p w:rsidR="009877FE" w:rsidRPr="00CB26FD" w:rsidRDefault="009877FE" w:rsidP="009877FE">
      <w:pPr>
        <w:pStyle w:val="AMIAReference"/>
        <w:numPr>
          <w:ilvl w:val="0"/>
          <w:numId w:val="0"/>
        </w:numPr>
      </w:pPr>
    </w:p>
    <w:p w:rsidR="00F45E8A" w:rsidRPr="00FA36D2" w:rsidRDefault="009877FE" w:rsidP="00FA36D2">
      <w:pPr>
        <w:pStyle w:val="AMIAReference"/>
        <w:jc w:val="left"/>
        <w:rPr>
          <w:sz w:val="22"/>
          <w:szCs w:val="22"/>
        </w:rPr>
        <w:sectPr w:rsidR="00F45E8A" w:rsidRPr="00FA36D2" w:rsidSect="00320294">
          <w:footerReference w:type="even" r:id="rId16"/>
          <w:footerReference w:type="default" r:id="rId17"/>
          <w:type w:val="continuous"/>
          <w:pgSz w:w="12240" w:h="15840" w:code="1"/>
          <w:pgMar w:top="1440" w:right="1440" w:bottom="1440" w:left="1440" w:header="720" w:footer="720" w:gutter="0"/>
          <w:cols w:space="720"/>
        </w:sectPr>
      </w:pPr>
      <w:r w:rsidRPr="00CB26FD">
        <w:rPr>
          <w:sz w:val="22"/>
          <w:szCs w:val="22"/>
        </w:rPr>
        <w:t>U.S. National Library of Medicine. Unified Medical Language System</w:t>
      </w:r>
      <w:r w:rsidR="00FA36D2" w:rsidRPr="00CB26FD">
        <w:rPr>
          <w:sz w:val="22"/>
          <w:szCs w:val="22"/>
        </w:rPr>
        <w:t xml:space="preserve">. </w:t>
      </w:r>
      <w:hyperlink r:id="rId18" w:history="1">
        <w:r w:rsidR="00FA36D2" w:rsidRPr="00FA36D2">
          <w:rPr>
            <w:rStyle w:val="Hyperlink"/>
            <w:rFonts w:eastAsia="Malgun Gothic"/>
            <w:sz w:val="22"/>
            <w:szCs w:val="22"/>
          </w:rPr>
          <w:t>http://www.nlm.nih.gov/research/umls/</w:t>
        </w:r>
      </w:hyperlink>
      <w:r w:rsidR="00FA36D2" w:rsidRPr="00FA36D2">
        <w:rPr>
          <w:sz w:val="22"/>
          <w:szCs w:val="22"/>
        </w:rPr>
        <w:t xml:space="preserve">. </w:t>
      </w:r>
      <w:r w:rsidR="00FA36D2">
        <w:rPr>
          <w:sz w:val="22"/>
          <w:szCs w:val="22"/>
        </w:rPr>
        <w:t xml:space="preserve"> (2011)</w:t>
      </w:r>
      <w:r w:rsidR="00CC0CA0">
        <w:rPr>
          <w:sz w:val="22"/>
          <w:szCs w:val="22"/>
        </w:rPr>
        <w:t>.</w:t>
      </w:r>
    </w:p>
    <w:p w:rsidR="00DE6BF8" w:rsidRPr="00D42A14" w:rsidRDefault="00DE6BF8" w:rsidP="009877FE">
      <w:pPr>
        <w:pStyle w:val="AMIAReference"/>
        <w:numPr>
          <w:ilvl w:val="0"/>
          <w:numId w:val="0"/>
        </w:numPr>
      </w:pPr>
    </w:p>
    <w:sectPr w:rsidR="00DE6BF8" w:rsidRPr="00D42A14" w:rsidSect="0069458E">
      <w:type w:val="continuous"/>
      <w:pgSz w:w="12240" w:h="15840" w:code="1"/>
      <w:pgMar w:top="1440" w:right="1440" w:bottom="1440" w:left="1440" w:header="720" w:footer="720" w:gutter="0"/>
      <w:cols w:num="2"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16C0" w:rsidRDefault="002416C0">
      <w:r>
        <w:separator/>
      </w:r>
    </w:p>
  </w:endnote>
  <w:endnote w:type="continuationSeparator" w:id="0">
    <w:p w:rsidR="002416C0" w:rsidRDefault="002416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43A" w:rsidRDefault="00141E95">
    <w:pPr>
      <w:pStyle w:val="Footer"/>
      <w:framePr w:wrap="around" w:vAnchor="text" w:hAnchor="margin" w:xAlign="right" w:y="1"/>
      <w:rPr>
        <w:rStyle w:val="PageNumber"/>
      </w:rPr>
    </w:pPr>
    <w:r>
      <w:rPr>
        <w:rStyle w:val="PageNumber"/>
      </w:rPr>
      <w:fldChar w:fldCharType="begin"/>
    </w:r>
    <w:r w:rsidR="007F343A">
      <w:rPr>
        <w:rStyle w:val="PageNumber"/>
      </w:rPr>
      <w:instrText xml:space="preserve">PAGE  </w:instrText>
    </w:r>
    <w:r>
      <w:rPr>
        <w:rStyle w:val="PageNumber"/>
      </w:rPr>
      <w:fldChar w:fldCharType="separate"/>
    </w:r>
    <w:r w:rsidR="007F343A">
      <w:rPr>
        <w:rStyle w:val="PageNumber"/>
        <w:noProof/>
      </w:rPr>
      <w:t>1</w:t>
    </w:r>
    <w:r>
      <w:rPr>
        <w:rStyle w:val="PageNumber"/>
      </w:rPr>
      <w:fldChar w:fldCharType="end"/>
    </w:r>
  </w:p>
  <w:p w:rsidR="007F343A" w:rsidRDefault="007F343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43A" w:rsidRDefault="007F343A">
    <w:pPr>
      <w:pStyle w:val="Footer"/>
      <w:framePr w:wrap="around" w:vAnchor="text" w:hAnchor="margin" w:xAlign="right" w:y="1"/>
      <w:rPr>
        <w:rStyle w:val="PageNumber"/>
      </w:rPr>
    </w:pPr>
  </w:p>
  <w:p w:rsidR="007F343A" w:rsidRDefault="007F343A">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6BD" w:rsidRDefault="00141E95">
    <w:pPr>
      <w:pStyle w:val="Footer"/>
      <w:framePr w:wrap="around" w:vAnchor="text" w:hAnchor="margin" w:xAlign="right" w:y="1"/>
      <w:rPr>
        <w:rStyle w:val="PageNumber"/>
      </w:rPr>
    </w:pPr>
    <w:r>
      <w:rPr>
        <w:rStyle w:val="PageNumber"/>
      </w:rPr>
      <w:fldChar w:fldCharType="begin"/>
    </w:r>
    <w:r w:rsidR="000876BD">
      <w:rPr>
        <w:rStyle w:val="PageNumber"/>
      </w:rPr>
      <w:instrText xml:space="preserve">PAGE  </w:instrText>
    </w:r>
    <w:r>
      <w:rPr>
        <w:rStyle w:val="PageNumber"/>
      </w:rPr>
      <w:fldChar w:fldCharType="separate"/>
    </w:r>
    <w:r w:rsidR="000876BD">
      <w:rPr>
        <w:rStyle w:val="PageNumber"/>
        <w:noProof/>
      </w:rPr>
      <w:t>1</w:t>
    </w:r>
    <w:r>
      <w:rPr>
        <w:rStyle w:val="PageNumber"/>
      </w:rPr>
      <w:fldChar w:fldCharType="end"/>
    </w:r>
  </w:p>
  <w:p w:rsidR="000876BD" w:rsidRDefault="000876BD">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6BD" w:rsidRDefault="000876BD">
    <w:pPr>
      <w:pStyle w:val="Footer"/>
      <w:framePr w:wrap="around" w:vAnchor="text" w:hAnchor="margin" w:xAlign="right" w:y="1"/>
      <w:rPr>
        <w:rStyle w:val="PageNumber"/>
      </w:rPr>
    </w:pPr>
  </w:p>
  <w:p w:rsidR="000876BD" w:rsidRDefault="000876BD">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16C0" w:rsidRDefault="002416C0">
      <w:r>
        <w:separator/>
      </w:r>
    </w:p>
  </w:footnote>
  <w:footnote w:type="continuationSeparator" w:id="0">
    <w:p w:rsidR="002416C0" w:rsidRDefault="002416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537C8"/>
    <w:multiLevelType w:val="singleLevel"/>
    <w:tmpl w:val="800E0768"/>
    <w:lvl w:ilvl="0">
      <w:start w:val="1"/>
      <w:numFmt w:val="decimal"/>
      <w:pStyle w:val="AMIAReference"/>
      <w:lvlText w:val="%1."/>
      <w:lvlJc w:val="left"/>
      <w:pPr>
        <w:tabs>
          <w:tab w:val="num" w:pos="360"/>
        </w:tabs>
        <w:ind w:left="360" w:hanging="360"/>
      </w:pPr>
      <w:rPr>
        <w:rFonts w:cs="Times New Roman"/>
        <w:sz w:val="22"/>
        <w:szCs w:val="22"/>
      </w:rPr>
    </w:lvl>
  </w:abstractNum>
  <w:abstractNum w:abstractNumId="1">
    <w:nsid w:val="37DC37BC"/>
    <w:multiLevelType w:val="hybridMultilevel"/>
    <w:tmpl w:val="D7B84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0C2034"/>
    <w:multiLevelType w:val="multilevel"/>
    <w:tmpl w:val="3798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1D5D81"/>
    <w:rsid w:val="00001FF6"/>
    <w:rsid w:val="00002763"/>
    <w:rsid w:val="000244DB"/>
    <w:rsid w:val="00050E41"/>
    <w:rsid w:val="00061121"/>
    <w:rsid w:val="000748E3"/>
    <w:rsid w:val="000876BD"/>
    <w:rsid w:val="00093DA4"/>
    <w:rsid w:val="000A21A6"/>
    <w:rsid w:val="000B221D"/>
    <w:rsid w:val="000D4031"/>
    <w:rsid w:val="000D7354"/>
    <w:rsid w:val="000D7E34"/>
    <w:rsid w:val="000F41E2"/>
    <w:rsid w:val="00123B63"/>
    <w:rsid w:val="00141E95"/>
    <w:rsid w:val="00152DBC"/>
    <w:rsid w:val="00155339"/>
    <w:rsid w:val="00166624"/>
    <w:rsid w:val="001A0395"/>
    <w:rsid w:val="001A47CF"/>
    <w:rsid w:val="001B24FC"/>
    <w:rsid w:val="001B7876"/>
    <w:rsid w:val="001D1567"/>
    <w:rsid w:val="001D1BCD"/>
    <w:rsid w:val="001D3422"/>
    <w:rsid w:val="001D5D81"/>
    <w:rsid w:val="001E0A99"/>
    <w:rsid w:val="00221B42"/>
    <w:rsid w:val="002411F3"/>
    <w:rsid w:val="002416C0"/>
    <w:rsid w:val="002717D9"/>
    <w:rsid w:val="002813D1"/>
    <w:rsid w:val="002836FC"/>
    <w:rsid w:val="00286628"/>
    <w:rsid w:val="002D57DB"/>
    <w:rsid w:val="002F01B4"/>
    <w:rsid w:val="00303A06"/>
    <w:rsid w:val="00305A9B"/>
    <w:rsid w:val="00320294"/>
    <w:rsid w:val="00322966"/>
    <w:rsid w:val="003256DE"/>
    <w:rsid w:val="0032757D"/>
    <w:rsid w:val="00350B86"/>
    <w:rsid w:val="0035275E"/>
    <w:rsid w:val="00361ACE"/>
    <w:rsid w:val="0037518B"/>
    <w:rsid w:val="003852AA"/>
    <w:rsid w:val="003A14D8"/>
    <w:rsid w:val="003B0234"/>
    <w:rsid w:val="003B35DE"/>
    <w:rsid w:val="003C0115"/>
    <w:rsid w:val="003C259C"/>
    <w:rsid w:val="003C6B11"/>
    <w:rsid w:val="003C6BE4"/>
    <w:rsid w:val="003D19F4"/>
    <w:rsid w:val="003D5748"/>
    <w:rsid w:val="004019EA"/>
    <w:rsid w:val="00433DDD"/>
    <w:rsid w:val="00434228"/>
    <w:rsid w:val="004464BE"/>
    <w:rsid w:val="00447D9D"/>
    <w:rsid w:val="00480942"/>
    <w:rsid w:val="004E5673"/>
    <w:rsid w:val="004F1938"/>
    <w:rsid w:val="00500BD7"/>
    <w:rsid w:val="005037A0"/>
    <w:rsid w:val="00516647"/>
    <w:rsid w:val="005216E6"/>
    <w:rsid w:val="005277F5"/>
    <w:rsid w:val="00553935"/>
    <w:rsid w:val="00556080"/>
    <w:rsid w:val="005836AF"/>
    <w:rsid w:val="00590340"/>
    <w:rsid w:val="005A53E3"/>
    <w:rsid w:val="005C1762"/>
    <w:rsid w:val="00600255"/>
    <w:rsid w:val="00613066"/>
    <w:rsid w:val="00614515"/>
    <w:rsid w:val="00636609"/>
    <w:rsid w:val="00636BE0"/>
    <w:rsid w:val="00651148"/>
    <w:rsid w:val="0066648D"/>
    <w:rsid w:val="006757E8"/>
    <w:rsid w:val="0067779C"/>
    <w:rsid w:val="0069458E"/>
    <w:rsid w:val="00696DA5"/>
    <w:rsid w:val="006A0A8B"/>
    <w:rsid w:val="006A2950"/>
    <w:rsid w:val="006C3E77"/>
    <w:rsid w:val="006C79A8"/>
    <w:rsid w:val="006D0A2C"/>
    <w:rsid w:val="006E1962"/>
    <w:rsid w:val="006E41ED"/>
    <w:rsid w:val="006F0823"/>
    <w:rsid w:val="006F781A"/>
    <w:rsid w:val="007029E9"/>
    <w:rsid w:val="00726B30"/>
    <w:rsid w:val="00737F46"/>
    <w:rsid w:val="00757419"/>
    <w:rsid w:val="00775663"/>
    <w:rsid w:val="00781CE1"/>
    <w:rsid w:val="00797F1F"/>
    <w:rsid w:val="007A05CD"/>
    <w:rsid w:val="007A2879"/>
    <w:rsid w:val="007B0F22"/>
    <w:rsid w:val="007B4D7E"/>
    <w:rsid w:val="007C5BDF"/>
    <w:rsid w:val="007D63B4"/>
    <w:rsid w:val="007E534A"/>
    <w:rsid w:val="007F343A"/>
    <w:rsid w:val="00822D83"/>
    <w:rsid w:val="00822DA4"/>
    <w:rsid w:val="008310C2"/>
    <w:rsid w:val="008335DC"/>
    <w:rsid w:val="00845CB5"/>
    <w:rsid w:val="00857029"/>
    <w:rsid w:val="008803D4"/>
    <w:rsid w:val="00883CF0"/>
    <w:rsid w:val="00885900"/>
    <w:rsid w:val="00887953"/>
    <w:rsid w:val="00895E92"/>
    <w:rsid w:val="008A2E55"/>
    <w:rsid w:val="008E451F"/>
    <w:rsid w:val="008E6278"/>
    <w:rsid w:val="00907431"/>
    <w:rsid w:val="00926D1C"/>
    <w:rsid w:val="00940944"/>
    <w:rsid w:val="00956B9E"/>
    <w:rsid w:val="00956D31"/>
    <w:rsid w:val="00960606"/>
    <w:rsid w:val="0096139A"/>
    <w:rsid w:val="009711D8"/>
    <w:rsid w:val="00971EFA"/>
    <w:rsid w:val="009877FE"/>
    <w:rsid w:val="009953BE"/>
    <w:rsid w:val="00995750"/>
    <w:rsid w:val="0099663F"/>
    <w:rsid w:val="00997BAC"/>
    <w:rsid w:val="009A55F9"/>
    <w:rsid w:val="009A7C7F"/>
    <w:rsid w:val="009B225E"/>
    <w:rsid w:val="009D790B"/>
    <w:rsid w:val="009E3A6D"/>
    <w:rsid w:val="00A12050"/>
    <w:rsid w:val="00A33F82"/>
    <w:rsid w:val="00A43CFD"/>
    <w:rsid w:val="00AC3FA8"/>
    <w:rsid w:val="00AC45CC"/>
    <w:rsid w:val="00AF0E32"/>
    <w:rsid w:val="00AF2A0A"/>
    <w:rsid w:val="00B00B11"/>
    <w:rsid w:val="00B00D52"/>
    <w:rsid w:val="00B15F26"/>
    <w:rsid w:val="00B20A19"/>
    <w:rsid w:val="00B24F0D"/>
    <w:rsid w:val="00B547B7"/>
    <w:rsid w:val="00B579FA"/>
    <w:rsid w:val="00B921A7"/>
    <w:rsid w:val="00BA3C08"/>
    <w:rsid w:val="00BB05DA"/>
    <w:rsid w:val="00BB6188"/>
    <w:rsid w:val="00BD0946"/>
    <w:rsid w:val="00BD30DA"/>
    <w:rsid w:val="00BE54EA"/>
    <w:rsid w:val="00C13006"/>
    <w:rsid w:val="00C25098"/>
    <w:rsid w:val="00C435D4"/>
    <w:rsid w:val="00C43BB4"/>
    <w:rsid w:val="00C47B21"/>
    <w:rsid w:val="00C74759"/>
    <w:rsid w:val="00C75E18"/>
    <w:rsid w:val="00C8440E"/>
    <w:rsid w:val="00C8729C"/>
    <w:rsid w:val="00C90EFA"/>
    <w:rsid w:val="00CA1D90"/>
    <w:rsid w:val="00CA1EF1"/>
    <w:rsid w:val="00CA24C3"/>
    <w:rsid w:val="00CA52ED"/>
    <w:rsid w:val="00CB26FD"/>
    <w:rsid w:val="00CC0CA0"/>
    <w:rsid w:val="00CD1CE4"/>
    <w:rsid w:val="00D16B56"/>
    <w:rsid w:val="00D16D21"/>
    <w:rsid w:val="00D41C5E"/>
    <w:rsid w:val="00D42A14"/>
    <w:rsid w:val="00D53A7D"/>
    <w:rsid w:val="00D72377"/>
    <w:rsid w:val="00DA4570"/>
    <w:rsid w:val="00DC026C"/>
    <w:rsid w:val="00DC4B18"/>
    <w:rsid w:val="00DC6BAB"/>
    <w:rsid w:val="00DE6BF8"/>
    <w:rsid w:val="00DF5E64"/>
    <w:rsid w:val="00E1189F"/>
    <w:rsid w:val="00E40A62"/>
    <w:rsid w:val="00E75F59"/>
    <w:rsid w:val="00E94C73"/>
    <w:rsid w:val="00EA2749"/>
    <w:rsid w:val="00EA3C75"/>
    <w:rsid w:val="00EB6B30"/>
    <w:rsid w:val="00EC29D2"/>
    <w:rsid w:val="00EC4463"/>
    <w:rsid w:val="00EC774E"/>
    <w:rsid w:val="00EF53F9"/>
    <w:rsid w:val="00F45E8A"/>
    <w:rsid w:val="00F50EA4"/>
    <w:rsid w:val="00F60261"/>
    <w:rsid w:val="00F66156"/>
    <w:rsid w:val="00FA36D2"/>
    <w:rsid w:val="00FD0C22"/>
    <w:rsid w:val="00FD64C2"/>
    <w:rsid w:val="00FE4842"/>
    <w:rsid w:val="00FF0377"/>
    <w:rsid w:val="00FF33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3422"/>
  </w:style>
  <w:style w:type="paragraph" w:styleId="Heading1">
    <w:name w:val="heading 1"/>
    <w:basedOn w:val="Normal"/>
    <w:next w:val="BodyText"/>
    <w:link w:val="Heading1Char"/>
    <w:uiPriority w:val="9"/>
    <w:qFormat/>
    <w:rsid w:val="001D3422"/>
    <w:pPr>
      <w:keepNext/>
      <w:keepLines/>
      <w:suppressAutoHyphens/>
      <w:spacing w:before="240" w:after="120"/>
      <w:jc w:val="center"/>
      <w:outlineLvl w:val="0"/>
    </w:pPr>
    <w:rPr>
      <w:b/>
      <w:spacing w:val="-3"/>
      <w:kern w:val="28"/>
    </w:rPr>
  </w:style>
  <w:style w:type="paragraph" w:styleId="Heading2">
    <w:name w:val="heading 2"/>
    <w:basedOn w:val="Normal"/>
    <w:next w:val="Normal"/>
    <w:link w:val="Heading2Char"/>
    <w:uiPriority w:val="9"/>
    <w:qFormat/>
    <w:rsid w:val="001D3422"/>
    <w:pPr>
      <w:keepNext/>
      <w:jc w:val="center"/>
      <w:outlineLvl w:val="1"/>
    </w:pPr>
    <w:rPr>
      <w:b/>
      <w:sz w:val="24"/>
    </w:rPr>
  </w:style>
  <w:style w:type="paragraph" w:styleId="Heading5">
    <w:name w:val="heading 5"/>
    <w:basedOn w:val="Normal"/>
    <w:next w:val="Normal"/>
    <w:link w:val="Heading5Char"/>
    <w:uiPriority w:val="9"/>
    <w:qFormat/>
    <w:rsid w:val="001D3422"/>
    <w:pPr>
      <w:keepNext/>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B0"/>
    <w:rPr>
      <w:rFonts w:ascii="Cambria" w:eastAsia="Malgun Gothic" w:hAnsi="Cambria" w:cs="Times New Roman"/>
      <w:b/>
      <w:bCs/>
      <w:kern w:val="32"/>
      <w:sz w:val="32"/>
      <w:szCs w:val="32"/>
    </w:rPr>
  </w:style>
  <w:style w:type="character" w:customStyle="1" w:styleId="Heading2Char">
    <w:name w:val="Heading 2 Char"/>
    <w:basedOn w:val="DefaultParagraphFont"/>
    <w:link w:val="Heading2"/>
    <w:uiPriority w:val="9"/>
    <w:semiHidden/>
    <w:rsid w:val="006323B0"/>
    <w:rPr>
      <w:rFonts w:ascii="Cambria" w:eastAsia="Malgun Gothic" w:hAnsi="Cambria" w:cs="Times New Roman"/>
      <w:b/>
      <w:bCs/>
      <w:i/>
      <w:iCs/>
      <w:sz w:val="28"/>
      <w:szCs w:val="28"/>
    </w:rPr>
  </w:style>
  <w:style w:type="character" w:customStyle="1" w:styleId="Heading5Char">
    <w:name w:val="Heading 5 Char"/>
    <w:basedOn w:val="DefaultParagraphFont"/>
    <w:link w:val="Heading5"/>
    <w:uiPriority w:val="9"/>
    <w:semiHidden/>
    <w:rsid w:val="006323B0"/>
    <w:rPr>
      <w:rFonts w:ascii="Calibri" w:eastAsia="Malgun Gothic" w:hAnsi="Calibri" w:cs="Times New Roman"/>
      <w:b/>
      <w:bCs/>
      <w:i/>
      <w:iCs/>
      <w:sz w:val="26"/>
      <w:szCs w:val="26"/>
    </w:rPr>
  </w:style>
  <w:style w:type="paragraph" w:styleId="BodyText">
    <w:name w:val="Body Text"/>
    <w:basedOn w:val="Normal"/>
    <w:link w:val="BodyTextChar"/>
    <w:uiPriority w:val="99"/>
    <w:rsid w:val="00CD1CE4"/>
    <w:pPr>
      <w:suppressAutoHyphens/>
      <w:spacing w:after="160"/>
      <w:jc w:val="both"/>
    </w:pPr>
  </w:style>
  <w:style w:type="character" w:customStyle="1" w:styleId="BodyTextChar">
    <w:name w:val="Body Text Char"/>
    <w:basedOn w:val="DefaultParagraphFont"/>
    <w:link w:val="BodyText"/>
    <w:uiPriority w:val="99"/>
    <w:semiHidden/>
    <w:rsid w:val="006323B0"/>
  </w:style>
  <w:style w:type="paragraph" w:styleId="Date">
    <w:name w:val="Date"/>
    <w:basedOn w:val="BodyText"/>
    <w:link w:val="DateChar"/>
    <w:uiPriority w:val="99"/>
    <w:rsid w:val="001D3422"/>
    <w:pPr>
      <w:jc w:val="center"/>
    </w:pPr>
  </w:style>
  <w:style w:type="character" w:customStyle="1" w:styleId="DateChar">
    <w:name w:val="Date Char"/>
    <w:basedOn w:val="DefaultParagraphFont"/>
    <w:link w:val="Date"/>
    <w:uiPriority w:val="99"/>
    <w:semiHidden/>
    <w:rsid w:val="006323B0"/>
  </w:style>
  <w:style w:type="character" w:styleId="EndnoteReference">
    <w:name w:val="endnote reference"/>
    <w:basedOn w:val="DefaultParagraphFont"/>
    <w:uiPriority w:val="99"/>
    <w:semiHidden/>
    <w:rsid w:val="001D3422"/>
    <w:rPr>
      <w:vertAlign w:val="superscript"/>
    </w:rPr>
  </w:style>
  <w:style w:type="paragraph" w:styleId="EndnoteText">
    <w:name w:val="endnote text"/>
    <w:basedOn w:val="Normal"/>
    <w:link w:val="EndnoteTextChar"/>
    <w:uiPriority w:val="99"/>
    <w:semiHidden/>
    <w:rsid w:val="001D3422"/>
    <w:pPr>
      <w:tabs>
        <w:tab w:val="left" w:pos="187"/>
      </w:tabs>
      <w:suppressAutoHyphens/>
      <w:spacing w:after="120" w:line="220" w:lineRule="exact"/>
      <w:ind w:left="187" w:hanging="187"/>
      <w:jc w:val="both"/>
    </w:pPr>
    <w:rPr>
      <w:spacing w:val="-3"/>
    </w:rPr>
  </w:style>
  <w:style w:type="character" w:customStyle="1" w:styleId="EndnoteTextChar">
    <w:name w:val="Endnote Text Char"/>
    <w:basedOn w:val="DefaultParagraphFont"/>
    <w:link w:val="EndnoteText"/>
    <w:uiPriority w:val="99"/>
    <w:semiHidden/>
    <w:rsid w:val="006323B0"/>
  </w:style>
  <w:style w:type="paragraph" w:customStyle="1" w:styleId="abstract">
    <w:name w:val="abstract"/>
    <w:basedOn w:val="BodyText"/>
    <w:rsid w:val="001D3422"/>
    <w:rPr>
      <w:i/>
    </w:rPr>
  </w:style>
  <w:style w:type="paragraph" w:customStyle="1" w:styleId="AMIABodyText">
    <w:name w:val="AMIA Body Text"/>
    <w:basedOn w:val="Normal"/>
    <w:rsid w:val="003D5748"/>
    <w:pPr>
      <w:suppressAutoHyphens/>
      <w:spacing w:after="120"/>
      <w:jc w:val="both"/>
    </w:pPr>
  </w:style>
  <w:style w:type="paragraph" w:styleId="BodyTextIndent">
    <w:name w:val="Body Text Indent"/>
    <w:basedOn w:val="Normal"/>
    <w:link w:val="BodyTextIndentChar"/>
    <w:uiPriority w:val="99"/>
    <w:rsid w:val="001D3422"/>
    <w:pPr>
      <w:spacing w:line="480" w:lineRule="auto"/>
      <w:ind w:firstLine="720"/>
    </w:pPr>
    <w:rPr>
      <w:sz w:val="24"/>
    </w:rPr>
  </w:style>
  <w:style w:type="character" w:customStyle="1" w:styleId="BodyTextIndentChar">
    <w:name w:val="Body Text Indent Char"/>
    <w:basedOn w:val="DefaultParagraphFont"/>
    <w:link w:val="BodyTextIndent"/>
    <w:uiPriority w:val="99"/>
    <w:semiHidden/>
    <w:rsid w:val="006323B0"/>
  </w:style>
  <w:style w:type="paragraph" w:styleId="BodyTextIndent2">
    <w:name w:val="Body Text Indent 2"/>
    <w:basedOn w:val="Normal"/>
    <w:link w:val="BodyTextIndent2Char"/>
    <w:uiPriority w:val="99"/>
    <w:rsid w:val="001D3422"/>
    <w:pPr>
      <w:spacing w:line="480" w:lineRule="auto"/>
      <w:ind w:firstLine="720"/>
    </w:pPr>
    <w:rPr>
      <w:b/>
      <w:sz w:val="24"/>
    </w:rPr>
  </w:style>
  <w:style w:type="character" w:customStyle="1" w:styleId="BodyTextIndent2Char">
    <w:name w:val="Body Text Indent 2 Char"/>
    <w:basedOn w:val="DefaultParagraphFont"/>
    <w:link w:val="BodyTextIndent2"/>
    <w:uiPriority w:val="99"/>
    <w:semiHidden/>
    <w:rsid w:val="006323B0"/>
  </w:style>
  <w:style w:type="paragraph" w:styleId="BodyText3">
    <w:name w:val="Body Text 3"/>
    <w:basedOn w:val="Normal"/>
    <w:link w:val="BodyText3Char"/>
    <w:uiPriority w:val="99"/>
    <w:rsid w:val="001D3422"/>
    <w:rPr>
      <w:i/>
    </w:rPr>
  </w:style>
  <w:style w:type="character" w:customStyle="1" w:styleId="BodyText3Char">
    <w:name w:val="Body Text 3 Char"/>
    <w:basedOn w:val="DefaultParagraphFont"/>
    <w:link w:val="BodyText3"/>
    <w:uiPriority w:val="99"/>
    <w:semiHidden/>
    <w:rsid w:val="006323B0"/>
    <w:rPr>
      <w:sz w:val="16"/>
      <w:szCs w:val="16"/>
    </w:rPr>
  </w:style>
  <w:style w:type="paragraph" w:styleId="List">
    <w:name w:val="List"/>
    <w:basedOn w:val="Normal"/>
    <w:uiPriority w:val="99"/>
    <w:rsid w:val="001D3422"/>
    <w:pPr>
      <w:ind w:left="360" w:hanging="360"/>
    </w:pPr>
  </w:style>
  <w:style w:type="paragraph" w:styleId="Footer">
    <w:name w:val="footer"/>
    <w:basedOn w:val="Normal"/>
    <w:link w:val="FooterChar"/>
    <w:uiPriority w:val="99"/>
    <w:rsid w:val="001D3422"/>
    <w:pPr>
      <w:tabs>
        <w:tab w:val="center" w:pos="4320"/>
        <w:tab w:val="right" w:pos="8640"/>
      </w:tabs>
    </w:pPr>
  </w:style>
  <w:style w:type="character" w:customStyle="1" w:styleId="FooterChar">
    <w:name w:val="Footer Char"/>
    <w:basedOn w:val="DefaultParagraphFont"/>
    <w:link w:val="Footer"/>
    <w:uiPriority w:val="99"/>
    <w:semiHidden/>
    <w:rsid w:val="006323B0"/>
  </w:style>
  <w:style w:type="character" w:styleId="PageNumber">
    <w:name w:val="page number"/>
    <w:basedOn w:val="DefaultParagraphFont"/>
    <w:uiPriority w:val="99"/>
    <w:rsid w:val="001D3422"/>
    <w:rPr>
      <w:rFonts w:cs="Times New Roman"/>
    </w:rPr>
  </w:style>
  <w:style w:type="paragraph" w:customStyle="1" w:styleId="AMIATitle">
    <w:name w:val="AMIA Title"/>
    <w:basedOn w:val="Normal"/>
    <w:next w:val="AMIAAuthors"/>
    <w:rsid w:val="003D5748"/>
    <w:pPr>
      <w:spacing w:after="280"/>
      <w:jc w:val="center"/>
    </w:pPr>
    <w:rPr>
      <w:b/>
      <w:sz w:val="28"/>
    </w:rPr>
  </w:style>
  <w:style w:type="paragraph" w:customStyle="1" w:styleId="AMIAAuthors">
    <w:name w:val="AMIA Authors"/>
    <w:basedOn w:val="Normal"/>
    <w:next w:val="AMIAAffiliations"/>
    <w:rsid w:val="00B547B7"/>
    <w:pPr>
      <w:jc w:val="center"/>
    </w:pPr>
    <w:rPr>
      <w:b/>
      <w:sz w:val="24"/>
    </w:rPr>
  </w:style>
  <w:style w:type="paragraph" w:customStyle="1" w:styleId="AMIAAffiliations">
    <w:name w:val="AMIA Affiliations"/>
    <w:basedOn w:val="Normal"/>
    <w:rsid w:val="00CD1CE4"/>
    <w:pPr>
      <w:spacing w:after="240"/>
      <w:jc w:val="center"/>
    </w:pPr>
    <w:rPr>
      <w:b/>
      <w:sz w:val="24"/>
    </w:rPr>
  </w:style>
  <w:style w:type="paragraph" w:customStyle="1" w:styleId="AMIAAbstract">
    <w:name w:val="AMIA Abstract"/>
    <w:basedOn w:val="Normal"/>
    <w:rsid w:val="00885900"/>
    <w:pPr>
      <w:spacing w:after="120"/>
      <w:jc w:val="both"/>
    </w:pPr>
    <w:rPr>
      <w:i/>
    </w:rPr>
  </w:style>
  <w:style w:type="paragraph" w:customStyle="1" w:styleId="AMIAHeading">
    <w:name w:val="AMIA Heading"/>
    <w:basedOn w:val="Normal"/>
    <w:rsid w:val="00BE54EA"/>
    <w:pPr>
      <w:keepNext/>
      <w:spacing w:before="120" w:after="120"/>
      <w:jc w:val="both"/>
      <w:outlineLvl w:val="0"/>
    </w:pPr>
    <w:rPr>
      <w:b/>
    </w:rPr>
  </w:style>
  <w:style w:type="paragraph" w:customStyle="1" w:styleId="AMIASuperscript">
    <w:name w:val="AMIA Superscript"/>
    <w:basedOn w:val="Normal"/>
    <w:link w:val="AMIASuperscriptChar"/>
    <w:rsid w:val="00DC4B18"/>
    <w:rPr>
      <w:sz w:val="16"/>
      <w:vertAlign w:val="superscript"/>
    </w:rPr>
  </w:style>
  <w:style w:type="paragraph" w:customStyle="1" w:styleId="AMIAAbstractHeading">
    <w:name w:val="AMIA Abstract Heading"/>
    <w:basedOn w:val="AMIAHeading"/>
    <w:rsid w:val="00BE54EA"/>
    <w:pPr>
      <w:spacing w:before="0"/>
    </w:pPr>
  </w:style>
  <w:style w:type="paragraph" w:customStyle="1" w:styleId="AMIAReferenceHeading">
    <w:name w:val="AMIA Reference Heading"/>
    <w:basedOn w:val="AMIAHeading"/>
    <w:rsid w:val="00885900"/>
    <w:pPr>
      <w:jc w:val="center"/>
    </w:pPr>
  </w:style>
  <w:style w:type="paragraph" w:customStyle="1" w:styleId="AMIAReference">
    <w:name w:val="AMIA Reference"/>
    <w:basedOn w:val="Normal"/>
    <w:rsid w:val="00726B30"/>
    <w:pPr>
      <w:numPr>
        <w:numId w:val="1"/>
      </w:numPr>
      <w:jc w:val="both"/>
    </w:pPr>
  </w:style>
  <w:style w:type="character" w:customStyle="1" w:styleId="AMIASuperscriptChar">
    <w:name w:val="AMIA Superscript Char"/>
    <w:basedOn w:val="DefaultParagraphFont"/>
    <w:link w:val="AMIASuperscript"/>
    <w:locked/>
    <w:rsid w:val="00590340"/>
    <w:rPr>
      <w:rFonts w:cs="Times New Roman"/>
      <w:sz w:val="16"/>
      <w:vertAlign w:val="superscript"/>
      <w:lang w:val="en-US" w:eastAsia="en-US" w:bidi="ar-SA"/>
    </w:rPr>
  </w:style>
  <w:style w:type="paragraph" w:styleId="Header">
    <w:name w:val="header"/>
    <w:basedOn w:val="Normal"/>
    <w:link w:val="HeaderChar"/>
    <w:uiPriority w:val="99"/>
    <w:rsid w:val="008E6278"/>
    <w:pPr>
      <w:tabs>
        <w:tab w:val="center" w:pos="4320"/>
        <w:tab w:val="right" w:pos="8640"/>
      </w:tabs>
    </w:pPr>
  </w:style>
  <w:style w:type="character" w:customStyle="1" w:styleId="HeaderChar">
    <w:name w:val="Header Char"/>
    <w:basedOn w:val="DefaultParagraphFont"/>
    <w:link w:val="Header"/>
    <w:uiPriority w:val="99"/>
    <w:semiHidden/>
    <w:rsid w:val="006323B0"/>
  </w:style>
  <w:style w:type="paragraph" w:styleId="BalloonText">
    <w:name w:val="Balloon Text"/>
    <w:basedOn w:val="Normal"/>
    <w:link w:val="BalloonTextChar"/>
    <w:rsid w:val="006A2950"/>
    <w:rPr>
      <w:rFonts w:ascii="Tahoma" w:hAnsi="Tahoma" w:cs="Tahoma"/>
      <w:sz w:val="16"/>
      <w:szCs w:val="16"/>
    </w:rPr>
  </w:style>
  <w:style w:type="character" w:customStyle="1" w:styleId="BalloonTextChar">
    <w:name w:val="Balloon Text Char"/>
    <w:basedOn w:val="DefaultParagraphFont"/>
    <w:link w:val="BalloonText"/>
    <w:rsid w:val="006A2950"/>
    <w:rPr>
      <w:rFonts w:ascii="Tahoma" w:hAnsi="Tahoma" w:cs="Tahoma"/>
      <w:sz w:val="16"/>
      <w:szCs w:val="16"/>
    </w:rPr>
  </w:style>
  <w:style w:type="character" w:styleId="Hyperlink">
    <w:name w:val="Hyperlink"/>
    <w:basedOn w:val="DefaultParagraphFont"/>
    <w:uiPriority w:val="99"/>
    <w:unhideWhenUsed/>
    <w:rsid w:val="00480942"/>
    <w:rPr>
      <w:color w:val="0000FF"/>
      <w:u w:val="single"/>
    </w:rPr>
  </w:style>
  <w:style w:type="table" w:styleId="TableGrid">
    <w:name w:val="Table Grid"/>
    <w:basedOn w:val="TableNormal"/>
    <w:rsid w:val="00C47B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F45E8A"/>
  </w:style>
  <w:style w:type="paragraph" w:styleId="ListParagraph">
    <w:name w:val="List Paragraph"/>
    <w:basedOn w:val="Normal"/>
    <w:uiPriority w:val="34"/>
    <w:qFormat/>
    <w:rsid w:val="00F45E8A"/>
    <w:pPr>
      <w:ind w:left="720"/>
    </w:pPr>
  </w:style>
  <w:style w:type="character" w:customStyle="1" w:styleId="apple-converted-space">
    <w:name w:val="apple-converted-space"/>
    <w:basedOn w:val="DefaultParagraphFont"/>
    <w:rsid w:val="00F45E8A"/>
  </w:style>
</w:styles>
</file>

<file path=word/webSettings.xml><?xml version="1.0" encoding="utf-8"?>
<w:webSettings xmlns:r="http://schemas.openxmlformats.org/officeDocument/2006/relationships" xmlns:w="http://schemas.openxmlformats.org/wordprocessingml/2006/main">
  <w:divs>
    <w:div w:id="741758155">
      <w:bodyDiv w:val="1"/>
      <w:marLeft w:val="0"/>
      <w:marRight w:val="0"/>
      <w:marTop w:val="0"/>
      <w:marBottom w:val="0"/>
      <w:divBdr>
        <w:top w:val="none" w:sz="0" w:space="0" w:color="auto"/>
        <w:left w:val="none" w:sz="0" w:space="0" w:color="auto"/>
        <w:bottom w:val="none" w:sz="0" w:space="0" w:color="auto"/>
        <w:right w:val="none" w:sz="0" w:space="0" w:color="auto"/>
      </w:divBdr>
      <w:divsChild>
        <w:div w:id="495339290">
          <w:marLeft w:val="0"/>
          <w:marRight w:val="0"/>
          <w:marTop w:val="0"/>
          <w:marBottom w:val="0"/>
          <w:divBdr>
            <w:top w:val="none" w:sz="0" w:space="0" w:color="auto"/>
            <w:left w:val="none" w:sz="0" w:space="0" w:color="auto"/>
            <w:bottom w:val="none" w:sz="0" w:space="0" w:color="auto"/>
            <w:right w:val="none" w:sz="0" w:space="0" w:color="auto"/>
          </w:divBdr>
        </w:div>
        <w:div w:id="866793779">
          <w:marLeft w:val="0"/>
          <w:marRight w:val="0"/>
          <w:marTop w:val="0"/>
          <w:marBottom w:val="0"/>
          <w:divBdr>
            <w:top w:val="none" w:sz="0" w:space="0" w:color="auto"/>
            <w:left w:val="none" w:sz="0" w:space="0" w:color="auto"/>
            <w:bottom w:val="none" w:sz="0" w:space="0" w:color="auto"/>
            <w:right w:val="none" w:sz="0" w:space="0" w:color="auto"/>
          </w:divBdr>
        </w:div>
        <w:div w:id="1310089444">
          <w:marLeft w:val="0"/>
          <w:marRight w:val="0"/>
          <w:marTop w:val="0"/>
          <w:marBottom w:val="0"/>
          <w:divBdr>
            <w:top w:val="none" w:sz="0" w:space="0" w:color="auto"/>
            <w:left w:val="none" w:sz="0" w:space="0" w:color="auto"/>
            <w:bottom w:val="none" w:sz="0" w:space="0" w:color="auto"/>
            <w:right w:val="none" w:sz="0" w:space="0" w:color="auto"/>
          </w:divBdr>
        </w:div>
        <w:div w:id="2138446917">
          <w:marLeft w:val="0"/>
          <w:marRight w:val="0"/>
          <w:marTop w:val="0"/>
          <w:marBottom w:val="0"/>
          <w:divBdr>
            <w:top w:val="none" w:sz="0" w:space="0" w:color="auto"/>
            <w:left w:val="none" w:sz="0" w:space="0" w:color="auto"/>
            <w:bottom w:val="none" w:sz="0" w:space="0" w:color="auto"/>
            <w:right w:val="none" w:sz="0" w:space="0" w:color="auto"/>
          </w:divBdr>
        </w:div>
      </w:divsChild>
    </w:div>
    <w:div w:id="1462723203">
      <w:bodyDiv w:val="1"/>
      <w:marLeft w:val="0"/>
      <w:marRight w:val="0"/>
      <w:marTop w:val="0"/>
      <w:marBottom w:val="0"/>
      <w:divBdr>
        <w:top w:val="none" w:sz="0" w:space="0" w:color="auto"/>
        <w:left w:val="none" w:sz="0" w:space="0" w:color="auto"/>
        <w:bottom w:val="none" w:sz="0" w:space="0" w:color="auto"/>
        <w:right w:val="none" w:sz="0" w:space="0" w:color="auto"/>
      </w:divBdr>
      <w:divsChild>
        <w:div w:id="400324745">
          <w:marLeft w:val="0"/>
          <w:marRight w:val="0"/>
          <w:marTop w:val="0"/>
          <w:marBottom w:val="0"/>
          <w:divBdr>
            <w:top w:val="none" w:sz="0" w:space="0" w:color="auto"/>
            <w:left w:val="none" w:sz="0" w:space="0" w:color="auto"/>
            <w:bottom w:val="none" w:sz="0" w:space="0" w:color="auto"/>
            <w:right w:val="none" w:sz="0" w:space="0" w:color="auto"/>
          </w:divBdr>
          <w:divsChild>
            <w:div w:id="194075612">
              <w:marLeft w:val="0"/>
              <w:marRight w:val="0"/>
              <w:marTop w:val="0"/>
              <w:marBottom w:val="0"/>
              <w:divBdr>
                <w:top w:val="none" w:sz="0" w:space="0" w:color="auto"/>
                <w:left w:val="none" w:sz="0" w:space="0" w:color="auto"/>
                <w:bottom w:val="none" w:sz="0" w:space="0" w:color="auto"/>
                <w:right w:val="none" w:sz="0" w:space="0" w:color="auto"/>
              </w:divBdr>
              <w:divsChild>
                <w:div w:id="1662082221">
                  <w:marLeft w:val="0"/>
                  <w:marRight w:val="0"/>
                  <w:marTop w:val="0"/>
                  <w:marBottom w:val="0"/>
                  <w:divBdr>
                    <w:top w:val="none" w:sz="0" w:space="0" w:color="auto"/>
                    <w:left w:val="none" w:sz="0" w:space="0" w:color="auto"/>
                    <w:bottom w:val="none" w:sz="0" w:space="0" w:color="auto"/>
                    <w:right w:val="none" w:sz="0" w:space="0" w:color="auto"/>
                  </w:divBdr>
                  <w:divsChild>
                    <w:div w:id="521475156">
                      <w:marLeft w:val="0"/>
                      <w:marRight w:val="0"/>
                      <w:marTop w:val="0"/>
                      <w:marBottom w:val="0"/>
                      <w:divBdr>
                        <w:top w:val="none" w:sz="0" w:space="0" w:color="auto"/>
                        <w:left w:val="none" w:sz="0" w:space="0" w:color="auto"/>
                        <w:bottom w:val="none" w:sz="0" w:space="0" w:color="auto"/>
                        <w:right w:val="none" w:sz="0" w:space="0" w:color="auto"/>
                      </w:divBdr>
                      <w:divsChild>
                        <w:div w:id="2044356609">
                          <w:marLeft w:val="0"/>
                          <w:marRight w:val="0"/>
                          <w:marTop w:val="0"/>
                          <w:marBottom w:val="0"/>
                          <w:divBdr>
                            <w:top w:val="none" w:sz="0" w:space="0" w:color="auto"/>
                            <w:left w:val="none" w:sz="0" w:space="0" w:color="auto"/>
                            <w:bottom w:val="none" w:sz="0" w:space="0" w:color="auto"/>
                            <w:right w:val="none" w:sz="0" w:space="0" w:color="auto"/>
                          </w:divBdr>
                          <w:divsChild>
                            <w:div w:id="4046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www.i2b2.org/NLP/Coreference/assets/" TargetMode="External"/><Relationship Id="rId18" Type="http://schemas.openxmlformats.org/officeDocument/2006/relationships/hyperlink" Target="http://www.nlm.nih.gov/research/umls/"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lias-i.com/lingpipe" TargetMode="External"/><Relationship Id="rId5" Type="http://schemas.openxmlformats.org/officeDocument/2006/relationships/footnotes" Target="footnotes.xml"/><Relationship Id="rId15" Type="http://schemas.openxmlformats.org/officeDocument/2006/relationships/hyperlink" Target="http://alias-i.com/lingpipe" TargetMode="External"/><Relationship Id="rId10" Type="http://schemas.openxmlformats.org/officeDocument/2006/relationships/hyperlink" Target="http://nlp.stanford.edu/software/dcoref.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art-coref.org/" TargetMode="External"/><Relationship Id="rId14" Type="http://schemas.openxmlformats.org/officeDocument/2006/relationships/hyperlink" Target="http://www.bart-coref.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ff\Local%20Settings\Temporary%20Internet%20Files\OLKDA\AMIA%20Submiss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AMIA Submission template.dot</Template>
  <TotalTime>38</TotalTime>
  <Pages>7</Pages>
  <Words>2379</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The Title of the Article</vt:lpstr>
    </vt:vector>
  </TitlesOfParts>
  <Company/>
  <LinksUpToDate>false</LinksUpToDate>
  <CharactersWithSpaces>15909</CharactersWithSpaces>
  <SharedDoc>false</SharedDoc>
  <HLinks>
    <vt:vector size="30" baseType="variant">
      <vt:variant>
        <vt:i4>851990</vt:i4>
      </vt:variant>
      <vt:variant>
        <vt:i4>12</vt:i4>
      </vt:variant>
      <vt:variant>
        <vt:i4>0</vt:i4>
      </vt:variant>
      <vt:variant>
        <vt:i4>5</vt:i4>
      </vt:variant>
      <vt:variant>
        <vt:lpwstr>http://www.nlm.nih.gov/research/umls/</vt:lpwstr>
      </vt:variant>
      <vt:variant>
        <vt:lpwstr/>
      </vt:variant>
      <vt:variant>
        <vt:i4>3473440</vt:i4>
      </vt:variant>
      <vt:variant>
        <vt:i4>9</vt:i4>
      </vt:variant>
      <vt:variant>
        <vt:i4>0</vt:i4>
      </vt:variant>
      <vt:variant>
        <vt:i4>5</vt:i4>
      </vt:variant>
      <vt:variant>
        <vt:lpwstr>http://alias-i.com/lingpipe</vt:lpwstr>
      </vt:variant>
      <vt:variant>
        <vt:lpwstr/>
      </vt:variant>
      <vt:variant>
        <vt:i4>7274554</vt:i4>
      </vt:variant>
      <vt:variant>
        <vt:i4>6</vt:i4>
      </vt:variant>
      <vt:variant>
        <vt:i4>0</vt:i4>
      </vt:variant>
      <vt:variant>
        <vt:i4>5</vt:i4>
      </vt:variant>
      <vt:variant>
        <vt:lpwstr>http://www.bart-coref.org/</vt:lpwstr>
      </vt:variant>
      <vt:variant>
        <vt:lpwstr/>
      </vt:variant>
      <vt:variant>
        <vt:i4>1638488</vt:i4>
      </vt:variant>
      <vt:variant>
        <vt:i4>3</vt:i4>
      </vt:variant>
      <vt:variant>
        <vt:i4>0</vt:i4>
      </vt:variant>
      <vt:variant>
        <vt:i4>5</vt:i4>
      </vt:variant>
      <vt:variant>
        <vt:lpwstr>https://www.i2b2.org/NLP/Coreference/assets/</vt:lpwstr>
      </vt:variant>
      <vt:variant>
        <vt:lpwstr/>
      </vt:variant>
      <vt:variant>
        <vt:i4>7274554</vt:i4>
      </vt:variant>
      <vt:variant>
        <vt:i4>0</vt:i4>
      </vt:variant>
      <vt:variant>
        <vt:i4>0</vt:i4>
      </vt:variant>
      <vt:variant>
        <vt:i4>5</vt:i4>
      </vt:variant>
      <vt:variant>
        <vt:lpwstr>http://www.bart-coref.org/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Article</dc:title>
  <cp:lastModifiedBy>Dave</cp:lastModifiedBy>
  <cp:revision>7</cp:revision>
  <cp:lastPrinted>2000-03-08T21:11:00Z</cp:lastPrinted>
  <dcterms:created xsi:type="dcterms:W3CDTF">2011-08-31T17:13:00Z</dcterms:created>
  <dcterms:modified xsi:type="dcterms:W3CDTF">2011-09-03T02:08:00Z</dcterms:modified>
</cp:coreProperties>
</file>